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Form 6-K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2019</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2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Gildo Pastor Center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right="1719"/>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445"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GasLog Ltd. and GasLog Partners LP Announce Agreement to Eliminate Incentive Distribution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IDR Elimination</w:t>
      </w:r>
    </w:p>
    <w:p>
      <w:pPr>
        <w:spacing w:after="0" w:line="229" w:lineRule="exact"/>
        <w:rPr>
          <w:sz w:val="20"/>
          <w:szCs w:val="20"/>
          <w:color w:val="auto"/>
        </w:rPr>
      </w:pPr>
    </w:p>
    <w:p>
      <w:pPr>
        <w:jc w:val="both"/>
        <w:ind w:right="400"/>
        <w:spacing w:after="0" w:line="257" w:lineRule="auto"/>
        <w:rPr>
          <w:sz w:val="20"/>
          <w:szCs w:val="20"/>
          <w:color w:val="auto"/>
        </w:rPr>
      </w:pPr>
      <w:r>
        <w:rPr>
          <w:rFonts w:ascii="Arial" w:cs="Arial" w:eastAsia="Arial" w:hAnsi="Arial"/>
          <w:sz w:val="18"/>
          <w:szCs w:val="18"/>
          <w:color w:val="auto"/>
        </w:rPr>
        <w:t>GasLog Ltd. (“GasLog” or the “General Partner”) (NYSE:GLOG) and GasLog Partners LP (“GasLog Partners” or the “Partnership”) (NYSE: GLOP) announced today an agreement to eliminate the General Partner’s incentive distribution rights in the Partnership (“IDRs”) in exchange for newly issued limited partner units. In exchange for the IDRs, GasLog will receive (i) 2,532,911 common units (the “New Common Units”) and (ii) 415,000 Class B-1 units, 415,000 Class B-2 units, 415,000 Class B-3 units, 415,000 Class B-4 units, 415,000 Class B-5 units and 415,000 Class B-6 units (collectively, the “Class B Units”).</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connection with the exchange, the Fifth Amended and Restated Agreement of Limited Partnership of GLOP, dated as of November 27, 2018, will be amended and restated to, among other things, reflect the cancellation of the IDRs, the issuance of the New Common Units and the issuance of the Class B Units (as amended and restated, the “Revised Partnership Agreement”). The transaction is expected to close on June 30, 2019 and the Revised Partnership Agreement will become effective as of closing.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Units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Class B Units will be a new class of limited partnership interest and will not be entitled to receive any cash distributions until they convert into common units. The Class B Units also generally will not have voting rights until they convert into common units. The Class B Units will become eligible for conversion on a one-for-one basis into common units at the General Partner’s option in six tranches of 415,000 units per annum on July 1 of 2020 (in respect of the Class B-1 units), 2021 (in respect of the Class B-2 units), 2022 (in respect of the Class B-3 units), 2023 (in respect of the Class B-4 units), 2024 (in respect of the Class B-5 units) and 2025 (in respect of the Class B-6 units) (collectively, the “Class B Convertible Dates”). In addition, the Class B Units will automatically convert on a one-for-one basis into common units upon a change of control (as defined in the Revised Partnership Agreement) or immediately prior to an acquisition of the Partnership (other than by the General Partner or any of its affiliates).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Press Release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press release issued by GasLog and GasLog Partners on June 24, 2019 announcing the agreement to eliminate the Incentive Distribution Rights is attached hereto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statements in this Form 6-K that are not statements of historical fact are “forward-looking statements” within the meaning of the U.S. Private Securities Litigation Reform Act of 1995. Forward-looking statements include statements that address activities, events or developments that GasLog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00" w:right="160" w:hanging="268"/>
        <w:spacing w:after="0" w:line="258" w:lineRule="auto"/>
        <w:tabs>
          <w:tab w:leader="none" w:pos="561"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color w:val="auto"/>
        </w:rPr>
      </w:pPr>
    </w:p>
    <w:p>
      <w:pPr>
        <w:ind w:left="560" w:hanging="228"/>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spot and multi-year charter hire rates and vessel values;</w:t>
      </w:r>
    </w:p>
    <w:p>
      <w:pPr>
        <w:spacing w:after="0" w:line="9" w:lineRule="exact"/>
        <w:rPr>
          <w:rFonts w:ascii="Arial" w:cs="Arial" w:eastAsia="Arial" w:hAnsi="Arial"/>
          <w:sz w:val="18"/>
          <w:szCs w:val="18"/>
          <w:color w:val="auto"/>
        </w:rPr>
      </w:pPr>
    </w:p>
    <w:p>
      <w:pPr>
        <w:ind w:left="560" w:hanging="228"/>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color w:val="auto"/>
        </w:rPr>
      </w:pPr>
    </w:p>
    <w:p>
      <w:pPr>
        <w:ind w:left="600" w:hanging="268"/>
        <w:spacing w:after="0" w:line="261" w:lineRule="auto"/>
        <w:tabs>
          <w:tab w:leader="none" w:pos="561"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ind w:left="600"/>
        <w:spacing w:after="0"/>
        <w:rPr>
          <w:sz w:val="20"/>
          <w:szCs w:val="20"/>
          <w:color w:val="auto"/>
        </w:rPr>
      </w:pPr>
      <w:r>
        <w:rPr>
          <w:rFonts w:ascii="Arial" w:cs="Arial" w:eastAsia="Arial" w:hAnsi="Arial"/>
          <w:sz w:val="18"/>
          <w:szCs w:val="18"/>
          <w:color w:val="auto"/>
        </w:rPr>
        <w:t>such time which may impact the rate at which we can charter such vessels;</w:t>
      </w:r>
    </w:p>
    <w:p>
      <w:pPr>
        <w:spacing w:after="0" w:line="23" w:lineRule="exact"/>
        <w:rPr>
          <w:sz w:val="20"/>
          <w:szCs w:val="20"/>
          <w:color w:val="auto"/>
        </w:rPr>
      </w:pPr>
    </w:p>
    <w:p>
      <w:pPr>
        <w:ind w:left="560" w:hanging="228"/>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560" w:hanging="228"/>
        <w:spacing w:after="0"/>
        <w:tabs>
          <w:tab w:leader="none" w:pos="560" w:val="left"/>
        </w:tabs>
        <w:numPr>
          <w:ilvl w:val="0"/>
          <w:numId w:val="2"/>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560" w:hanging="228"/>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560" w:hanging="228"/>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9" w:lineRule="exact"/>
        <w:rPr>
          <w:rFonts w:ascii="Arial" w:cs="Arial" w:eastAsia="Arial" w:hAnsi="Arial"/>
          <w:sz w:val="18"/>
          <w:szCs w:val="18"/>
          <w:color w:val="auto"/>
        </w:rPr>
      </w:pPr>
    </w:p>
    <w:p>
      <w:pPr>
        <w:ind w:left="560" w:hanging="228"/>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560" w:hanging="228"/>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560" w:hanging="228"/>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560" w:hanging="228"/>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9" w:lineRule="exact"/>
        <w:rPr>
          <w:rFonts w:ascii="Arial" w:cs="Arial" w:eastAsia="Arial" w:hAnsi="Arial"/>
          <w:sz w:val="18"/>
          <w:szCs w:val="18"/>
          <w:color w:val="auto"/>
        </w:rPr>
      </w:pPr>
    </w:p>
    <w:p>
      <w:pPr>
        <w:ind w:left="600" w:right="960" w:hanging="268"/>
        <w:spacing w:after="0" w:line="265" w:lineRule="auto"/>
        <w:tabs>
          <w:tab w:leader="none" w:pos="561"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00" w:right="640" w:hanging="268"/>
        <w:spacing w:after="0" w:line="250" w:lineRule="auto"/>
        <w:tabs>
          <w:tab w:leader="none" w:pos="561"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ind w:left="560" w:hanging="228"/>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560" w:hanging="228"/>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00" w:right="340" w:hanging="268"/>
        <w:spacing w:after="0" w:line="250" w:lineRule="auto"/>
        <w:tabs>
          <w:tab w:leader="none" w:pos="56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560" w:hanging="228"/>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560" w:hanging="228"/>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labour, ship crews and management;</w:t>
      </w:r>
    </w:p>
    <w:p>
      <w:pPr>
        <w:spacing w:after="0" w:line="9" w:lineRule="exact"/>
        <w:rPr>
          <w:rFonts w:ascii="Arial" w:cs="Arial" w:eastAsia="Arial" w:hAnsi="Arial"/>
          <w:sz w:val="18"/>
          <w:szCs w:val="18"/>
          <w:color w:val="auto"/>
        </w:rPr>
      </w:pPr>
    </w:p>
    <w:p>
      <w:pPr>
        <w:ind w:left="560" w:hanging="228"/>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560" w:hanging="228"/>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00" w:right="180" w:hanging="268"/>
        <w:spacing w:after="0" w:line="250" w:lineRule="auto"/>
        <w:tabs>
          <w:tab w:leader="none" w:pos="561"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ind w:left="600" w:right="1120" w:hanging="268"/>
        <w:spacing w:after="0" w:line="261" w:lineRule="auto"/>
        <w:tabs>
          <w:tab w:leader="none" w:pos="561"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GasLog’s Annual Report on Form 20-F filed with the SEC on March 5, 2019 and available at </w:t>
      </w:r>
      <w:r>
        <w:rPr>
          <w:rFonts w:ascii="Arial" w:cs="Arial" w:eastAsia="Arial" w:hAnsi="Arial"/>
          <w:sz w:val="18"/>
          <w:szCs w:val="18"/>
          <w:u w:val="single" w:color="auto"/>
          <w:color w:val="0000FF"/>
        </w:rPr>
        <w:t>http://www.sec.gov</w:t>
      </w:r>
      <w:r>
        <w:rPr>
          <w:rFonts w:ascii="Arial" w:cs="Arial" w:eastAsia="Arial" w:hAnsi="Arial"/>
          <w:sz w:val="18"/>
          <w:szCs w:val="18"/>
          <w:color w:val="000000"/>
        </w:rPr>
        <w:t>.</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Form 6-K,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statements on Form F-3 (File Nos. 333-194894 and 333-230205), initially filed with the Securities and Exchange Commission (the “SEC”) on March 28, 2014 and March 12, 2019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131"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24,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color w:val="auto"/>
        </w:rPr>
        <w:t>SIGNATURES</w:t>
      </w:r>
    </w:p>
    <w:p>
      <w:pPr>
        <w:spacing w:after="0" w:line="23" w:lineRule="exact"/>
        <w:rPr>
          <w:sz w:val="20"/>
          <w:szCs w:val="20"/>
          <w:color w:val="auto"/>
        </w:rPr>
      </w:pPr>
    </w:p>
    <w:p>
      <w:pPr>
        <w:ind w:right="800" w:firstLine="37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June 24, 2019</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LTD.,</w:t>
      </w:r>
    </w:p>
    <w:p>
      <w:pPr>
        <w:spacing w:after="0" w:line="211" w:lineRule="exact"/>
        <w:rPr>
          <w:sz w:val="20"/>
          <w:szCs w:val="20"/>
          <w:color w:val="auto"/>
        </w:rPr>
      </w:pPr>
    </w:p>
    <w:p>
      <w:pPr>
        <w:ind w:left="6200"/>
        <w:spacing w:after="0"/>
        <w:tabs>
          <w:tab w:leader="none" w:pos="6580" w:val="left"/>
        </w:tabs>
        <w:rPr>
          <w:sz w:val="20"/>
          <w:szCs w:val="20"/>
          <w:color w:val="auto"/>
        </w:rPr>
      </w:pPr>
      <w:r>
        <w:rPr>
          <w:rFonts w:ascii="Arial" w:cs="Arial" w:eastAsia="Arial" w:hAnsi="Arial"/>
          <w:sz w:val="18"/>
          <w:szCs w:val="18"/>
          <w:color w:val="auto"/>
        </w:rPr>
        <w:t>by</w:t>
        <w:tab/>
        <w:t>/s/ Paul A. Wogan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2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20"/>
                <w:szCs w:val="20"/>
                <w:color w:val="auto"/>
              </w:rPr>
            </w:pPr>
          </w:p>
        </w:tc>
      </w:tr>
      <w:tr>
        <w:trPr>
          <w:trHeight w:val="236"/>
        </w:trPr>
        <w:tc>
          <w:tcPr>
            <w:tcW w:w="66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6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Ltd. and GasLog Partners LP Announce Agreement to Eliminate Incentive Distribution Rights</w:t>
      </w:r>
    </w:p>
    <w:p>
      <w:pPr>
        <w:spacing w:after="0" w:line="200" w:lineRule="exact"/>
        <w:rPr>
          <w:sz w:val="20"/>
          <w:szCs w:val="20"/>
          <w:color w:val="auto"/>
        </w:rPr>
      </w:pPr>
    </w:p>
    <w:p>
      <w:pPr>
        <w:spacing w:after="0" w:line="21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Monaco, June 24, 2019 </w:t>
      </w:r>
      <w:r>
        <w:rPr>
          <w:rFonts w:ascii="Arial" w:cs="Arial" w:eastAsia="Arial" w:hAnsi="Arial"/>
          <w:sz w:val="18"/>
          <w:szCs w:val="18"/>
          <w:color w:val="auto"/>
        </w:rPr>
        <w:t>– GasLog Ltd. (“GasLog”, the “General Partner”, or the “GP”) (NYSE:GLOG) and GasLog Partners LP (“GasLog Partners”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(NYSE: GLOP) announced today an agreement to eliminate the GP’s incentive distribution rights (“IDRs”) in exchange for newly issued limited partner units. In exchange for the IDRs, GasLog will receive 2,532,911 common units and 2,490,000 Class B units. The transaction is expected to close on June 30, 2019.</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Class B units will be a new class of LP’s interest and will not be entitled to receive any cash distributions until they convert into common units. The Class B units also generally will not have voting rights until they convert into common units. The Class B units will become eligible for conversion on a one-for-one basis into common units at the General Partner’s option in six tranches of 415,000 units per annum on July 1 of 2020, 2021, 2022, 2023, 2024 and 2025.</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Board of Directors of GasLog, the Board of Directors of GasLog Partners (the “Board”) and the Conflicts Committee of the Board have each approved the transaction described above. Evercore advised the Conflicts Committee of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highlights of the transaction are:</w:t>
      </w:r>
    </w:p>
    <w:p>
      <w:pPr>
        <w:spacing w:after="0" w:line="23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Immediately accretive to the Partnership’s distributable cash flow per LP unit;</w:t>
      </w:r>
    </w:p>
    <w:p>
      <w:pPr>
        <w:spacing w:after="0" w:line="10" w:lineRule="exact"/>
        <w:rPr>
          <w:rFonts w:ascii="Arial" w:cs="Arial" w:eastAsia="Arial" w:hAnsi="Arial"/>
          <w:sz w:val="22"/>
          <w:szCs w:val="22"/>
          <w:color w:val="auto"/>
        </w:rPr>
      </w:pPr>
    </w:p>
    <w:p>
      <w:pPr>
        <w:ind w:left="640" w:hanging="308"/>
        <w:spacing w:after="0" w:line="221" w:lineRule="auto"/>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Cash flow neutral transaction based on current IDR distributions;</w:t>
      </w:r>
    </w:p>
    <w:p>
      <w:pPr>
        <w:spacing w:after="0" w:line="10" w:lineRule="exact"/>
        <w:rPr>
          <w:rFonts w:ascii="Arial" w:cs="Arial" w:eastAsia="Arial" w:hAnsi="Arial"/>
          <w:sz w:val="22"/>
          <w:szCs w:val="22"/>
          <w:color w:val="auto"/>
        </w:rPr>
      </w:pPr>
    </w:p>
    <w:p>
      <w:pPr>
        <w:ind w:left="640" w:hanging="308"/>
        <w:spacing w:after="0" w:line="221" w:lineRule="auto"/>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Enhances GasLog Partners’ ability to pursue growth opportunities by reducing its expected cost of capital;</w:t>
      </w:r>
    </w:p>
    <w:p>
      <w:pPr>
        <w:spacing w:after="0" w:line="10" w:lineRule="exact"/>
        <w:rPr>
          <w:rFonts w:ascii="Arial" w:cs="Arial" w:eastAsia="Arial" w:hAnsi="Arial"/>
          <w:sz w:val="22"/>
          <w:szCs w:val="22"/>
          <w:color w:val="auto"/>
        </w:rPr>
      </w:pPr>
    </w:p>
    <w:p>
      <w:pPr>
        <w:ind w:left="640" w:hanging="308"/>
        <w:spacing w:after="0" w:line="221" w:lineRule="auto"/>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Increases GasLog’s ownership in the Partnership, strengthening GP/LP alignment;</w:t>
      </w:r>
    </w:p>
    <w:p>
      <w:pPr>
        <w:spacing w:after="0" w:line="10" w:lineRule="exact"/>
        <w:rPr>
          <w:rFonts w:ascii="Arial" w:cs="Arial" w:eastAsia="Arial" w:hAnsi="Arial"/>
          <w:sz w:val="22"/>
          <w:szCs w:val="22"/>
          <w:color w:val="auto"/>
        </w:rPr>
      </w:pPr>
    </w:p>
    <w:p>
      <w:pPr>
        <w:ind w:left="640" w:hanging="308"/>
        <w:spacing w:after="0" w:line="221" w:lineRule="auto"/>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Reduces complexity in GasLog’s structure and simplifies the presentation of financial results; and</w:t>
      </w:r>
    </w:p>
    <w:p>
      <w:pPr>
        <w:spacing w:after="0" w:line="10" w:lineRule="exact"/>
        <w:rPr>
          <w:rFonts w:ascii="Arial" w:cs="Arial" w:eastAsia="Arial" w:hAnsi="Arial"/>
          <w:sz w:val="22"/>
          <w:szCs w:val="22"/>
          <w:color w:val="auto"/>
        </w:rPr>
      </w:pPr>
    </w:p>
    <w:p>
      <w:pPr>
        <w:ind w:left="640" w:hanging="308"/>
        <w:spacing w:after="0" w:line="221" w:lineRule="auto"/>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Reiteration of GasLog Partners’ distribution growth guidance of 2% to 4% for 2019</w:t>
      </w: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Andrew Orekar, Chief Executive Officer of GasLog Partners, stated, “As the first marine MLP to eliminate IDRs, GasLog Partners is poised to benefit from a differentiated corporate and financial structure. The transaction is expected to be immediately accretive to distributable cash flow per LP unit and to reduce our expected cost of capital, facilitating continued execution of our growth objectives. With no future IDR obligations, we reiterate our distribution growth guidance of 2% to 4% for 2019.”</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Paul Wogan, Chief Executive Officer of GasLog, stated, “Since its IPO in 2014, GasLog Partners has raised over $2.4 billion of capital and has been both a critical component of our growth and a key enabler in achieving our strategic goals. By removing the IDRs we aim not only to simplify GasLog’s structure but also to reduce the Partnership’s expected cost of capital. GasLog Partners remains our preferred equity funding source and we believe that this transaction will contribute to its continued growth and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ir@gaslogmlp.com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34 LNG carriers and an additional LNG carrier which was sold to a subsidiary of Mitsui Co. Ltd. and leased back under a long-term bareboat charter. 20 of these vessels (12 ships on the water and eight on order) are owned by GasLog with the remaining 15 LNG carriers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right="640"/>
        <w:spacing w:after="0" w:line="277" w:lineRule="auto"/>
        <w:rPr>
          <w:sz w:val="20"/>
          <w:szCs w:val="20"/>
          <w:color w:val="auto"/>
        </w:rPr>
      </w:pPr>
      <w:r>
        <w:rPr>
          <w:rFonts w:ascii="Arial" w:cs="Arial" w:eastAsia="Arial" w:hAnsi="Arial"/>
          <w:sz w:val="18"/>
          <w:szCs w:val="18"/>
          <w:color w:val="auto"/>
        </w:rPr>
        <w:t>owned by the Company’s subsidiary, GasLog Partners. GasLog’s principal executive offices are at Gildo Pastor Center, 7 Rue du Gabian, MC 98000, Monaco.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Gildo Pastor Center, 7 Rue du Gabian, MC 98000, Monaco. Visit GasLog Partners’ website at </w:t>
      </w:r>
      <w:r>
        <w:rPr>
          <w:rFonts w:ascii="Arial" w:cs="Arial" w:eastAsia="Arial" w:hAnsi="Arial"/>
          <w:sz w:val="16"/>
          <w:szCs w:val="16"/>
          <w:u w:val="single" w:color="auto"/>
          <w:color w:val="0563C1"/>
        </w:rPr>
        <w:t>http://www.gaslogmlp.com</w:t>
      </w:r>
      <w:r>
        <w:rPr>
          <w:rFonts w:ascii="Arial" w:cs="Arial" w:eastAsia="Arial" w:hAnsi="Arial"/>
          <w:sz w:val="16"/>
          <w:szCs w:val="16"/>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and GasLog Partners expect, project, believe or anticipate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jc w:val="both"/>
        <w:ind w:left="660" w:right="580" w:hanging="328"/>
        <w:spacing w:after="0" w:line="256"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multi-year charter rates, ship values, factors affecting supply and demand of LNG and LNG shipping, technological advancements and opportunities for the profitable operations of LNG carriers;</w:t>
      </w: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spot and multi-year charter hire rates and vessel values;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9" w:lineRule="exact"/>
        <w:rPr>
          <w:rFonts w:ascii="Arial" w:cs="Arial" w:eastAsia="Arial" w:hAnsi="Arial"/>
          <w:sz w:val="18"/>
          <w:szCs w:val="18"/>
          <w:color w:val="auto"/>
        </w:rPr>
      </w:pPr>
    </w:p>
    <w:p>
      <w:pPr>
        <w:ind w:left="660" w:right="90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20" w:hanging="28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pending or recent acquisitions of ships or other assets, business strategy, areas of possible expansion and expected capital spending;</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it may take to construct and deliver newbuildings and the useful lives of our 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labour,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ind w:left="660" w:right="140" w:hanging="328"/>
        <w:spacing w:after="0" w:line="258"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 w:lineRule="exact"/>
        <w:rPr>
          <w:rFonts w:ascii="Arial" w:cs="Arial" w:eastAsia="Arial" w:hAnsi="Arial"/>
          <w:sz w:val="18"/>
          <w:szCs w:val="18"/>
          <w:color w:val="auto"/>
        </w:rPr>
      </w:pPr>
    </w:p>
    <w:p>
      <w:pPr>
        <w:ind w:left="660" w:right="80" w:hanging="328"/>
        <w:spacing w:after="0" w:line="261"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GasLog’s Annual Report on Form 20-F filed with the SEC on March 5, 2019 and GasLog Partners’ Annual Report on Form 20-F filed with the SEC on February 26, 2019, available at </w:t>
      </w:r>
      <w:r>
        <w:rPr>
          <w:rFonts w:ascii="Arial" w:cs="Arial" w:eastAsia="Arial" w:hAnsi="Arial"/>
          <w:sz w:val="18"/>
          <w:szCs w:val="18"/>
          <w:u w:val="single" w:color="auto"/>
          <w:color w:val="0000FF"/>
        </w:rPr>
        <w:t>http://www.sec.gov</w:t>
      </w:r>
      <w:r>
        <w:rPr>
          <w:rFonts w:ascii="Arial" w:cs="Arial" w:eastAsia="Arial" w:hAnsi="Arial"/>
          <w:sz w:val="18"/>
          <w:szCs w:val="18"/>
          <w:color w:val="auto"/>
        </w:rPr>
        <w:t>.</w:t>
      </w:r>
    </w:p>
    <w:p>
      <w:pPr>
        <w:spacing w:after="0" w:line="1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GasLog and GasLog Partners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2019-12-01T12:15:46Z</dcterms:created>
  <dcterms:modified xsi:type="dcterms:W3CDTF">2019-12-01T12:15:46Z</dcterms:modified>
</cp:coreProperties>
</file>