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6"/>
              </w:rPr>
              <w:t>Form 6-K</w:t>
            </w:r>
          </w:p>
        </w:tc>
        <w:tc>
          <w:tcPr>
            <w:tcW w:w="760" w:type="dxa"/>
            <w:vAlign w:val="bottom"/>
          </w:tcPr>
          <w:p>
            <w:pPr>
              <w:spacing w:after="0"/>
              <w:rPr>
                <w:sz w:val="20"/>
                <w:szCs w:val="20"/>
                <w:color w:val="auto"/>
              </w:rPr>
            </w:pPr>
          </w:p>
        </w:tc>
      </w:tr>
      <w:tr>
        <w:trPr>
          <w:trHeight w:val="414"/>
        </w:trPr>
        <w:tc>
          <w:tcPr>
            <w:tcW w:w="10520" w:type="dxa"/>
            <w:vAlign w:val="bottom"/>
          </w:tcPr>
          <w:p>
            <w:pPr>
              <w:jc w:val="center"/>
              <w:ind w:left="65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60" w:type="dxa"/>
            <w:vAlign w:val="bottom"/>
          </w:tcPr>
          <w:p>
            <w:pPr>
              <w:spacing w:after="0"/>
              <w:rPr>
                <w:sz w:val="24"/>
                <w:szCs w:val="24"/>
                <w:color w:val="auto"/>
              </w:rPr>
            </w:pPr>
          </w:p>
        </w:tc>
      </w:t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8"/>
              </w:rPr>
              <w:t>EXCHANGE ACT OF 1934</w:t>
            </w:r>
          </w:p>
        </w:tc>
        <w:tc>
          <w:tcPr>
            <w:tcW w:w="76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For the month of May 2020</w:t>
            </w:r>
          </w:p>
        </w:tc>
        <w:tc>
          <w:tcPr>
            <w:tcW w:w="760" w:type="dxa"/>
            <w:vAlign w:val="bottom"/>
          </w:tcPr>
          <w:p>
            <w:pPr>
              <w:spacing w:after="0"/>
              <w:rPr>
                <w:sz w:val="24"/>
                <w:szCs w:val="24"/>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760" w:type="dxa"/>
            <w:vAlign w:val="bottom"/>
          </w:tcPr>
          <w:p>
            <w:pPr>
              <w:spacing w:after="0"/>
              <w:rPr>
                <w:sz w:val="24"/>
                <w:szCs w:val="24"/>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GasLog Ltd</w:t>
            </w:r>
          </w:p>
        </w:tc>
        <w:tc>
          <w:tcPr>
            <w:tcW w:w="760" w:type="dxa"/>
            <w:vAlign w:val="bottom"/>
          </w:tcPr>
          <w:p>
            <w:pPr>
              <w:spacing w:after="0"/>
              <w:rPr>
                <w:sz w:val="24"/>
                <w:szCs w:val="24"/>
                <w:color w:val="auto"/>
              </w:rPr>
            </w:pPr>
          </w:p>
        </w:tc>
      </w:tr>
      <w:tr>
        <w:trPr>
          <w:trHeight w:val="230"/>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1"/>
              </w:rPr>
              <w:t>(Translation of registrant’s name into English)</w:t>
            </w:r>
          </w:p>
        </w:tc>
        <w:tc>
          <w:tcPr>
            <w:tcW w:w="760" w:type="dxa"/>
            <w:vAlign w:val="bottom"/>
          </w:tcPr>
          <w:p>
            <w:pPr>
              <w:spacing w:after="0"/>
              <w:rPr>
                <w:sz w:val="20"/>
                <w:szCs w:val="20"/>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2"/>
              </w:rPr>
              <w:t>c/o GasLog Services LNG Ltd.</w:t>
            </w:r>
          </w:p>
        </w:tc>
        <w:tc>
          <w:tcPr>
            <w:tcW w:w="760" w:type="dxa"/>
            <w:vAlign w:val="bottom"/>
          </w:tcPr>
          <w:p>
            <w:pPr>
              <w:spacing w:after="0"/>
              <w:rPr>
                <w:sz w:val="24"/>
                <w:szCs w:val="24"/>
                <w:color w:val="auto"/>
              </w:rPr>
            </w:pPr>
          </w:p>
        </w:tc>
      </w:tr>
      <w:tr>
        <w:trPr>
          <w:trHeight w:val="216"/>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6"/>
              </w:rPr>
              <w:t>69 Akti Miaouli 18537</w:t>
            </w:r>
          </w:p>
        </w:tc>
        <w:tc>
          <w:tcPr>
            <w:tcW w:w="760" w:type="dxa"/>
            <w:vAlign w:val="bottom"/>
          </w:tcPr>
          <w:p>
            <w:pPr>
              <w:spacing w:after="0"/>
              <w:rPr>
                <w:sz w:val="18"/>
                <w:szCs w:val="18"/>
                <w:color w:val="auto"/>
              </w:rPr>
            </w:pPr>
          </w:p>
        </w:tc>
      </w:tr>
      <w:tr>
        <w:trPr>
          <w:trHeight w:val="216"/>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86"/>
              </w:rPr>
              <w:t>Piraeus Greece</w:t>
            </w:r>
          </w:p>
        </w:tc>
        <w:tc>
          <w:tcPr>
            <w:tcW w:w="760" w:type="dxa"/>
            <w:vAlign w:val="bottom"/>
          </w:tcPr>
          <w:p>
            <w:pPr>
              <w:spacing w:after="0"/>
              <w:rPr>
                <w:sz w:val="18"/>
                <w:szCs w:val="18"/>
                <w:color w:val="auto"/>
              </w:rPr>
            </w:pPr>
          </w:p>
        </w:tc>
      </w:tr>
      <w:tr>
        <w:trPr>
          <w:trHeight w:val="230"/>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2"/>
              </w:rPr>
              <w:t>(Address of principal executive office)</w:t>
            </w:r>
          </w:p>
        </w:tc>
        <w:tc>
          <w:tcPr>
            <w:tcW w:w="76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60" w:type="dxa"/>
            <w:vAlign w:val="bottom"/>
          </w:tcPr>
          <w:p>
            <w:pPr>
              <w:spacing w:after="0"/>
              <w:rPr>
                <w:sz w:val="24"/>
                <w:szCs w:val="24"/>
                <w:color w:val="auto"/>
              </w:rPr>
            </w:pPr>
          </w:p>
        </w:tc>
      </w:tr>
      <w:tr>
        <w:trPr>
          <w:trHeight w:val="452"/>
        </w:trPr>
        <w:tc>
          <w:tcPr>
            <w:tcW w:w="105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760" w:type="dxa"/>
            <w:vAlign w:val="bottom"/>
          </w:tcPr>
          <w:p>
            <w:pPr>
              <w:spacing w:after="0"/>
              <w:rPr>
                <w:sz w:val="24"/>
                <w:szCs w:val="24"/>
                <w:color w:val="auto"/>
              </w:rPr>
            </w:pPr>
          </w:p>
        </w:tc>
      </w:tr>
      <w:tr>
        <w:trPr>
          <w:trHeight w:val="412"/>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459"/>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361"/>
        </w:trPr>
        <w:tc>
          <w:tcPr>
            <w:tcW w:w="105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45" w:right="299" w:bottom="1440" w:gutter="0" w:footer="0" w:header="0"/>
        </w:sectPr>
      </w:pPr>
    </w:p>
    <w:bookmarkStart w:id="1" w:name="page2"/>
    <w:bookmarkEnd w:id="1"/>
    <w:p>
      <w:pPr>
        <w:ind w:right="560"/>
        <w:spacing w:after="0" w:line="277" w:lineRule="auto"/>
        <w:rPr>
          <w:sz w:val="20"/>
          <w:szCs w:val="20"/>
          <w:color w:val="auto"/>
        </w:rPr>
      </w:pPr>
      <w:r>
        <w:rPr>
          <w:rFonts w:ascii="Arial" w:cs="Arial" w:eastAsia="Arial" w:hAnsi="Arial"/>
          <w:sz w:val="18"/>
          <w:szCs w:val="18"/>
          <w:color w:val="auto"/>
        </w:rPr>
        <w:t>The press release issued by GasLog Ltd. on May 15, 2020 announcing that GasLog Ltd. has declared a dividend on its Series A Preference Shares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Nos. 333-194894 and 333-230205), filed with the Securities and Exchange Commission (the “SEC”) on March 28, 2014 and March 12, 2019 respectively, as amended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2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2020</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00" w:type="dxa"/>
            <w:vAlign w:val="bottom"/>
          </w:tcPr>
          <w:p>
            <w:pPr>
              <w:ind w:left="620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0"/>
                <w:szCs w:val="20"/>
                <w:color w:val="auto"/>
              </w:rPr>
            </w:pPr>
          </w:p>
        </w:tc>
        <w:tc>
          <w:tcPr>
            <w:tcW w:w="3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Paul A. Wogan</w:t>
            </w:r>
          </w:p>
        </w:tc>
        <w:tc>
          <w:tcPr>
            <w:tcW w:w="800" w:type="dxa"/>
            <w:vAlign w:val="bottom"/>
          </w:tcPr>
          <w:p>
            <w:pPr>
              <w:spacing w:after="0"/>
              <w:rPr>
                <w:sz w:val="20"/>
                <w:szCs w:val="20"/>
                <w:color w:val="auto"/>
              </w:rPr>
            </w:pPr>
          </w:p>
        </w:tc>
      </w:tr>
      <w:tr>
        <w:trPr>
          <w:trHeight w:val="202"/>
        </w:trPr>
        <w:tc>
          <w:tcPr>
            <w:tcW w:w="6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280" w:type="dxa"/>
            <w:vAlign w:val="bottom"/>
          </w:tcPr>
          <w:p>
            <w:pPr>
              <w:ind w:left="80"/>
              <w:spacing w:after="0" w:line="201" w:lineRule="exact"/>
              <w:rPr>
                <w:sz w:val="20"/>
                <w:szCs w:val="20"/>
                <w:color w:val="auto"/>
              </w:rPr>
            </w:pPr>
            <w:r>
              <w:rPr>
                <w:rFonts w:ascii="Arial" w:cs="Arial" w:eastAsia="Arial" w:hAnsi="Arial"/>
                <w:sz w:val="18"/>
                <w:szCs w:val="18"/>
                <w:color w:val="auto"/>
              </w:rPr>
              <w:t>Paul A. Wogan</w:t>
            </w:r>
          </w:p>
        </w:tc>
        <w:tc>
          <w:tcPr>
            <w:tcW w:w="800" w:type="dxa"/>
            <w:vAlign w:val="bottom"/>
          </w:tcPr>
          <w:p>
            <w:pPr>
              <w:spacing w:after="0"/>
              <w:rPr>
                <w:sz w:val="17"/>
                <w:szCs w:val="17"/>
                <w:color w:val="auto"/>
              </w:rPr>
            </w:pPr>
          </w:p>
        </w:tc>
      </w:tr>
      <w:tr>
        <w:trPr>
          <w:trHeight w:val="230"/>
        </w:trPr>
        <w:tc>
          <w:tcPr>
            <w:tcW w:w="6500" w:type="dxa"/>
            <w:vAlign w:val="bottom"/>
          </w:tcPr>
          <w:p>
            <w:pPr>
              <w:spacing w:after="0"/>
              <w:rPr>
                <w:sz w:val="20"/>
                <w:szCs w:val="20"/>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3280" w:type="dxa"/>
            <w:vAlign w:val="bottom"/>
          </w:tcPr>
          <w:p>
            <w:pPr>
              <w:ind w:left="80"/>
              <w:spacing w:after="0"/>
              <w:rPr>
                <w:sz w:val="20"/>
                <w:szCs w:val="20"/>
                <w:color w:val="auto"/>
              </w:rPr>
            </w:pPr>
            <w:r>
              <w:rPr>
                <w:rFonts w:ascii="Arial" w:cs="Arial" w:eastAsia="Arial" w:hAnsi="Arial"/>
                <w:sz w:val="18"/>
                <w:szCs w:val="18"/>
                <w:color w:val="auto"/>
              </w:rPr>
              <w:t>Chief Executive Officer</w:t>
            </w:r>
          </w:p>
        </w:tc>
        <w:tc>
          <w:tcPr>
            <w:tcW w:w="800" w:type="dxa"/>
            <w:vAlign w:val="bottom"/>
          </w:tcPr>
          <w:p>
            <w:pPr>
              <w:spacing w:after="0"/>
              <w:rPr>
                <w:sz w:val="20"/>
                <w:szCs w:val="20"/>
                <w:color w:val="auto"/>
              </w:rPr>
            </w:pPr>
          </w:p>
        </w:tc>
      </w:tr>
      <w:tr>
        <w:trPr>
          <w:trHeight w:val="361"/>
        </w:trPr>
        <w:tc>
          <w:tcPr>
            <w:tcW w:w="65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Declares Dividend on Series A Preference Shares</w:t>
      </w:r>
    </w:p>
    <w:p>
      <w:pPr>
        <w:spacing w:after="0" w:line="225"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 xml:space="preserve">Piraeus, Greece, May 15, 2020 — </w:t>
      </w:r>
      <w:r>
        <w:rPr>
          <w:rFonts w:ascii="Arial" w:cs="Arial" w:eastAsia="Arial" w:hAnsi="Arial"/>
          <w:sz w:val="16"/>
          <w:szCs w:val="16"/>
          <w:color w:val="auto"/>
        </w:rPr>
        <w:t>GasLog Ltd. (“GasLog” or “Company”) (NYSE: GLOG) today announced a dividend of $0.546875 per share on its</w:t>
      </w:r>
      <w:r>
        <w:rPr>
          <w:rFonts w:ascii="Arial" w:cs="Arial" w:eastAsia="Arial" w:hAnsi="Arial"/>
          <w:sz w:val="16"/>
          <w:szCs w:val="16"/>
          <w:b w:val="1"/>
          <w:bCs w:val="1"/>
          <w:color w:val="auto"/>
        </w:rPr>
        <w:t xml:space="preserve"> </w:t>
      </w:r>
      <w:r>
        <w:rPr>
          <w:rFonts w:ascii="Arial" w:cs="Arial" w:eastAsia="Arial" w:hAnsi="Arial"/>
          <w:sz w:val="16"/>
          <w:szCs w:val="16"/>
          <w:color w:val="auto"/>
        </w:rPr>
        <w:t>8.75% Series A Cumulative Redeemable Perpetual Preference Shares, payable on July 1, 2020 for all shareholders of record as of June 30, 2020.</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19 (14 on the water and five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2020-05-15T05:57:55Z</dcterms:created>
  <dcterms:modified xsi:type="dcterms:W3CDTF">2020-05-15T05:57:55Z</dcterms:modified>
</cp:coreProperties>
</file>