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For the month of November 2018</w:t>
            </w:r>
          </w:p>
        </w:tc>
        <w:tc>
          <w:tcPr>
            <w:tcW w:w="2220" w:type="dxa"/>
            <w:vAlign w:val="bottom"/>
          </w:tcPr>
          <w:p>
            <w:pPr>
              <w:spacing w:after="0"/>
              <w:rPr>
                <w:sz w:val="20"/>
                <w:szCs w:val="20"/>
                <w:color w:val="auto"/>
              </w:rPr>
            </w:pP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220" w:type="dxa"/>
            <w:vAlign w:val="bottom"/>
          </w:tcPr>
          <w:p>
            <w:pPr>
              <w:spacing w:after="0"/>
              <w:rPr>
                <w:sz w:val="24"/>
                <w:szCs w:val="24"/>
                <w:color w:val="auto"/>
              </w:rPr>
            </w:pPr>
          </w:p>
        </w:tc>
      </w:tr>
      <w:tr>
        <w:trPr>
          <w:trHeight w:val="418"/>
        </w:trPr>
        <w:tc>
          <w:tcPr>
            <w:tcW w:w="924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GasLog Ltd</w:t>
            </w:r>
          </w:p>
        </w:tc>
        <w:tc>
          <w:tcPr>
            <w:tcW w:w="2220" w:type="dxa"/>
            <w:vAlign w:val="bottom"/>
          </w:tcPr>
          <w:p>
            <w:pPr>
              <w:spacing w:after="0"/>
              <w:rPr>
                <w:sz w:val="24"/>
                <w:szCs w:val="24"/>
                <w:color w:val="auto"/>
              </w:rPr>
            </w:pPr>
          </w:p>
        </w:tc>
      </w:tr>
      <w:tr>
        <w:trPr>
          <w:trHeight w:val="230"/>
        </w:trPr>
        <w:tc>
          <w:tcPr>
            <w:tcW w:w="9240" w:type="dxa"/>
            <w:vAlign w:val="bottom"/>
          </w:tcPr>
          <w:p>
            <w:pPr>
              <w:jc w:val="center"/>
              <w:ind w:left="2110"/>
              <w:spacing w:after="0"/>
              <w:rPr>
                <w:sz w:val="20"/>
                <w:szCs w:val="20"/>
                <w:color w:val="auto"/>
              </w:rPr>
            </w:pPr>
            <w:r>
              <w:rPr>
                <w:rFonts w:ascii="Arial" w:cs="Arial" w:eastAsia="Arial" w:hAnsi="Arial"/>
                <w:sz w:val="18"/>
                <w:szCs w:val="18"/>
                <w:color w:val="auto"/>
                <w:w w:val="91"/>
              </w:rPr>
              <w:t>(Translation of registrant’s name into English)</w:t>
            </w:r>
          </w:p>
        </w:tc>
        <w:tc>
          <w:tcPr>
            <w:tcW w:w="2220" w:type="dxa"/>
            <w:vAlign w:val="bottom"/>
          </w:tcPr>
          <w:p>
            <w:pPr>
              <w:spacing w:after="0"/>
              <w:rPr>
                <w:sz w:val="20"/>
                <w:szCs w:val="20"/>
                <w:color w:val="auto"/>
              </w:rPr>
            </w:pPr>
          </w:p>
        </w:tc>
      </w:tr>
      <w:tr>
        <w:trPr>
          <w:trHeight w:val="418"/>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89"/>
              </w:rPr>
              <w:t>Gildo Pastor Center</w:t>
            </w:r>
          </w:p>
        </w:tc>
        <w:tc>
          <w:tcPr>
            <w:tcW w:w="2220" w:type="dxa"/>
            <w:vAlign w:val="bottom"/>
          </w:tcPr>
          <w:p>
            <w:pPr>
              <w:spacing w:after="0"/>
              <w:rPr>
                <w:sz w:val="24"/>
                <w:szCs w:val="24"/>
                <w:color w:val="auto"/>
              </w:rPr>
            </w:pPr>
          </w:p>
        </w:tc>
      </w:tr>
      <w:tr>
        <w:trPr>
          <w:trHeight w:val="216"/>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89"/>
              </w:rPr>
              <w:t>7 Rue du Gabian</w:t>
            </w:r>
          </w:p>
        </w:tc>
        <w:tc>
          <w:tcPr>
            <w:tcW w:w="2220" w:type="dxa"/>
            <w:vAlign w:val="bottom"/>
          </w:tcPr>
          <w:p>
            <w:pPr>
              <w:spacing w:after="0"/>
              <w:rPr>
                <w:sz w:val="18"/>
                <w:szCs w:val="18"/>
                <w:color w:val="auto"/>
              </w:rPr>
            </w:pPr>
          </w:p>
        </w:tc>
      </w:tr>
      <w:tr>
        <w:trPr>
          <w:trHeight w:val="216"/>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2"/>
              </w:rPr>
              <w:t>MC 98000, Monaco</w:t>
            </w:r>
          </w:p>
        </w:tc>
        <w:tc>
          <w:tcPr>
            <w:tcW w:w="2220" w:type="dxa"/>
            <w:vAlign w:val="bottom"/>
          </w:tcPr>
          <w:p>
            <w:pPr>
              <w:spacing w:after="0"/>
              <w:rPr>
                <w:sz w:val="18"/>
                <w:szCs w:val="18"/>
                <w:color w:val="auto"/>
              </w:rPr>
            </w:pPr>
          </w:p>
        </w:tc>
      </w:tr>
      <w:tr>
        <w:trPr>
          <w:trHeight w:val="230"/>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2"/>
              </w:rPr>
              <w:t>(Address of principal executive office)</w:t>
            </w:r>
          </w:p>
        </w:tc>
        <w:tc>
          <w:tcPr>
            <w:tcW w:w="2220" w:type="dxa"/>
            <w:vAlign w:val="bottom"/>
          </w:tcPr>
          <w:p>
            <w:pPr>
              <w:spacing w:after="0"/>
              <w:rPr>
                <w:sz w:val="20"/>
                <w:szCs w:val="20"/>
                <w:color w:val="auto"/>
              </w:rPr>
            </w:pP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20" w:type="dxa"/>
            <w:vAlign w:val="bottom"/>
          </w:tcPr>
          <w:p>
            <w:pPr>
              <w:spacing w:after="0"/>
              <w:rPr>
                <w:sz w:val="24"/>
                <w:szCs w:val="24"/>
                <w:color w:val="auto"/>
              </w:rPr>
            </w:pPr>
          </w:p>
        </w:tc>
      </w:tr>
      <w:tr>
        <w:trPr>
          <w:trHeight w:val="452"/>
        </w:trPr>
        <w:tc>
          <w:tcPr>
            <w:tcW w:w="92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20" w:type="dxa"/>
            <w:vAlign w:val="bottom"/>
          </w:tcPr>
          <w:p>
            <w:pPr>
              <w:spacing w:after="0"/>
              <w:rPr>
                <w:sz w:val="24"/>
                <w:szCs w:val="24"/>
                <w:color w:val="auto"/>
              </w:rPr>
            </w:pPr>
          </w:p>
        </w:tc>
      </w:tr>
      <w:tr>
        <w:trPr>
          <w:trHeight w:val="412"/>
        </w:trPr>
        <w:tc>
          <w:tcPr>
            <w:tcW w:w="924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2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2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348"/>
        </w:trPr>
        <w:tc>
          <w:tcPr>
            <w:tcW w:w="92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83"/>
        <w:spacing w:after="0" w:line="277" w:lineRule="auto"/>
        <w:rPr>
          <w:sz w:val="20"/>
          <w:szCs w:val="20"/>
          <w:color w:val="auto"/>
        </w:rPr>
      </w:pPr>
      <w:r>
        <w:rPr>
          <w:rFonts w:ascii="Arial" w:cs="Arial" w:eastAsia="Arial" w:hAnsi="Arial"/>
          <w:sz w:val="18"/>
          <w:szCs w:val="18"/>
          <w:color w:val="auto"/>
        </w:rPr>
        <w:t>The press release issued by GasLog Ltd and GasLog Partners LP on November 16, 2018 announcing the agreement to modify Incentive Distribution Rights is attached hereto as Exhibit 99.1.</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3" w:lineRule="exact"/>
        <w:rPr>
          <w:sz w:val="20"/>
          <w:szCs w:val="20"/>
          <w:color w:val="auto"/>
        </w:rPr>
      </w:pPr>
    </w:p>
    <w:p>
      <w:pPr>
        <w:ind w:left="6680"/>
        <w:spacing w:after="0"/>
        <w:tabs>
          <w:tab w:leader="none" w:pos="7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3009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ind w:left="6680"/>
        <w:spacing w:after="0"/>
        <w:tabs>
          <w:tab w:leader="none" w:pos="7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240" w:top="34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Agreement to Modify Incentive Distribution Rights</w:t>
      </w:r>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MONACO — November 16, 2018 — </w:t>
      </w:r>
      <w:r>
        <w:rPr>
          <w:rFonts w:ascii="Arial" w:cs="Arial" w:eastAsia="Arial" w:hAnsi="Arial"/>
          <w:sz w:val="17"/>
          <w:szCs w:val="17"/>
          <w:color w:val="auto"/>
        </w:rPr>
        <w:t>GasLog Ltd. (“GasLog” or “the General Partner”) (NYSE:GLOG) and GasLog Partners LP (“GasLog Partners”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Partnership”) (NYSE:GLOP) today announce an agreement to modify the partnership agreement with respect to the General Partner’s incentive distribution rights (“IDR”). The modification will have the effect of reducing the General Partner’s IDRs on quarterly distributions above $0.5625 per unit from 48% to 23%. GasLog has further agreed to waive IDR payments resulting from any asset or business acquired by GasLog Partners from a third party. In exchange for these modifications, the Partnership will pay $25.0 million to GasLog which will be sourced from available cash.</w:t>
      </w:r>
    </w:p>
    <w:p>
      <w:pPr>
        <w:spacing w:after="0" w:line="17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Board of Directors of GasLog, the Board of Directors of GasLog Partners (the “Board”) and the Conflicts Committee of the Board have each approved the exchange of the IDRs and the modification of the partnership agreement described above, subject to execution of definitive documentation. Evercore advised the Conflicts Committee of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highlights of the transaction are:</w:t>
      </w:r>
    </w:p>
    <w:p>
      <w:pPr>
        <w:spacing w:after="0" w:line="225"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Proactive reduction of expected future IDR payments to support GasLog Partners’ continued growth;</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Accretive to the Partnership’s estimated distributable cash flow per LP unit in 2019 and beyond;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Reduction in cost of capital for future acquisitions from the General Partner;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Meaningfully enhances competitiveness when pursuing acquisitions from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incremental common units or new debt to be issued by the Partnership in connection with the IDR modifications;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Reiteration of GasLog Partners’ distribution growth guidance of 5 to 7% in 2018 and 2% to 4% in 2019.</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Paul Wogan, Chief Executive Officer of GasLog, stated, “Since its inception in 2014, GasLog Partners has recycled over $700 million in equity to GasLog, supporting our growth initiatives. As the Partnership’s largest LP unitholder, we are pleased to announce the IDR modifications, positioning GasLog Partners for continued success and enabling the wider GasLog group to continue executing on its strategy. GasLog believes the elimination of the 48% IDR tier and waiver of IDRs from third party acquisitions constitute a meaningful first step and, over time, we expect to consider further IDR modifications in support of the Partnership’s future growth.”</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Andy Orekar, Chief Executive Officer of GasLog Partners, stated, “As we are addressing our future IDR payments prior to entering the highest tier, we are undertaking these modifications from a position of strength, underscoring the commitment of GasLog to the Partnership. The transaction is expected to be accretive to GasLog Partners’ distributable cash flow per LP unit, and accordingly we reiterate our distribution growth guidance of 5% to 7% for 2018 and 2% to 4% for 2019. Today’s IDR modifications reduce our expected cost of equity capital, facilitating dropdown acquisitions from GasLog and enabling the Partnership to compete more effectively for third-party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GasLog</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32 LNG carriers (including 25 ships on the water and seven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0000FF"/>
        </w:rPr>
        <w:t>http://www.gaslogltd.com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Factors that might cause future results and outcomes to differ include, but are not limited to, the following:</w:t>
      </w:r>
    </w:p>
    <w:p>
      <w:pPr>
        <w:spacing w:after="0" w:line="206" w:lineRule="exact"/>
        <w:rPr>
          <w:sz w:val="20"/>
          <w:szCs w:val="20"/>
          <w:color w:val="auto"/>
        </w:rPr>
      </w:pPr>
    </w:p>
    <w:p>
      <w:pPr>
        <w:ind w:left="660" w:right="20" w:hanging="328"/>
        <w:spacing w:after="0" w:line="236"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fluctuations in spot and long-term charter hire rates and vessel values;</w:t>
      </w:r>
    </w:p>
    <w:p>
      <w:pPr>
        <w:ind w:left="620" w:hanging="288"/>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our operating expenses, including crew wages, maintenance, dry-docking and insurance costs and bunker prices;</w:t>
      </w:r>
    </w:p>
    <w:p>
      <w:pPr>
        <w:spacing w:after="0" w:line="24" w:lineRule="exact"/>
        <w:rPr>
          <w:rFonts w:ascii="Arial" w:cs="Arial" w:eastAsia="Arial" w:hAnsi="Arial"/>
          <w:sz w:val="19"/>
          <w:szCs w:val="19"/>
          <w:color w:val="auto"/>
        </w:rPr>
      </w:pPr>
    </w:p>
    <w:p>
      <w:pPr>
        <w:ind w:left="660" w:hanging="32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number of off-hire days and dry-docking requirements including our ability to complete scheduled dry-dockings on time and within budget;</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planned capital expenditures and availability of capital resources to fund capital expenditures;</w:t>
      </w:r>
    </w:p>
    <w:p>
      <w:pPr>
        <w:ind w:left="660" w:right="240" w:hanging="328"/>
        <w:spacing w:after="0" w:line="241" w:lineRule="auto"/>
        <w:tabs>
          <w:tab w:leader="none" w:pos="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21"/>
          <w:szCs w:val="21"/>
          <w:color w:val="auto"/>
        </w:rPr>
      </w:pP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maintain long term relationships and enter into time charters with new and existing customers;</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increased exposure to the spot market and fluctuations in spot charter rates;</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fluctuations in prices for crude oil, petroleum products and natural gas, including LNG;</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the ownership of our charterers;</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customers’ performance of their obligations under our time charters and other contracts;</w:t>
      </w:r>
    </w:p>
    <w:p>
      <w:pPr>
        <w:ind w:left="620" w:hanging="288"/>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our future operating performance, financial condition, liquidity and cash available for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 w:name="page7"/>
    <w:bookmarkEnd w:id="6"/>
    <w:p>
      <w:pPr>
        <w:ind w:left="660" w:right="100" w:hanging="328"/>
        <w:spacing w:after="0" w:line="236"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22"/>
          <w:szCs w:val="22"/>
          <w:color w:val="auto"/>
        </w:rPr>
      </w:pPr>
    </w:p>
    <w:p>
      <w:pPr>
        <w:ind w:left="660" w:right="200" w:hanging="32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future, pending or recent acquisitions of ships or other assets, business strategy, areas of possible expansion and expected capital spending;</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time it may take to construct and deliver newbuildings and the useful lives of our ships;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currencies and interest rates;</w:t>
      </w:r>
    </w:p>
    <w:p>
      <w:pPr>
        <w:ind w:left="660" w:hanging="32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risks inherent in ship operation, including the discharge of pollutants;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retain key employees and the availability of skilled labour, ship crews and management;</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potential disruption of shipping routes due to accidents, political events, piracy or acts by terrorists;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potential liability from future litigation;</w:t>
      </w:r>
    </w:p>
    <w:p>
      <w:pPr>
        <w:ind w:left="660" w:right="20" w:hanging="32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any malfunction or disruption of information technology systems and networks that our operations rely on or any impact of a possible cybersecurity breach; and</w:t>
      </w:r>
    </w:p>
    <w:p>
      <w:pPr>
        <w:spacing w:after="0" w:line="1" w:lineRule="exact"/>
        <w:rPr>
          <w:rFonts w:ascii="Arial" w:cs="Arial" w:eastAsia="Arial" w:hAnsi="Arial"/>
          <w:sz w:val="22"/>
          <w:szCs w:val="22"/>
          <w:color w:val="auto"/>
        </w:rPr>
      </w:pPr>
    </w:p>
    <w:p>
      <w:pPr>
        <w:ind w:left="660" w:right="100" w:hanging="328"/>
        <w:spacing w:after="0" w:line="234"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other risks and uncertainties described in GasLog’s Annual Report on Form 20-F filed with the SEC on February 28, 2018 and GasLog Partners’ Annual Report on Form 20-F filed with the SEC on February 12, 2018, available at </w:t>
      </w:r>
      <w:r>
        <w:rPr>
          <w:rFonts w:ascii="Arial" w:cs="Arial" w:eastAsia="Arial" w:hAnsi="Arial"/>
          <w:sz w:val="22"/>
          <w:szCs w:val="22"/>
          <w:u w:val="single" w:color="auto"/>
          <w:color w:val="0000FF"/>
        </w:rPr>
        <w:t>http://www.sec.gov</w:t>
      </w:r>
      <w:r>
        <w:rPr>
          <w:rFonts w:ascii="Arial" w:cs="Arial" w:eastAsia="Arial" w:hAnsi="Arial"/>
          <w:sz w:val="22"/>
          <w:szCs w:val="22"/>
          <w:color w:val="000000"/>
        </w:rPr>
        <w:t>.</w:t>
      </w:r>
    </w:p>
    <w:p>
      <w:pPr>
        <w:spacing w:after="0" w:line="187"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3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2019-12-08T01:32:51Z</dcterms:created>
  <dcterms:modified xsi:type="dcterms:W3CDTF">2019-12-08T01:32:51Z</dcterms:modified>
</cp:coreProperties>
</file>