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REPORT OF FOREIGN PRIVATE ISSUER PURSUANT TO RULE 13a-16 OR 15d-16 UNDER THE SECURITIES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For the month of May 2017</w:t>
            </w:r>
          </w:p>
        </w:tc>
        <w:tc>
          <w:tcPr>
            <w:tcW w:w="1400" w:type="dxa"/>
            <w:vAlign w:val="bottom"/>
          </w:tcPr>
          <w:p>
            <w:pPr>
              <w:spacing w:after="0"/>
              <w:rPr>
                <w:sz w:val="20"/>
                <w:szCs w:val="20"/>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Commission File Number 001-35466</w:t>
            </w:r>
          </w:p>
        </w:tc>
        <w:tc>
          <w:tcPr>
            <w:tcW w:w="1400" w:type="dxa"/>
            <w:vAlign w:val="bottom"/>
          </w:tcPr>
          <w:p>
            <w:pPr>
              <w:spacing w:after="0"/>
              <w:rPr>
                <w:sz w:val="24"/>
                <w:szCs w:val="24"/>
                <w:color w:val="auto"/>
              </w:rPr>
            </w:pPr>
          </w:p>
        </w:tc>
      </w:tr>
      <w:tr>
        <w:trPr>
          <w:trHeight w:val="418"/>
        </w:trPr>
        <w:tc>
          <w:tcPr>
            <w:tcW w:w="10020" w:type="dxa"/>
            <w:vAlign w:val="bottom"/>
          </w:tcPr>
          <w:p>
            <w:pPr>
              <w:jc w:val="center"/>
              <w:ind w:left="1330"/>
              <w:spacing w:after="0"/>
              <w:rPr>
                <w:sz w:val="20"/>
                <w:szCs w:val="20"/>
                <w:color w:val="auto"/>
              </w:rPr>
            </w:pPr>
            <w:r>
              <w:rPr>
                <w:rFonts w:ascii="Arial" w:cs="Arial" w:eastAsia="Arial" w:hAnsi="Arial"/>
                <w:sz w:val="18"/>
                <w:szCs w:val="18"/>
                <w:b w:val="1"/>
                <w:bCs w:val="1"/>
                <w:color w:val="auto"/>
                <w:w w:val="91"/>
              </w:rPr>
              <w:t>GasLog Ltd</w:t>
            </w:r>
          </w:p>
        </w:tc>
        <w:tc>
          <w:tcPr>
            <w:tcW w:w="1400" w:type="dxa"/>
            <w:vAlign w:val="bottom"/>
          </w:tcPr>
          <w:p>
            <w:pPr>
              <w:spacing w:after="0"/>
              <w:rPr>
                <w:sz w:val="24"/>
                <w:szCs w:val="24"/>
                <w:color w:val="auto"/>
              </w:rPr>
            </w:pPr>
          </w:p>
        </w:tc>
      </w:tr>
      <w:tr>
        <w:trPr>
          <w:trHeight w:val="230"/>
        </w:trPr>
        <w:tc>
          <w:tcPr>
            <w:tcW w:w="10020" w:type="dxa"/>
            <w:vAlign w:val="bottom"/>
          </w:tcPr>
          <w:p>
            <w:pPr>
              <w:jc w:val="center"/>
              <w:ind w:left="1330"/>
              <w:spacing w:after="0"/>
              <w:rPr>
                <w:sz w:val="20"/>
                <w:szCs w:val="20"/>
                <w:color w:val="auto"/>
              </w:rPr>
            </w:pPr>
            <w:r>
              <w:rPr>
                <w:rFonts w:ascii="Arial" w:cs="Arial" w:eastAsia="Arial" w:hAnsi="Arial"/>
                <w:sz w:val="18"/>
                <w:szCs w:val="18"/>
                <w:color w:val="auto"/>
                <w:w w:val="91"/>
              </w:rPr>
              <w:t>(Translation of registrant’s name into English)</w:t>
            </w:r>
          </w:p>
        </w:tc>
        <w:tc>
          <w:tcPr>
            <w:tcW w:w="1400" w:type="dxa"/>
            <w:vAlign w:val="bottom"/>
          </w:tcPr>
          <w:p>
            <w:pPr>
              <w:spacing w:after="0"/>
              <w:rPr>
                <w:sz w:val="20"/>
                <w:szCs w:val="20"/>
                <w:color w:val="auto"/>
              </w:rPr>
            </w:pPr>
          </w:p>
        </w:tc>
      </w:tr>
      <w:tr>
        <w:trPr>
          <w:trHeight w:val="418"/>
        </w:trPr>
        <w:tc>
          <w:tcPr>
            <w:tcW w:w="10020" w:type="dxa"/>
            <w:vAlign w:val="bottom"/>
          </w:tcPr>
          <w:p>
            <w:pPr>
              <w:jc w:val="center"/>
              <w:ind w:left="1310"/>
              <w:spacing w:after="0"/>
              <w:rPr>
                <w:sz w:val="20"/>
                <w:szCs w:val="20"/>
                <w:color w:val="auto"/>
              </w:rPr>
            </w:pPr>
            <w:r>
              <w:rPr>
                <w:rFonts w:ascii="Arial" w:cs="Arial" w:eastAsia="Arial" w:hAnsi="Arial"/>
                <w:sz w:val="18"/>
                <w:szCs w:val="18"/>
                <w:color w:val="auto"/>
                <w:w w:val="89"/>
              </w:rPr>
              <w:t>Gildo Pastor Center</w:t>
            </w:r>
          </w:p>
        </w:tc>
        <w:tc>
          <w:tcPr>
            <w:tcW w:w="1400" w:type="dxa"/>
            <w:vAlign w:val="bottom"/>
          </w:tcPr>
          <w:p>
            <w:pPr>
              <w:spacing w:after="0"/>
              <w:rPr>
                <w:sz w:val="24"/>
                <w:szCs w:val="24"/>
                <w:color w:val="auto"/>
              </w:rPr>
            </w:pPr>
          </w:p>
        </w:tc>
      </w:tr>
      <w:tr>
        <w:trPr>
          <w:trHeight w:val="216"/>
        </w:trPr>
        <w:tc>
          <w:tcPr>
            <w:tcW w:w="10020" w:type="dxa"/>
            <w:vAlign w:val="bottom"/>
          </w:tcPr>
          <w:p>
            <w:pPr>
              <w:jc w:val="center"/>
              <w:ind w:left="1310"/>
              <w:spacing w:after="0"/>
              <w:rPr>
                <w:sz w:val="20"/>
                <w:szCs w:val="20"/>
                <w:color w:val="auto"/>
              </w:rPr>
            </w:pPr>
            <w:r>
              <w:rPr>
                <w:rFonts w:ascii="Arial" w:cs="Arial" w:eastAsia="Arial" w:hAnsi="Arial"/>
                <w:sz w:val="18"/>
                <w:szCs w:val="18"/>
                <w:color w:val="auto"/>
                <w:w w:val="89"/>
              </w:rPr>
              <w:t>7 Rue du Gabian</w:t>
            </w:r>
          </w:p>
        </w:tc>
        <w:tc>
          <w:tcPr>
            <w:tcW w:w="1400" w:type="dxa"/>
            <w:vAlign w:val="bottom"/>
          </w:tcPr>
          <w:p>
            <w:pPr>
              <w:spacing w:after="0"/>
              <w:rPr>
                <w:sz w:val="18"/>
                <w:szCs w:val="18"/>
                <w:color w:val="auto"/>
              </w:rPr>
            </w:pPr>
          </w:p>
        </w:tc>
      </w:tr>
      <w:tr>
        <w:trPr>
          <w:trHeight w:val="216"/>
        </w:trPr>
        <w:tc>
          <w:tcPr>
            <w:tcW w:w="10020" w:type="dxa"/>
            <w:vAlign w:val="bottom"/>
          </w:tcPr>
          <w:p>
            <w:pPr>
              <w:jc w:val="center"/>
              <w:ind w:left="1310"/>
              <w:spacing w:after="0"/>
              <w:rPr>
                <w:sz w:val="20"/>
                <w:szCs w:val="20"/>
                <w:color w:val="auto"/>
              </w:rPr>
            </w:pPr>
            <w:r>
              <w:rPr>
                <w:rFonts w:ascii="Arial" w:cs="Arial" w:eastAsia="Arial" w:hAnsi="Arial"/>
                <w:sz w:val="18"/>
                <w:szCs w:val="18"/>
                <w:color w:val="auto"/>
                <w:w w:val="92"/>
              </w:rPr>
              <w:t>MC 98000, Monaco</w:t>
            </w:r>
          </w:p>
        </w:tc>
        <w:tc>
          <w:tcPr>
            <w:tcW w:w="1400" w:type="dxa"/>
            <w:vAlign w:val="bottom"/>
          </w:tcPr>
          <w:p>
            <w:pPr>
              <w:spacing w:after="0"/>
              <w:rPr>
                <w:sz w:val="18"/>
                <w:szCs w:val="18"/>
                <w:color w:val="auto"/>
              </w:rPr>
            </w:pPr>
          </w:p>
        </w:tc>
      </w:tr>
      <w:tr>
        <w:trPr>
          <w:trHeight w:val="230"/>
        </w:trPr>
        <w:tc>
          <w:tcPr>
            <w:tcW w:w="10020" w:type="dxa"/>
            <w:vAlign w:val="bottom"/>
          </w:tcPr>
          <w:p>
            <w:pPr>
              <w:jc w:val="center"/>
              <w:ind w:left="1310"/>
              <w:spacing w:after="0"/>
              <w:rPr>
                <w:sz w:val="20"/>
                <w:szCs w:val="20"/>
                <w:color w:val="auto"/>
              </w:rPr>
            </w:pPr>
            <w:r>
              <w:rPr>
                <w:rFonts w:ascii="Arial" w:cs="Arial" w:eastAsia="Arial" w:hAnsi="Arial"/>
                <w:sz w:val="18"/>
                <w:szCs w:val="18"/>
                <w:color w:val="auto"/>
                <w:w w:val="92"/>
              </w:rPr>
              <w:t>(Address of principal executive office)</w:t>
            </w:r>
          </w:p>
        </w:tc>
        <w:tc>
          <w:tcPr>
            <w:tcW w:w="1400" w:type="dxa"/>
            <w:vAlign w:val="bottom"/>
          </w:tcPr>
          <w:p>
            <w:pPr>
              <w:spacing w:after="0"/>
              <w:rPr>
                <w:sz w:val="20"/>
                <w:szCs w:val="20"/>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1400" w:type="dxa"/>
            <w:vAlign w:val="bottom"/>
          </w:tcPr>
          <w:p>
            <w:pPr>
              <w:spacing w:after="0"/>
              <w:rPr>
                <w:sz w:val="24"/>
                <w:szCs w:val="24"/>
                <w:color w:val="auto"/>
              </w:rPr>
            </w:pPr>
          </w:p>
        </w:tc>
      </w:tr>
      <w:tr>
        <w:trPr>
          <w:trHeight w:val="452"/>
        </w:trPr>
        <w:tc>
          <w:tcPr>
            <w:tcW w:w="1002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1400" w:type="dxa"/>
            <w:vAlign w:val="bottom"/>
          </w:tcPr>
          <w:p>
            <w:pPr>
              <w:spacing w:after="0"/>
              <w:rPr>
                <w:sz w:val="24"/>
                <w:szCs w:val="24"/>
                <w:color w:val="auto"/>
              </w:rPr>
            </w:pPr>
          </w:p>
        </w:tc>
      </w:tr>
      <w:tr>
        <w:trPr>
          <w:trHeight w:val="412"/>
        </w:trPr>
        <w:tc>
          <w:tcPr>
            <w:tcW w:w="100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1400" w:type="dxa"/>
            <w:vAlign w:val="bottom"/>
          </w:tcPr>
          <w:p>
            <w:pPr>
              <w:ind w:left="1060"/>
              <w:spacing w:after="0"/>
              <w:rPr>
                <w:sz w:val="20"/>
                <w:szCs w:val="20"/>
                <w:color w:val="auto"/>
              </w:rPr>
            </w:pPr>
            <w:r>
              <w:rPr>
                <w:rFonts w:ascii="Arial" w:cs="Arial" w:eastAsia="Arial" w:hAnsi="Arial"/>
                <w:sz w:val="18"/>
                <w:szCs w:val="18"/>
                <w:color w:val="auto"/>
              </w:rPr>
              <w:t>o</w:t>
            </w: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1400" w:type="dxa"/>
            <w:vAlign w:val="bottom"/>
          </w:tcPr>
          <w:p>
            <w:pPr>
              <w:ind w:left="1060"/>
              <w:spacing w:after="0"/>
              <w:rPr>
                <w:sz w:val="20"/>
                <w:szCs w:val="20"/>
                <w:color w:val="auto"/>
              </w:rPr>
            </w:pPr>
            <w:r>
              <w:rPr>
                <w:rFonts w:ascii="Arial" w:cs="Arial" w:eastAsia="Arial" w:hAnsi="Arial"/>
                <w:sz w:val="18"/>
                <w:szCs w:val="18"/>
                <w:color w:val="auto"/>
              </w:rPr>
              <w:t>o</w:t>
            </w:r>
          </w:p>
        </w:tc>
      </w:tr>
      <w:tr>
        <w:trPr>
          <w:trHeight w:val="709"/>
        </w:trPr>
        <w:tc>
          <w:tcPr>
            <w:tcW w:w="10020" w:type="dxa"/>
            <w:vAlign w:val="bottom"/>
            <w:tcBorders>
              <w:bottom w:val="single" w:sz="8" w:color="C0C0C0"/>
            </w:tcBorders>
          </w:tcPr>
          <w:p>
            <w:pPr>
              <w:spacing w:after="0"/>
              <w:rPr>
                <w:sz w:val="24"/>
                <w:szCs w:val="24"/>
                <w:color w:val="auto"/>
              </w:rPr>
            </w:pPr>
          </w:p>
        </w:tc>
        <w:tc>
          <w:tcPr>
            <w:tcW w:w="140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229" w:right="239" w:bottom="1440" w:gutter="0" w:footer="0" w:header="0"/>
        </w:sectPr>
      </w:pPr>
    </w:p>
    <w:bookmarkStart w:id="1" w:name="page2"/>
    <w:bookmarkEnd w:id="1"/>
    <w:p>
      <w:pPr>
        <w:ind w:firstLine="376"/>
        <w:spacing w:after="0" w:line="277" w:lineRule="auto"/>
        <w:rPr>
          <w:sz w:val="20"/>
          <w:szCs w:val="20"/>
          <w:color w:val="auto"/>
        </w:rPr>
      </w:pPr>
      <w:r>
        <w:rPr>
          <w:rFonts w:ascii="Arial" w:cs="Arial" w:eastAsia="Arial" w:hAnsi="Arial"/>
          <w:sz w:val="18"/>
          <w:szCs w:val="18"/>
          <w:color w:val="auto"/>
        </w:rPr>
        <w:t>The press release issued by GasLog Ltd and Gaslog Partners LP on May 3, 2017 announcing the closing of GasLog Greece acquisition from GasLog Ltd is attached hereto as Exhibit 99.1.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INCORPORATION BY REFERENCE</w:t>
      </w:r>
    </w:p>
    <w:p>
      <w:pPr>
        <w:spacing w:after="0" w:line="200" w:lineRule="exact"/>
        <w:rPr>
          <w:sz w:val="20"/>
          <w:szCs w:val="20"/>
          <w:color w:val="auto"/>
        </w:rPr>
      </w:pPr>
    </w:p>
    <w:p>
      <w:pPr>
        <w:spacing w:after="0" w:line="241" w:lineRule="exact"/>
        <w:rPr>
          <w:sz w:val="20"/>
          <w:szCs w:val="20"/>
          <w:color w:val="auto"/>
        </w:rPr>
      </w:pPr>
    </w:p>
    <w:p>
      <w:pPr>
        <w:ind w:right="200" w:firstLine="772"/>
        <w:spacing w:after="0" w:line="276" w:lineRule="auto"/>
        <w:rPr>
          <w:sz w:val="20"/>
          <w:szCs w:val="20"/>
          <w:color w:val="auto"/>
        </w:rPr>
      </w:pPr>
      <w:r>
        <w:rPr>
          <w:rFonts w:ascii="Arial" w:cs="Arial" w:eastAsia="Arial" w:hAnsi="Arial"/>
          <w:sz w:val="17"/>
          <w:szCs w:val="17"/>
          <w:color w:val="auto"/>
        </w:rPr>
        <w:t>Exhibit 99.1 to this Report on Form 6-K shall be incorporated by reference into our registration statements on Form F-3 (File Nos. 333-188817, 333-194894 and 333-194894), initially filed with the Securities and Exchange Commission (the “SEC”) on May 24, 2013, March 28, 2014 and March 14, 2016 respectively, as amended, and the registration statement on Form S-8 (File No. 333-187020), filed with the SEC on March 4, 2013,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Exhibit</w:t>
        <w:tab/>
        <w:t>Description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May 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701040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827" w:right="259" w:bottom="1440" w:gutter="0" w:footer="0" w:header="0"/>
        </w:sectPr>
      </w:pPr>
    </w:p>
    <w:bookmarkStart w:id="2" w:name="page3"/>
    <w:bookmarkEnd w:id="2"/>
    <w:p>
      <w:pPr>
        <w:jc w:val="center"/>
        <w:ind w:right="-7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3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3, 2017</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p>
      <w:pPr>
        <w:ind w:left="654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Paul A. Wogan</w:t>
      </w:r>
    </w:p>
    <w:p>
      <w:pPr>
        <w:spacing w:after="0" w:line="23"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-130810</wp:posOffset>
            </wp:positionV>
            <wp:extent cx="24612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660"/>
          </w:cols>
          <w:pgMar w:left="240" w:top="800" w:right="99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105" w:lineRule="exact"/>
        <w:rPr>
          <w:sz w:val="20"/>
          <w:szCs w:val="20"/>
          <w:color w:val="auto"/>
        </w:rPr>
      </w:pPr>
    </w:p>
    <w:p>
      <w:pPr>
        <w:jc w:val="center"/>
        <w:ind w:right="60"/>
        <w:spacing w:after="0"/>
        <w:rPr>
          <w:sz w:val="20"/>
          <w:szCs w:val="20"/>
          <w:color w:val="auto"/>
        </w:rPr>
      </w:pPr>
      <w:r>
        <w:rPr>
          <w:rFonts w:ascii="Arial" w:cs="Arial" w:eastAsia="Arial" w:hAnsi="Arial"/>
          <w:sz w:val="25"/>
          <w:szCs w:val="25"/>
          <w:b w:val="1"/>
          <w:bCs w:val="1"/>
          <w:color w:val="auto"/>
        </w:rPr>
        <w:t xml:space="preserve">GasLog Partners LP Announces Closing Of </w:t>
      </w:r>
      <w:r>
        <w:rPr>
          <w:rFonts w:ascii="Arial" w:cs="Arial" w:eastAsia="Arial" w:hAnsi="Arial"/>
          <w:sz w:val="25"/>
          <w:szCs w:val="25"/>
          <w:b w:val="1"/>
          <w:bCs w:val="1"/>
          <w:i w:val="1"/>
          <w:iCs w:val="1"/>
          <w:color w:val="auto"/>
        </w:rPr>
        <w:t>GasLog Greece</w:t>
      </w:r>
      <w:r>
        <w:rPr>
          <w:rFonts w:ascii="Arial" w:cs="Arial" w:eastAsia="Arial" w:hAnsi="Arial"/>
          <w:sz w:val="25"/>
          <w:szCs w:val="25"/>
          <w:b w:val="1"/>
          <w:bCs w:val="1"/>
          <w:color w:val="auto"/>
        </w:rPr>
        <w:t xml:space="preserve"> Acquisition</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From GasLog Ltd.</w:t>
      </w:r>
    </w:p>
    <w:p>
      <w:pPr>
        <w:spacing w:after="0" w:line="200" w:lineRule="exact"/>
        <w:rPr>
          <w:sz w:val="20"/>
          <w:szCs w:val="20"/>
          <w:color w:val="auto"/>
        </w:rPr>
      </w:pPr>
    </w:p>
    <w:p>
      <w:pPr>
        <w:spacing w:after="0" w:line="218" w:lineRule="exact"/>
        <w:rPr>
          <w:sz w:val="20"/>
          <w:szCs w:val="20"/>
          <w:color w:val="auto"/>
        </w:rPr>
      </w:pPr>
    </w:p>
    <w:p>
      <w:pPr>
        <w:ind w:right="140"/>
        <w:spacing w:after="0" w:line="347" w:lineRule="auto"/>
        <w:rPr>
          <w:sz w:val="20"/>
          <w:szCs w:val="20"/>
          <w:color w:val="auto"/>
        </w:rPr>
      </w:pPr>
      <w:r>
        <w:rPr>
          <w:rFonts w:ascii="Arial" w:cs="Arial" w:eastAsia="Arial" w:hAnsi="Arial"/>
          <w:sz w:val="16"/>
          <w:szCs w:val="16"/>
          <w:b w:val="1"/>
          <w:bCs w:val="1"/>
          <w:color w:val="auto"/>
        </w:rPr>
        <w:t xml:space="preserve">MONACO — May 3, 2017 — </w:t>
      </w:r>
      <w:r>
        <w:rPr>
          <w:rFonts w:ascii="Arial" w:cs="Arial" w:eastAsia="Arial" w:hAnsi="Arial"/>
          <w:sz w:val="16"/>
          <w:szCs w:val="16"/>
          <w:color w:val="auto"/>
        </w:rPr>
        <w:t>GasLog Partners LP (NYSE:GLOP) (“GasLog Partners” or the “Partnership”) and GasLog Ltd. (NYSE:GLOG) (“GasLog”)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announced today the closing of the Partnership’s acquisition from GasLog of 100% of the shares in the entity that owns and charters </w:t>
      </w:r>
      <w:r>
        <w:rPr>
          <w:rFonts w:ascii="Arial" w:cs="Arial" w:eastAsia="Arial" w:hAnsi="Arial"/>
          <w:sz w:val="16"/>
          <w:szCs w:val="16"/>
          <w:i w:val="1"/>
          <w:iCs w:val="1"/>
          <w:color w:val="auto"/>
        </w:rPr>
        <w:t>GasLog Greece</w:t>
      </w:r>
      <w:r>
        <w:rPr>
          <w:rFonts w:ascii="Arial" w:cs="Arial" w:eastAsia="Arial" w:hAnsi="Arial"/>
          <w:sz w:val="16"/>
          <w:szCs w:val="16"/>
          <w:color w:val="auto"/>
        </w:rPr>
        <w:t>.</w:t>
      </w:r>
    </w:p>
    <w:p>
      <w:pPr>
        <w:spacing w:after="0" w:line="120"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i w:val="1"/>
          <w:iCs w:val="1"/>
          <w:color w:val="auto"/>
        </w:rPr>
        <w:t xml:space="preserve">GasLog Greece </w:t>
      </w:r>
      <w:r>
        <w:rPr>
          <w:rFonts w:ascii="Arial" w:cs="Arial" w:eastAsia="Arial" w:hAnsi="Arial"/>
          <w:sz w:val="18"/>
          <w:szCs w:val="18"/>
          <w:color w:val="auto"/>
        </w:rPr>
        <w:t>is a 174,000 cubic meter tri-fuel diesel electric liquefied natural gas (“LNG”) carrier built in 2016 and operated by GasLog since delivery.</w:t>
      </w:r>
      <w:r>
        <w:rPr>
          <w:rFonts w:ascii="Arial" w:cs="Arial" w:eastAsia="Arial" w:hAnsi="Arial"/>
          <w:sz w:val="18"/>
          <w:szCs w:val="18"/>
          <w:i w:val="1"/>
          <w:iCs w:val="1"/>
          <w:color w:val="auto"/>
        </w:rPr>
        <w:t xml:space="preserve"> </w:t>
      </w:r>
      <w:r>
        <w:rPr>
          <w:rFonts w:ascii="Arial" w:cs="Arial" w:eastAsia="Arial" w:hAnsi="Arial"/>
          <w:sz w:val="18"/>
          <w:szCs w:val="18"/>
          <w:color w:val="auto"/>
        </w:rPr>
        <w:t>The vessel is currently on a long-term time charter with a wholly owned subsidiary of Royal Dutch Shell plc (“Shell”) through March 2026. Shell has the option to extend the charter for a further five years.</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Partners</w:t>
      </w:r>
    </w:p>
    <w:p>
      <w:pPr>
        <w:spacing w:after="0" w:line="2"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 xml:space="preserve">GasLog Partners is a growth-oriented master limited partnership focused on owning, operating and acquiring LNG carriers under multi-year charters. GasLog Partners’ fleet consists of ten LNG carriers with an average carrying capacity of approximately 152,000 cbm, each of which has a multi-year time charter. GasLog Partners’ principal executive offices are located at Gildo Pastor Center, 7 Rue du Gabian, MC 98000, Monaco. Visit GasLog Partners’ website at </w:t>
      </w:r>
      <w:r>
        <w:rPr>
          <w:rFonts w:ascii="Arial" w:cs="Arial" w:eastAsia="Arial" w:hAnsi="Arial"/>
          <w:sz w:val="18"/>
          <w:szCs w:val="18"/>
          <w:u w:val="single" w:color="auto"/>
          <w:color w:val="0000FF"/>
        </w:rPr>
        <w:t>http://www.gaslogmlp.com</w:t>
      </w:r>
      <w:r>
        <w:rPr>
          <w:rFonts w:ascii="Arial" w:cs="Arial" w:eastAsia="Arial" w:hAnsi="Arial"/>
          <w:sz w:val="18"/>
          <w:szCs w:val="18"/>
          <w:color w:val="000000"/>
        </w:rPr>
        <w: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w:t>
      </w:r>
    </w:p>
    <w:p>
      <w:pPr>
        <w:spacing w:after="0" w:line="2"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 xml:space="preserve">GasLog is an international owner, operator and manager of LNG carriers providing support to international energy companies as part of their LNG logistics chain. GasLog’s consolidated fleet consists of 27 LNG carriers (22 ships on the water and 5 on order). GasLog also has an additional LNG carrier which was sold to a subsidiary of Mitsui Co. Ltd. and leased back under a long-term bareboat charter. GasLog’s consolidated fleet includes ten LNG carriers in operation owned by GasLog’s subsidiary, GasLog Partners. GasLog’s principal executive offices are at Gildo Pastor Center, 7 Rue du Gabian, MC 98000, Monaco. Visit GasLog’s website at </w:t>
      </w:r>
      <w:r>
        <w:rPr>
          <w:rFonts w:ascii="Arial" w:cs="Arial" w:eastAsia="Arial" w:hAnsi="Arial"/>
          <w:sz w:val="18"/>
          <w:szCs w:val="18"/>
          <w:u w:val="single" w:color="auto"/>
          <w:color w:val="0000FF"/>
        </w:rPr>
        <w:t>http://www.gaslogltd.com</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1" w:lineRule="auto"/>
        <w:rPr>
          <w:sz w:val="20"/>
          <w:szCs w:val="20"/>
          <w:color w:val="auto"/>
        </w:rPr>
      </w:pPr>
      <w:r>
        <w:rPr>
          <w:rFonts w:ascii="Arial" w:cs="Arial" w:eastAsia="Arial" w:hAnsi="Arial"/>
          <w:sz w:val="18"/>
          <w:szCs w:val="18"/>
          <w:color w:val="auto"/>
        </w:rPr>
        <w:t>Alastair Maxwell</w:t>
      </w:r>
    </w:p>
    <w:p>
      <w:pPr>
        <w:spacing w:after="0" w:line="219"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+44-203-388-3105</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Jamie Buckland</w:t>
      </w:r>
    </w:p>
    <w:p>
      <w:pPr>
        <w:spacing w:after="0" w:line="219" w:lineRule="auto"/>
        <w:rPr>
          <w:sz w:val="20"/>
          <w:szCs w:val="20"/>
          <w:color w:val="auto"/>
        </w:rPr>
      </w:pPr>
      <w:r>
        <w:rPr>
          <w:rFonts w:ascii="Arial" w:cs="Arial" w:eastAsia="Arial" w:hAnsi="Arial"/>
          <w:sz w:val="18"/>
          <w:szCs w:val="18"/>
          <w:color w:val="auto"/>
        </w:rPr>
        <w:t>Head of Investor Relations</w:t>
      </w:r>
    </w:p>
    <w:p>
      <w:pPr>
        <w:spacing w:after="0" w:line="219" w:lineRule="auto"/>
        <w:rPr>
          <w:sz w:val="20"/>
          <w:szCs w:val="20"/>
          <w:color w:val="auto"/>
        </w:rPr>
      </w:pPr>
      <w:r>
        <w:rPr>
          <w:rFonts w:ascii="Arial" w:cs="Arial" w:eastAsia="Arial" w:hAnsi="Arial"/>
          <w:sz w:val="18"/>
          <w:szCs w:val="18"/>
          <w:color w:val="auto"/>
        </w:rPr>
        <w:t>Phone: +44-203-388-3116</w:t>
      </w:r>
    </w:p>
    <w:p>
      <w:pPr>
        <w:spacing w:after="0"/>
        <w:rPr>
          <w:sz w:val="20"/>
          <w:szCs w:val="20"/>
          <w:color w:val="auto"/>
        </w:rPr>
      </w:pPr>
      <w:r>
        <w:rPr>
          <w:rFonts w:ascii="Arial" w:cs="Arial" w:eastAsia="Arial" w:hAnsi="Arial"/>
          <w:sz w:val="18"/>
          <w:szCs w:val="18"/>
          <w:color w:val="auto"/>
        </w:rPr>
        <w:t>Email: ir@gaslogltd.com</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Samaan Aziz</w:t>
      </w:r>
    </w:p>
    <w:p>
      <w:pPr>
        <w:spacing w:after="0" w:line="219" w:lineRule="auto"/>
        <w:rPr>
          <w:sz w:val="20"/>
          <w:szCs w:val="20"/>
          <w:color w:val="auto"/>
        </w:rPr>
      </w:pPr>
      <w:r>
        <w:rPr>
          <w:rFonts w:ascii="Arial" w:cs="Arial" w:eastAsia="Arial" w:hAnsi="Arial"/>
          <w:sz w:val="18"/>
          <w:szCs w:val="18"/>
          <w:color w:val="auto"/>
        </w:rPr>
        <w:t>Investor Relations Manager</w:t>
      </w:r>
    </w:p>
    <w:p>
      <w:pPr>
        <w:spacing w:after="0" w:line="219" w:lineRule="auto"/>
        <w:rPr>
          <w:sz w:val="20"/>
          <w:szCs w:val="20"/>
          <w:color w:val="auto"/>
        </w:rPr>
      </w:pPr>
      <w:r>
        <w:rPr>
          <w:rFonts w:ascii="Arial" w:cs="Arial" w:eastAsia="Arial" w:hAnsi="Arial"/>
          <w:sz w:val="18"/>
          <w:szCs w:val="18"/>
          <w:color w:val="auto"/>
        </w:rPr>
        <w:t>Phone: +1-212-223-0643</w:t>
      </w:r>
    </w:p>
    <w:p>
      <w:pPr>
        <w:spacing w:after="0"/>
        <w:rPr>
          <w:sz w:val="20"/>
          <w:szCs w:val="20"/>
          <w:color w:val="auto"/>
        </w:rPr>
      </w:pPr>
      <w:r>
        <w:rPr>
          <w:rFonts w:ascii="Arial" w:cs="Arial" w:eastAsia="Arial" w:hAnsi="Arial"/>
          <w:sz w:val="18"/>
          <w:szCs w:val="18"/>
          <w:color w:val="auto"/>
        </w:rPr>
        <w:t>Email: ir@gaslogmlp.com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519430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2019-12-07T17:05:23Z</dcterms:created>
  <dcterms:modified xsi:type="dcterms:W3CDTF">2019-12-07T17:05:23Z</dcterms:modified>
</cp:coreProperties>
</file>