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3"/>
          <w:szCs w:val="23"/>
          <w:color w:val="auto"/>
        </w:rPr>
        <w:t>Use these links to rapidly review the document</w:t>
      </w:r>
    </w:p>
    <w:p>
      <w:pPr>
        <w:spacing w:after="0" w:line="12" w:lineRule="exact"/>
        <w:rPr>
          <w:sz w:val="24"/>
          <w:szCs w:val="24"/>
          <w:color w:val="auto"/>
        </w:rPr>
      </w:pPr>
    </w:p>
    <w:p>
      <w:pPr>
        <w:spacing w:after="0"/>
        <w:rPr>
          <w:rFonts w:ascii="Arial" w:cs="Arial" w:eastAsia="Arial" w:hAnsi="Arial"/>
          <w:sz w:val="23"/>
          <w:szCs w:val="23"/>
          <w:u w:val="single" w:color="auto"/>
          <w:color w:val="0000EE"/>
        </w:rPr>
      </w:pPr>
      <w:hyperlink w:anchor="page4">
        <w:r>
          <w:rPr>
            <w:rFonts w:ascii="Arial" w:cs="Arial" w:eastAsia="Arial" w:hAnsi="Arial"/>
            <w:sz w:val="23"/>
            <w:szCs w:val="23"/>
            <w:u w:val="single" w:color="auto"/>
            <w:color w:val="0000EE"/>
          </w:rPr>
          <w:t>TABLE OF CONTENTS</w:t>
        </w:r>
      </w:hyperlink>
    </w:p>
    <w:p>
      <w:pPr>
        <w:spacing w:after="0" w:line="214" w:lineRule="exact"/>
        <w:rPr>
          <w:sz w:val="24"/>
          <w:szCs w:val="24"/>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33"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EF505F"/>
        </w:rPr>
        <w:t>As filed with the Securities and Exchange Commission on March 12, 2019</w:t>
      </w:r>
    </w:p>
    <w:p>
      <w:pPr>
        <w:spacing w:after="0" w:line="224" w:lineRule="exact"/>
        <w:rPr>
          <w:sz w:val="24"/>
          <w:szCs w:val="24"/>
          <w:color w:val="auto"/>
        </w:rPr>
      </w:pPr>
    </w:p>
    <w:p>
      <w:pPr>
        <w:ind w:left="10280"/>
        <w:spacing w:after="0"/>
        <w:rPr>
          <w:sz w:val="20"/>
          <w:szCs w:val="20"/>
          <w:color w:val="auto"/>
        </w:rPr>
      </w:pPr>
      <w:r>
        <w:rPr>
          <w:rFonts w:ascii="Arial" w:cs="Arial" w:eastAsia="Arial" w:hAnsi="Arial"/>
          <w:sz w:val="12"/>
          <w:szCs w:val="12"/>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410845</wp:posOffset>
            </wp:positionV>
            <wp:extent cx="7625080" cy="450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625080" cy="450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7"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UNITED STATES</w:t>
      </w:r>
    </w:p>
    <w:p>
      <w:pPr>
        <w:spacing w:after="0" w:line="15"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SECURITIES AND EXCHANGE COMMISSION</w:t>
      </w:r>
    </w:p>
    <w:p>
      <w:pPr>
        <w:jc w:val="center"/>
        <w:ind w:right="-3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141605</wp:posOffset>
            </wp:positionV>
            <wp:extent cx="19196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FORM F-3</w:t>
      </w:r>
    </w:p>
    <w:p>
      <w:pPr>
        <w:spacing w:after="0" w:line="19"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REGISTRATION STATEMENT</w:t>
      </w:r>
    </w:p>
    <w:p>
      <w:pPr>
        <w:jc w:val="center"/>
        <w:ind w:right="-39"/>
        <w:spacing w:after="0" w:line="233" w:lineRule="auto"/>
        <w:rPr>
          <w:sz w:val="20"/>
          <w:szCs w:val="20"/>
          <w:color w:val="auto"/>
        </w:rPr>
      </w:pPr>
      <w:r>
        <w:rPr>
          <w:rFonts w:ascii="Arial" w:cs="Arial" w:eastAsia="Arial" w:hAnsi="Arial"/>
          <w:sz w:val="14"/>
          <w:szCs w:val="14"/>
          <w:b w:val="1"/>
          <w:b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141605</wp:posOffset>
            </wp:positionV>
            <wp:extent cx="191960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7" w:lineRule="exact"/>
        <w:rPr>
          <w:sz w:val="24"/>
          <w:szCs w:val="24"/>
          <w:color w:val="auto"/>
        </w:rPr>
      </w:pPr>
    </w:p>
    <w:p>
      <w:pPr>
        <w:jc w:val="center"/>
        <w:ind w:right="-39"/>
        <w:spacing w:after="0"/>
        <w:rPr>
          <w:sz w:val="20"/>
          <w:szCs w:val="20"/>
          <w:color w:val="auto"/>
        </w:rPr>
      </w:pPr>
      <w:r>
        <w:rPr>
          <w:rFonts w:ascii="Arial" w:cs="Arial" w:eastAsia="Arial" w:hAnsi="Arial"/>
          <w:sz w:val="23"/>
          <w:szCs w:val="23"/>
          <w:b w:val="1"/>
          <w:bCs w:val="1"/>
          <w:color w:val="auto"/>
        </w:rPr>
        <w:t>GasLog Ltd.</w:t>
      </w:r>
    </w:p>
    <w:p>
      <w:pPr>
        <w:spacing w:after="0" w:line="23"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(Exact Name of Registrant as Specified in its Charter)</w:t>
      </w:r>
    </w:p>
    <w:p>
      <w:pPr>
        <w:spacing w:after="0" w:line="208" w:lineRule="exact"/>
        <w:rPr>
          <w:sz w:val="24"/>
          <w:szCs w:val="24"/>
          <w:color w:val="auto"/>
        </w:rPr>
      </w:pPr>
    </w:p>
    <w:p>
      <w:pPr>
        <w:jc w:val="center"/>
        <w:ind w:right="-39"/>
        <w:spacing w:after="0"/>
        <w:rPr>
          <w:sz w:val="20"/>
          <w:szCs w:val="20"/>
          <w:color w:val="auto"/>
        </w:rPr>
      </w:pPr>
      <w:r>
        <w:rPr>
          <w:rFonts w:ascii="Arial" w:cs="Arial" w:eastAsia="Arial" w:hAnsi="Arial"/>
          <w:sz w:val="14"/>
          <w:szCs w:val="14"/>
          <w:b w:val="1"/>
          <w:bCs w:val="1"/>
          <w:color w:val="auto"/>
        </w:rPr>
        <w:t>Not Applicable</w:t>
      </w:r>
    </w:p>
    <w:p>
      <w:pPr>
        <w:spacing w:after="0" w:line="12" w:lineRule="exact"/>
        <w:rPr>
          <w:sz w:val="24"/>
          <w:szCs w:val="24"/>
          <w:color w:val="auto"/>
        </w:rPr>
      </w:pPr>
    </w:p>
    <w:p>
      <w:pPr>
        <w:jc w:val="center"/>
        <w:ind w:right="-39"/>
        <w:spacing w:after="0"/>
        <w:rPr>
          <w:sz w:val="20"/>
          <w:szCs w:val="20"/>
          <w:color w:val="auto"/>
        </w:rPr>
      </w:pPr>
      <w:r>
        <w:rPr>
          <w:rFonts w:ascii="Arial" w:cs="Arial" w:eastAsia="Arial" w:hAnsi="Arial"/>
          <w:sz w:val="14"/>
          <w:szCs w:val="14"/>
          <w:color w:val="auto"/>
        </w:rPr>
        <w:t>(Translation of Registrant's Name into English)</w:t>
      </w:r>
    </w:p>
    <w:p>
      <w:pPr>
        <w:sectPr>
          <w:pgSz w:w="12240" w:h="15840" w:orient="portrait"/>
          <w:cols w:equalWidth="0" w:num="1">
            <w:col w:w="11960"/>
          </w:cols>
          <w:pgMar w:left="120" w:top="575" w:right="160" w:bottom="0" w:gutter="0" w:footer="0" w:header="0"/>
        </w:sectPr>
      </w:pPr>
    </w:p>
    <w:p>
      <w:pPr>
        <w:spacing w:after="0" w:line="208" w:lineRule="exact"/>
        <w:rPr>
          <w:sz w:val="24"/>
          <w:szCs w:val="24"/>
          <w:color w:val="auto"/>
        </w:rPr>
      </w:pPr>
    </w:p>
    <w:p>
      <w:pPr>
        <w:jc w:val="center"/>
        <w:ind w:left="2240"/>
        <w:spacing w:after="0"/>
        <w:rPr>
          <w:sz w:val="20"/>
          <w:szCs w:val="20"/>
          <w:color w:val="auto"/>
        </w:rPr>
      </w:pPr>
      <w:r>
        <w:rPr>
          <w:rFonts w:ascii="Arial" w:cs="Arial" w:eastAsia="Arial" w:hAnsi="Arial"/>
          <w:sz w:val="14"/>
          <w:szCs w:val="14"/>
          <w:b w:val="1"/>
          <w:bCs w:val="1"/>
          <w:color w:val="auto"/>
        </w:rPr>
        <w:t>Bermuda</w:t>
      </w:r>
    </w:p>
    <w:p>
      <w:pPr>
        <w:spacing w:after="0" w:line="12" w:lineRule="exact"/>
        <w:rPr>
          <w:sz w:val="24"/>
          <w:szCs w:val="24"/>
          <w:color w:val="auto"/>
        </w:rPr>
      </w:pPr>
    </w:p>
    <w:p>
      <w:pPr>
        <w:jc w:val="center"/>
        <w:ind w:left="2240"/>
        <w:spacing w:after="0"/>
        <w:rPr>
          <w:sz w:val="20"/>
          <w:szCs w:val="20"/>
          <w:color w:val="auto"/>
        </w:rPr>
      </w:pPr>
      <w:r>
        <w:rPr>
          <w:rFonts w:ascii="Arial" w:cs="Arial" w:eastAsia="Arial" w:hAnsi="Arial"/>
          <w:sz w:val="13"/>
          <w:szCs w:val="13"/>
          <w:color w:val="auto"/>
        </w:rPr>
        <w:t>(State or other Jurisdiction of Incorporation or</w:t>
      </w:r>
    </w:p>
    <w:p>
      <w:pPr>
        <w:spacing w:after="0" w:line="7" w:lineRule="exact"/>
        <w:rPr>
          <w:sz w:val="24"/>
          <w:szCs w:val="24"/>
          <w:color w:val="auto"/>
        </w:rPr>
      </w:pPr>
    </w:p>
    <w:p>
      <w:pPr>
        <w:jc w:val="center"/>
        <w:ind w:left="2240"/>
        <w:spacing w:after="0"/>
        <w:rPr>
          <w:sz w:val="20"/>
          <w:szCs w:val="20"/>
          <w:color w:val="auto"/>
        </w:rPr>
      </w:pPr>
      <w:r>
        <w:rPr>
          <w:rFonts w:ascii="Arial" w:cs="Arial" w:eastAsia="Arial" w:hAnsi="Arial"/>
          <w:sz w:val="14"/>
          <w:szCs w:val="14"/>
          <w:color w:val="auto"/>
        </w:rPr>
        <w:t>Organization)</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jc w:val="center"/>
        <w:ind w:right="2920"/>
        <w:spacing w:after="0"/>
        <w:rPr>
          <w:sz w:val="20"/>
          <w:szCs w:val="20"/>
          <w:color w:val="auto"/>
        </w:rPr>
      </w:pPr>
      <w:r>
        <w:rPr>
          <w:rFonts w:ascii="Arial" w:cs="Arial" w:eastAsia="Arial" w:hAnsi="Arial"/>
          <w:sz w:val="14"/>
          <w:szCs w:val="14"/>
          <w:b w:val="1"/>
          <w:bCs w:val="1"/>
          <w:color w:val="auto"/>
        </w:rPr>
        <w:t>N/A</w:t>
      </w:r>
    </w:p>
    <w:p>
      <w:pPr>
        <w:spacing w:after="0" w:line="12" w:lineRule="exact"/>
        <w:rPr>
          <w:sz w:val="24"/>
          <w:szCs w:val="24"/>
          <w:color w:val="auto"/>
        </w:rPr>
      </w:pPr>
    </w:p>
    <w:p>
      <w:pPr>
        <w:jc w:val="center"/>
        <w:ind w:right="2920"/>
        <w:spacing w:after="0"/>
        <w:rPr>
          <w:sz w:val="20"/>
          <w:szCs w:val="20"/>
          <w:color w:val="auto"/>
        </w:rPr>
      </w:pPr>
      <w:r>
        <w:rPr>
          <w:rFonts w:ascii="Arial" w:cs="Arial" w:eastAsia="Arial" w:hAnsi="Arial"/>
          <w:sz w:val="13"/>
          <w:szCs w:val="13"/>
          <w:color w:val="auto"/>
        </w:rPr>
        <w:t>(I.R.S. Employer Identification Number)</w:t>
      </w:r>
    </w:p>
    <w:p>
      <w:pPr>
        <w:spacing w:after="0" w:line="368" w:lineRule="exact"/>
        <w:rPr>
          <w:sz w:val="24"/>
          <w:szCs w:val="24"/>
          <w:color w:val="auto"/>
        </w:rPr>
      </w:pPr>
    </w:p>
    <w:p>
      <w:pPr>
        <w:sectPr>
          <w:pgSz w:w="12240" w:h="15840" w:orient="portrait"/>
          <w:cols w:equalWidth="0" w:num="2">
            <w:col w:w="6000" w:space="720"/>
            <w:col w:w="5240"/>
          </w:cols>
          <w:pgMar w:left="120" w:top="575" w:right="160" w:bottom="0" w:gutter="0" w:footer="0" w:header="0"/>
          <w:type w:val="continuous"/>
        </w:sectPr>
      </w:pP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c/o GasLog Monaco S.A.M.</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Gildo Pastor Center</w:t>
      </w:r>
    </w:p>
    <w:p>
      <w:pPr>
        <w:jc w:val="center"/>
        <w:ind w:right="-19"/>
        <w:spacing w:after="0" w:line="233" w:lineRule="auto"/>
        <w:rPr>
          <w:sz w:val="20"/>
          <w:szCs w:val="20"/>
          <w:color w:val="auto"/>
        </w:rPr>
      </w:pPr>
      <w:r>
        <w:rPr>
          <w:rFonts w:ascii="Arial" w:cs="Arial" w:eastAsia="Arial" w:hAnsi="Arial"/>
          <w:sz w:val="14"/>
          <w:szCs w:val="14"/>
          <w:b w:val="1"/>
          <w:bCs w:val="1"/>
          <w:color w:val="auto"/>
        </w:rPr>
        <w:t>7 Rue du Gabian</w:t>
      </w:r>
    </w:p>
    <w:p>
      <w:pPr>
        <w:jc w:val="center"/>
        <w:ind w:right="-19"/>
        <w:spacing w:after="0" w:line="234" w:lineRule="auto"/>
        <w:rPr>
          <w:sz w:val="20"/>
          <w:szCs w:val="20"/>
          <w:color w:val="auto"/>
        </w:rPr>
      </w:pPr>
      <w:r>
        <w:rPr>
          <w:rFonts w:ascii="Arial" w:cs="Arial" w:eastAsia="Arial" w:hAnsi="Arial"/>
          <w:sz w:val="14"/>
          <w:szCs w:val="14"/>
          <w:b w:val="1"/>
          <w:bCs w:val="1"/>
          <w:color w:val="auto"/>
        </w:rPr>
        <w:t>MC 98000, Monaco</w:t>
      </w:r>
    </w:p>
    <w:p>
      <w:pPr>
        <w:jc w:val="center"/>
        <w:ind w:right="-19"/>
        <w:spacing w:after="0" w:line="234" w:lineRule="auto"/>
        <w:rPr>
          <w:sz w:val="20"/>
          <w:szCs w:val="20"/>
          <w:color w:val="auto"/>
        </w:rPr>
      </w:pPr>
      <w:r>
        <w:rPr>
          <w:rFonts w:ascii="Arial" w:cs="Arial" w:eastAsia="Arial" w:hAnsi="Arial"/>
          <w:sz w:val="14"/>
          <w:szCs w:val="14"/>
          <w:b w:val="1"/>
          <w:bCs w:val="1"/>
          <w:color w:val="auto"/>
        </w:rPr>
        <w:t>+377 97 97 51 15</w:t>
      </w:r>
    </w:p>
    <w:p>
      <w:pPr>
        <w:jc w:val="center"/>
        <w:ind w:right="-19"/>
        <w:spacing w:after="0"/>
        <w:rPr>
          <w:sz w:val="20"/>
          <w:szCs w:val="20"/>
          <w:color w:val="auto"/>
        </w:rPr>
      </w:pPr>
      <w:r>
        <w:rPr>
          <w:rFonts w:ascii="Arial" w:cs="Arial" w:eastAsia="Arial" w:hAnsi="Arial"/>
          <w:sz w:val="14"/>
          <w:szCs w:val="14"/>
          <w:color w:val="auto"/>
        </w:rPr>
        <w:t>(Address and telephone number of Registrant's principal executive offices)</w:t>
      </w: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Puglisi &amp; Associates</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850 Library Avenue, Suite 204</w:t>
      </w:r>
    </w:p>
    <w:p>
      <w:pPr>
        <w:jc w:val="center"/>
        <w:ind w:right="-19"/>
        <w:spacing w:after="0" w:line="233" w:lineRule="auto"/>
        <w:rPr>
          <w:sz w:val="20"/>
          <w:szCs w:val="20"/>
          <w:color w:val="auto"/>
        </w:rPr>
      </w:pPr>
      <w:r>
        <w:rPr>
          <w:rFonts w:ascii="Arial" w:cs="Arial" w:eastAsia="Arial" w:hAnsi="Arial"/>
          <w:sz w:val="14"/>
          <w:szCs w:val="14"/>
          <w:b w:val="1"/>
          <w:bCs w:val="1"/>
          <w:color w:val="auto"/>
        </w:rPr>
        <w:t>Newark, Delaware 19711</w:t>
      </w:r>
    </w:p>
    <w:p>
      <w:pPr>
        <w:jc w:val="center"/>
        <w:ind w:right="-19"/>
        <w:spacing w:after="0" w:line="234" w:lineRule="auto"/>
        <w:rPr>
          <w:sz w:val="20"/>
          <w:szCs w:val="20"/>
          <w:color w:val="auto"/>
        </w:rPr>
      </w:pPr>
      <w:r>
        <w:rPr>
          <w:rFonts w:ascii="Arial" w:cs="Arial" w:eastAsia="Arial" w:hAnsi="Arial"/>
          <w:sz w:val="14"/>
          <w:szCs w:val="14"/>
          <w:b w:val="1"/>
          <w:bCs w:val="1"/>
          <w:color w:val="auto"/>
        </w:rPr>
        <w:t>(302) 738-6680</w:t>
      </w:r>
    </w:p>
    <w:p>
      <w:pPr>
        <w:jc w:val="center"/>
        <w:ind w:right="-19"/>
        <w:spacing w:after="0"/>
        <w:rPr>
          <w:sz w:val="20"/>
          <w:szCs w:val="20"/>
          <w:color w:val="auto"/>
        </w:rPr>
      </w:pPr>
      <w:r>
        <w:rPr>
          <w:rFonts w:ascii="Arial" w:cs="Arial" w:eastAsia="Arial" w:hAnsi="Arial"/>
          <w:sz w:val="14"/>
          <w:szCs w:val="14"/>
          <w:color w:val="auto"/>
        </w:rPr>
        <w:t>(Name, address and telephone number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141605</wp:posOffset>
            </wp:positionV>
            <wp:extent cx="191960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With copies to:</w:t>
      </w: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D. Scott Bennett, Esq.</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Cravath, Swaine &amp; Moore LLP</w:t>
      </w:r>
    </w:p>
    <w:p>
      <w:pPr>
        <w:jc w:val="center"/>
        <w:ind w:right="-19"/>
        <w:spacing w:after="0" w:line="233" w:lineRule="auto"/>
        <w:rPr>
          <w:sz w:val="20"/>
          <w:szCs w:val="20"/>
          <w:color w:val="auto"/>
        </w:rPr>
      </w:pPr>
      <w:r>
        <w:rPr>
          <w:rFonts w:ascii="Arial" w:cs="Arial" w:eastAsia="Arial" w:hAnsi="Arial"/>
          <w:sz w:val="14"/>
          <w:szCs w:val="14"/>
          <w:b w:val="1"/>
          <w:bCs w:val="1"/>
          <w:color w:val="auto"/>
        </w:rPr>
        <w:t>Worldwide Plaza</w:t>
      </w:r>
    </w:p>
    <w:p>
      <w:pPr>
        <w:jc w:val="center"/>
        <w:ind w:right="-19"/>
        <w:spacing w:after="0" w:line="234" w:lineRule="auto"/>
        <w:rPr>
          <w:sz w:val="20"/>
          <w:szCs w:val="20"/>
          <w:color w:val="auto"/>
        </w:rPr>
      </w:pPr>
      <w:r>
        <w:rPr>
          <w:rFonts w:ascii="Arial" w:cs="Arial" w:eastAsia="Arial" w:hAnsi="Arial"/>
          <w:sz w:val="14"/>
          <w:szCs w:val="14"/>
          <w:b w:val="1"/>
          <w:bCs w:val="1"/>
          <w:color w:val="auto"/>
        </w:rPr>
        <w:t>825 Eighth Avenue</w:t>
      </w:r>
    </w:p>
    <w:p>
      <w:pPr>
        <w:jc w:val="center"/>
        <w:ind w:right="-19"/>
        <w:spacing w:after="0" w:line="234" w:lineRule="auto"/>
        <w:rPr>
          <w:sz w:val="20"/>
          <w:szCs w:val="20"/>
          <w:color w:val="auto"/>
        </w:rPr>
      </w:pPr>
      <w:r>
        <w:rPr>
          <w:rFonts w:ascii="Arial" w:cs="Arial" w:eastAsia="Arial" w:hAnsi="Arial"/>
          <w:sz w:val="14"/>
          <w:szCs w:val="14"/>
          <w:b w:val="1"/>
          <w:bCs w:val="1"/>
          <w:color w:val="auto"/>
        </w:rPr>
        <w:t>New York, New York 10019</w:t>
      </w:r>
    </w:p>
    <w:p>
      <w:pPr>
        <w:jc w:val="center"/>
        <w:ind w:right="-19"/>
        <w:spacing w:after="0"/>
        <w:rPr>
          <w:sz w:val="20"/>
          <w:szCs w:val="20"/>
          <w:color w:val="auto"/>
        </w:rPr>
      </w:pPr>
      <w:r>
        <w:rPr>
          <w:rFonts w:ascii="Arial" w:cs="Arial" w:eastAsia="Arial" w:hAnsi="Arial"/>
          <w:sz w:val="14"/>
          <w:szCs w:val="14"/>
          <w:b w:val="1"/>
          <w:bCs w:val="1"/>
          <w:color w:val="auto"/>
        </w:rPr>
        <w:t>(212) 474-1000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2848610</wp:posOffset>
            </wp:positionH>
            <wp:positionV relativeFrom="paragraph">
              <wp:posOffset>141605</wp:posOffset>
            </wp:positionV>
            <wp:extent cx="19196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9196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1" w:lineRule="exact"/>
        <w:rPr>
          <w:sz w:val="24"/>
          <w:szCs w:val="24"/>
          <w:color w:val="auto"/>
        </w:rPr>
      </w:pPr>
    </w:p>
    <w:p>
      <w:pPr>
        <w:ind w:left="460"/>
        <w:spacing w:after="0"/>
        <w:rPr>
          <w:sz w:val="20"/>
          <w:szCs w:val="20"/>
          <w:color w:val="auto"/>
        </w:rPr>
      </w:pPr>
      <w:r>
        <w:rPr>
          <w:rFonts w:ascii="Arial" w:cs="Arial" w:eastAsia="Arial" w:hAnsi="Arial"/>
          <w:sz w:val="14"/>
          <w:szCs w:val="14"/>
          <w:b w:val="1"/>
          <w:bCs w:val="1"/>
          <w:i w:val="1"/>
          <w:iCs w:val="1"/>
          <w:color w:val="auto"/>
        </w:rPr>
        <w:t>Approximate Date of Commencement of Proposed Sale of the Securities to the Public</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From time to time after the effective date of this Registration Statement.</w:t>
      </w:r>
    </w:p>
    <w:p>
      <w:pPr>
        <w:spacing w:after="0" w:line="228" w:lineRule="exact"/>
        <w:rPr>
          <w:sz w:val="24"/>
          <w:szCs w:val="24"/>
          <w:color w:val="auto"/>
        </w:rPr>
      </w:pPr>
    </w:p>
    <w:p>
      <w:pPr>
        <w:ind w:left="460"/>
        <w:spacing w:after="0"/>
        <w:rPr>
          <w:sz w:val="20"/>
          <w:szCs w:val="20"/>
          <w:color w:val="auto"/>
        </w:rPr>
      </w:pPr>
      <w:r>
        <w:rPr>
          <w:rFonts w:ascii="Arial" w:cs="Arial" w:eastAsia="Arial" w:hAnsi="Arial"/>
          <w:sz w:val="14"/>
          <w:szCs w:val="14"/>
          <w:color w:val="auto"/>
        </w:rPr>
        <w:t>If only securities being registered on this Form are being offered pursuant to dividend or interest reinvestment plans, please check the following box. o</w:t>
      </w:r>
    </w:p>
    <w:p>
      <w:pPr>
        <w:spacing w:after="0" w:line="224" w:lineRule="exact"/>
        <w:rPr>
          <w:sz w:val="24"/>
          <w:szCs w:val="24"/>
          <w:color w:val="auto"/>
        </w:rPr>
      </w:pPr>
    </w:p>
    <w:p>
      <w:pPr>
        <w:ind w:left="460"/>
        <w:spacing w:after="0"/>
        <w:rPr>
          <w:sz w:val="20"/>
          <w:szCs w:val="20"/>
          <w:color w:val="auto"/>
        </w:rPr>
      </w:pPr>
      <w:r>
        <w:rPr>
          <w:rFonts w:ascii="Arial" w:cs="Arial" w:eastAsia="Arial" w:hAnsi="Arial"/>
          <w:sz w:val="13"/>
          <w:szCs w:val="13"/>
          <w:color w:val="auto"/>
        </w:rPr>
        <w:t>If any of the securities being registered on this Form are to be offered on a delayed or continuous basis pursuant to Rule 415 under the Securities Act of 1933, check the following box. Ã½</w:t>
      </w:r>
    </w:p>
    <w:p>
      <w:pPr>
        <w:spacing w:after="0" w:line="236" w:lineRule="exact"/>
        <w:rPr>
          <w:sz w:val="24"/>
          <w:szCs w:val="24"/>
          <w:color w:val="auto"/>
        </w:rPr>
      </w:pPr>
    </w:p>
    <w:p>
      <w:pPr>
        <w:ind w:right="320" w:firstLine="464"/>
        <w:spacing w:after="0" w:line="263"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o</w:t>
      </w:r>
    </w:p>
    <w:p>
      <w:pPr>
        <w:spacing w:after="0" w:line="189" w:lineRule="exact"/>
        <w:rPr>
          <w:sz w:val="24"/>
          <w:szCs w:val="24"/>
          <w:color w:val="auto"/>
        </w:rPr>
      </w:pPr>
    </w:p>
    <w:p>
      <w:pPr>
        <w:ind w:firstLine="464"/>
        <w:spacing w:after="0" w:line="263"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89" w:lineRule="exact"/>
        <w:rPr>
          <w:sz w:val="24"/>
          <w:szCs w:val="24"/>
          <w:color w:val="auto"/>
        </w:rPr>
      </w:pPr>
    </w:p>
    <w:p>
      <w:pPr>
        <w:ind w:right="180" w:firstLine="464"/>
        <w:spacing w:after="0" w:line="263" w:lineRule="auto"/>
        <w:rPr>
          <w:sz w:val="20"/>
          <w:szCs w:val="20"/>
          <w:color w:val="auto"/>
        </w:rPr>
      </w:pPr>
      <w:r>
        <w:rPr>
          <w:rFonts w:ascii="Arial" w:cs="Arial" w:eastAsia="Arial" w:hAnsi="Arial"/>
          <w:sz w:val="14"/>
          <w:szCs w:val="14"/>
          <w:color w:val="auto"/>
        </w:rPr>
        <w:t>If this Form is a registration statement pursuant to General Instruction I.C. or a post-effective amendment thereto that shall become effective upon filing with the Commission pursuant to Rule 462(e) under the Securities Act, check the following box. o</w:t>
      </w:r>
    </w:p>
    <w:p>
      <w:pPr>
        <w:sectPr>
          <w:pgSz w:w="12240" w:h="15840" w:orient="portrait"/>
          <w:cols w:equalWidth="0" w:num="1">
            <w:col w:w="11960"/>
          </w:cols>
          <w:pgMar w:left="120" w:top="575" w:right="160" w:bottom="0" w:gutter="0" w:footer="0" w:header="0"/>
          <w:type w:val="continuous"/>
        </w:sectPr>
      </w:pPr>
    </w:p>
    <w:bookmarkStart w:id="1" w:name="page2"/>
    <w:bookmarkEnd w:id="1"/>
    <w:p>
      <w:pPr>
        <w:ind w:left="6" w:right="560" w:firstLine="464"/>
        <w:spacing w:after="0" w:line="247" w:lineRule="auto"/>
        <w:rPr>
          <w:sz w:val="20"/>
          <w:szCs w:val="20"/>
          <w:color w:val="auto"/>
        </w:rPr>
      </w:pPr>
      <w:r>
        <w:rPr>
          <w:rFonts w:ascii="Arial" w:cs="Arial" w:eastAsia="Arial" w:hAnsi="Arial"/>
          <w:sz w:val="14"/>
          <w:szCs w:val="14"/>
          <w:color w:val="auto"/>
        </w:rPr>
        <w:t>If this Form is a post-effective amendment to a registration statement filed pursuant to General Instruction I.C. filed to register additional securities or additional classes of securities pursuant to Rule 413(b) under the Securities Act, check the following box. o</w:t>
      </w:r>
    </w:p>
    <w:p>
      <w:pPr>
        <w:spacing w:after="0" w:line="200" w:lineRule="exact"/>
        <w:rPr>
          <w:sz w:val="20"/>
          <w:szCs w:val="20"/>
          <w:color w:val="auto"/>
        </w:rPr>
      </w:pPr>
    </w:p>
    <w:p>
      <w:pPr>
        <w:ind w:left="466"/>
        <w:spacing w:after="0"/>
        <w:rPr>
          <w:sz w:val="20"/>
          <w:szCs w:val="20"/>
          <w:color w:val="auto"/>
        </w:rPr>
      </w:pPr>
      <w:r>
        <w:rPr>
          <w:rFonts w:ascii="Arial" w:cs="Arial" w:eastAsia="Arial" w:hAnsi="Arial"/>
          <w:sz w:val="14"/>
          <w:szCs w:val="14"/>
          <w:color w:val="auto"/>
        </w:rPr>
        <w:t>Indicate by check mark whether the registrant is an emerging growth company as defined in Rule 405 of the Securities Act of 1933.</w:t>
      </w:r>
    </w:p>
    <w:p>
      <w:pPr>
        <w:spacing w:after="0" w:line="224" w:lineRule="exact"/>
        <w:rPr>
          <w:sz w:val="20"/>
          <w:szCs w:val="20"/>
          <w:color w:val="auto"/>
        </w:rPr>
      </w:pPr>
    </w:p>
    <w:p>
      <w:pPr>
        <w:jc w:val="right"/>
        <w:spacing w:after="0"/>
        <w:rPr>
          <w:sz w:val="20"/>
          <w:szCs w:val="20"/>
          <w:color w:val="auto"/>
        </w:rPr>
      </w:pPr>
      <w:r>
        <w:rPr>
          <w:rFonts w:ascii="Arial" w:cs="Arial" w:eastAsia="Arial" w:hAnsi="Arial"/>
          <w:sz w:val="14"/>
          <w:szCs w:val="14"/>
          <w:color w:val="auto"/>
        </w:rPr>
        <w:t>Emerging Growth Company o</w:t>
      </w:r>
    </w:p>
    <w:p>
      <w:pPr>
        <w:spacing w:after="0" w:line="224" w:lineRule="exact"/>
        <w:rPr>
          <w:sz w:val="20"/>
          <w:szCs w:val="20"/>
          <w:color w:val="auto"/>
        </w:rPr>
      </w:pPr>
    </w:p>
    <w:p>
      <w:pPr>
        <w:ind w:left="6" w:right="280" w:firstLine="464"/>
        <w:spacing w:after="0" w:line="263" w:lineRule="auto"/>
        <w:rPr>
          <w:sz w:val="20"/>
          <w:szCs w:val="20"/>
          <w:color w:val="auto"/>
        </w:rPr>
      </w:pPr>
      <w:r>
        <w:rPr>
          <w:rFonts w:ascii="Arial" w:cs="Arial" w:eastAsia="Arial" w:hAnsi="Arial"/>
          <w:sz w:val="14"/>
          <w:szCs w:val="14"/>
          <w:color w:val="auto"/>
        </w:rPr>
        <w:t>If an emerging growth company that prepares its financial statements in accordance with U.S. GAAP, indicate by check mark if the registrant has elected not to use the extended transition period for complying with any new or revised financial accounting standardsâ€ provided pursuant to Section 7(a)(2)(B) of the Securities Act. o</w:t>
      </w:r>
    </w:p>
    <w:p>
      <w:pPr>
        <w:spacing w:after="0" w:line="189" w:lineRule="exact"/>
        <w:rPr>
          <w:sz w:val="20"/>
          <w:szCs w:val="20"/>
          <w:color w:val="auto"/>
        </w:rPr>
      </w:pPr>
    </w:p>
    <w:p>
      <w:pPr>
        <w:jc w:val="center"/>
        <w:ind w:right="-45"/>
        <w:spacing w:after="0"/>
        <w:rPr>
          <w:sz w:val="20"/>
          <w:szCs w:val="20"/>
          <w:color w:val="auto"/>
        </w:rPr>
      </w:pPr>
      <w:r>
        <w:rPr>
          <w:rFonts w:ascii="Arial" w:cs="Arial" w:eastAsia="Arial" w:hAnsi="Arial"/>
          <w:sz w:val="14"/>
          <w:szCs w:val="14"/>
          <w:color w:val="auto"/>
        </w:rPr>
        <w:t>â€ The term "new or revised financial accounting standard" refers to any update issued by the Financial Accounting Standards Board to its Accounting Standards Codification after April 5, 2012.</w:t>
      </w:r>
    </w:p>
    <w:p>
      <w:pPr>
        <w:spacing w:after="0" w:line="220" w:lineRule="exact"/>
        <w:rPr>
          <w:sz w:val="20"/>
          <w:szCs w:val="20"/>
          <w:color w:val="auto"/>
        </w:rPr>
      </w:pPr>
    </w:p>
    <w:p>
      <w:pPr>
        <w:jc w:val="center"/>
        <w:ind w:right="-5"/>
        <w:spacing w:after="0"/>
        <w:rPr>
          <w:sz w:val="20"/>
          <w:szCs w:val="20"/>
          <w:color w:val="auto"/>
        </w:rPr>
      </w:pPr>
      <w:r>
        <w:rPr>
          <w:rFonts w:ascii="Arial" w:cs="Arial" w:eastAsia="Arial" w:hAnsi="Arial"/>
          <w:sz w:val="14"/>
          <w:szCs w:val="14"/>
          <w:b w:val="1"/>
          <w:bCs w:val="1"/>
          <w:color w:val="auto"/>
        </w:rPr>
        <w:t>CALCULATION OF REGISTRATION FEE</w:t>
      </w:r>
    </w:p>
    <w:p>
      <w:pPr>
        <w:spacing w:after="0" w:line="200" w:lineRule="exact"/>
        <w:rPr>
          <w:sz w:val="20"/>
          <w:szCs w:val="20"/>
          <w:color w:val="auto"/>
        </w:rPr>
      </w:pPr>
    </w:p>
    <w:p>
      <w:pPr>
        <w:spacing w:after="0" w:line="275" w:lineRule="exact"/>
        <w:rPr>
          <w:sz w:val="20"/>
          <w:szCs w:val="20"/>
          <w:color w:val="auto"/>
        </w:rPr>
      </w:pPr>
    </w:p>
    <w:tbl>
      <w:tblPr>
        <w:tblLayout w:type="fixed"/>
        <w:tblInd w:w="1446"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4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46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140" w:type="dxa"/>
            <w:vAlign w:val="bottom"/>
            <w:tcBorders>
              <w:top w:val="single" w:sz="8" w:color="auto"/>
              <w:bottom w:val="single" w:sz="8" w:color="auto"/>
            </w:tcBorders>
          </w:tcPr>
          <w:p>
            <w:pPr>
              <w:spacing w:after="0"/>
              <w:rPr>
                <w:sz w:val="3"/>
                <w:szCs w:val="3"/>
                <w:color w:val="auto"/>
              </w:rPr>
            </w:pPr>
          </w:p>
        </w:tc>
      </w:tr>
      <w:tr>
        <w:trPr>
          <w:trHeight w:val="125"/>
        </w:trPr>
        <w:tc>
          <w:tcPr>
            <w:tcW w:w="2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6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3"/>
              </w:rPr>
              <w:t>Proposed Maximum</w:t>
            </w:r>
          </w:p>
        </w:tc>
        <w:tc>
          <w:tcPr>
            <w:tcW w:w="1520" w:type="dxa"/>
            <w:vAlign w:val="bottom"/>
          </w:tcPr>
          <w:p>
            <w:pPr>
              <w:jc w:val="center"/>
              <w:ind w:right="13"/>
              <w:spacing w:after="0" w:line="125" w:lineRule="exact"/>
              <w:rPr>
                <w:sz w:val="20"/>
                <w:szCs w:val="20"/>
                <w:color w:val="auto"/>
              </w:rPr>
            </w:pPr>
            <w:r>
              <w:rPr>
                <w:rFonts w:ascii="Arial" w:cs="Arial" w:eastAsia="Arial" w:hAnsi="Arial"/>
                <w:sz w:val="14"/>
                <w:szCs w:val="14"/>
                <w:b w:val="1"/>
                <w:bCs w:val="1"/>
                <w:color w:val="auto"/>
                <w:w w:val="93"/>
              </w:rPr>
              <w:t>Proposed Maximum</w:t>
            </w:r>
          </w:p>
        </w:tc>
        <w:tc>
          <w:tcPr>
            <w:tcW w:w="1140" w:type="dxa"/>
            <w:vAlign w:val="bottom"/>
          </w:tcPr>
          <w:p>
            <w:pPr>
              <w:jc w:val="center"/>
              <w:spacing w:after="0" w:line="125" w:lineRule="exact"/>
              <w:rPr>
                <w:sz w:val="20"/>
                <w:szCs w:val="20"/>
                <w:color w:val="auto"/>
              </w:rPr>
            </w:pPr>
            <w:r>
              <w:rPr>
                <w:rFonts w:ascii="Arial" w:cs="Arial" w:eastAsia="Arial" w:hAnsi="Arial"/>
                <w:sz w:val="14"/>
                <w:szCs w:val="14"/>
                <w:b w:val="1"/>
                <w:bCs w:val="1"/>
                <w:color w:val="auto"/>
                <w:w w:val="94"/>
              </w:rPr>
              <w:t>Amount of</w:t>
            </w:r>
          </w:p>
        </w:tc>
      </w:tr>
      <w:tr>
        <w:trPr>
          <w:trHeight w:val="172"/>
        </w:trPr>
        <w:tc>
          <w:tcPr>
            <w:tcW w:w="20" w:type="dxa"/>
            <w:vAlign w:val="bottom"/>
          </w:tcPr>
          <w:p>
            <w:pPr>
              <w:spacing w:after="0"/>
              <w:rPr>
                <w:sz w:val="14"/>
                <w:szCs w:val="14"/>
                <w:color w:val="auto"/>
              </w:rPr>
            </w:pPr>
          </w:p>
        </w:tc>
        <w:tc>
          <w:tcPr>
            <w:tcW w:w="3460" w:type="dxa"/>
            <w:vAlign w:val="bottom"/>
          </w:tcPr>
          <w:p>
            <w:pPr>
              <w:jc w:val="center"/>
              <w:ind w:left="69"/>
              <w:spacing w:after="0"/>
              <w:rPr>
                <w:sz w:val="20"/>
                <w:szCs w:val="20"/>
                <w:color w:val="auto"/>
              </w:rPr>
            </w:pPr>
            <w:r>
              <w:rPr>
                <w:rFonts w:ascii="Arial" w:cs="Arial" w:eastAsia="Arial" w:hAnsi="Arial"/>
                <w:sz w:val="14"/>
                <w:szCs w:val="14"/>
                <w:b w:val="1"/>
                <w:bCs w:val="1"/>
                <w:color w:val="auto"/>
                <w:w w:val="90"/>
              </w:rPr>
              <w:t>Title of Each Class of Securities</w:t>
            </w:r>
          </w:p>
        </w:tc>
        <w:tc>
          <w:tcPr>
            <w:tcW w:w="1520" w:type="dxa"/>
            <w:vAlign w:val="bottom"/>
          </w:tcPr>
          <w:p>
            <w:pPr>
              <w:jc w:val="center"/>
              <w:ind w:left="229"/>
              <w:spacing w:after="0"/>
              <w:rPr>
                <w:sz w:val="20"/>
                <w:szCs w:val="20"/>
                <w:color w:val="auto"/>
              </w:rPr>
            </w:pPr>
            <w:r>
              <w:rPr>
                <w:rFonts w:ascii="Arial" w:cs="Arial" w:eastAsia="Arial" w:hAnsi="Arial"/>
                <w:sz w:val="14"/>
                <w:szCs w:val="14"/>
                <w:b w:val="1"/>
                <w:bCs w:val="1"/>
                <w:color w:val="auto"/>
                <w:w w:val="90"/>
              </w:rPr>
              <w:t>Amount to be</w:t>
            </w:r>
          </w:p>
        </w:tc>
        <w:tc>
          <w:tcPr>
            <w:tcW w:w="1460" w:type="dxa"/>
            <w:vAlign w:val="bottom"/>
          </w:tcPr>
          <w:p>
            <w:pPr>
              <w:jc w:val="center"/>
              <w:ind w:left="9"/>
              <w:spacing w:after="0"/>
              <w:rPr>
                <w:sz w:val="20"/>
                <w:szCs w:val="20"/>
                <w:color w:val="auto"/>
              </w:rPr>
            </w:pPr>
            <w:r>
              <w:rPr>
                <w:rFonts w:ascii="Arial" w:cs="Arial" w:eastAsia="Arial" w:hAnsi="Arial"/>
                <w:sz w:val="14"/>
                <w:szCs w:val="14"/>
                <w:b w:val="1"/>
                <w:bCs w:val="1"/>
                <w:color w:val="auto"/>
                <w:w w:val="91"/>
              </w:rPr>
              <w:t>Aggregate Price</w:t>
            </w:r>
          </w:p>
        </w:tc>
        <w:tc>
          <w:tcPr>
            <w:tcW w:w="152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Aggregate Offering</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2"/>
              </w:rPr>
              <w:t>Registration</w:t>
            </w:r>
          </w:p>
        </w:tc>
      </w:tr>
      <w:tr>
        <w:trPr>
          <w:trHeight w:val="214"/>
        </w:trPr>
        <w:tc>
          <w:tcPr>
            <w:tcW w:w="20" w:type="dxa"/>
            <w:vAlign w:val="bottom"/>
          </w:tcPr>
          <w:p>
            <w:pPr>
              <w:spacing w:after="0"/>
              <w:rPr>
                <w:sz w:val="18"/>
                <w:szCs w:val="18"/>
                <w:color w:val="auto"/>
              </w:rPr>
            </w:pPr>
          </w:p>
        </w:tc>
        <w:tc>
          <w:tcPr>
            <w:tcW w:w="3460" w:type="dxa"/>
            <w:vAlign w:val="bottom"/>
            <w:tcBorders>
              <w:bottom w:val="single" w:sz="8" w:color="auto"/>
            </w:tcBorders>
          </w:tcPr>
          <w:p>
            <w:pPr>
              <w:jc w:val="center"/>
              <w:ind w:left="69"/>
              <w:spacing w:after="0"/>
              <w:rPr>
                <w:sz w:val="20"/>
                <w:szCs w:val="20"/>
                <w:color w:val="auto"/>
              </w:rPr>
            </w:pPr>
            <w:r>
              <w:rPr>
                <w:rFonts w:ascii="Arial" w:cs="Arial" w:eastAsia="Arial" w:hAnsi="Arial"/>
                <w:sz w:val="14"/>
                <w:szCs w:val="14"/>
                <w:b w:val="1"/>
                <w:bCs w:val="1"/>
                <w:color w:val="auto"/>
                <w:w w:val="87"/>
              </w:rPr>
              <w:t>to be Registered</w:t>
            </w:r>
          </w:p>
        </w:tc>
        <w:tc>
          <w:tcPr>
            <w:tcW w:w="1520" w:type="dxa"/>
            <w:vAlign w:val="bottom"/>
            <w:tcBorders>
              <w:bottom w:val="single" w:sz="8" w:color="auto"/>
            </w:tcBorders>
          </w:tcPr>
          <w:p>
            <w:pPr>
              <w:jc w:val="center"/>
              <w:ind w:left="249"/>
              <w:spacing w:after="0" w:line="214" w:lineRule="exact"/>
              <w:rPr>
                <w:sz w:val="20"/>
                <w:szCs w:val="20"/>
                <w:color w:val="auto"/>
              </w:rPr>
            </w:pPr>
            <w:r>
              <w:rPr>
                <w:rFonts w:ascii="Arial" w:cs="Arial" w:eastAsia="Arial" w:hAnsi="Arial"/>
                <w:sz w:val="14"/>
                <w:szCs w:val="14"/>
                <w:b w:val="1"/>
                <w:bCs w:val="1"/>
                <w:color w:val="auto"/>
                <w:w w:val="83"/>
              </w:rPr>
              <w:t>Registered</w:t>
            </w:r>
            <w:r>
              <w:rPr>
                <w:rFonts w:ascii="Arial" w:cs="Arial" w:eastAsia="Arial" w:hAnsi="Arial"/>
                <w:sz w:val="23"/>
                <w:szCs w:val="23"/>
                <w:b w:val="1"/>
                <w:bCs w:val="1"/>
                <w:color w:val="auto"/>
                <w:w w:val="83"/>
                <w:vertAlign w:val="superscript"/>
              </w:rPr>
              <w:t>(1)(2)</w:t>
            </w:r>
          </w:p>
        </w:tc>
        <w:tc>
          <w:tcPr>
            <w:tcW w:w="1460" w:type="dxa"/>
            <w:vAlign w:val="bottom"/>
            <w:tcBorders>
              <w:bottom w:val="single" w:sz="8" w:color="auto"/>
            </w:tcBorders>
          </w:tcPr>
          <w:p>
            <w:pPr>
              <w:jc w:val="center"/>
              <w:ind w:left="9"/>
              <w:spacing w:after="0" w:line="214" w:lineRule="exact"/>
              <w:rPr>
                <w:sz w:val="20"/>
                <w:szCs w:val="20"/>
                <w:color w:val="auto"/>
              </w:rPr>
            </w:pPr>
            <w:r>
              <w:rPr>
                <w:rFonts w:ascii="Arial" w:cs="Arial" w:eastAsia="Arial" w:hAnsi="Arial"/>
                <w:sz w:val="14"/>
                <w:szCs w:val="14"/>
                <w:b w:val="1"/>
                <w:bCs w:val="1"/>
                <w:color w:val="auto"/>
                <w:w w:val="91"/>
              </w:rPr>
              <w:t>Per Unit</w:t>
            </w:r>
            <w:r>
              <w:rPr>
                <w:rFonts w:ascii="Arial" w:cs="Arial" w:eastAsia="Arial" w:hAnsi="Arial"/>
                <w:sz w:val="23"/>
                <w:szCs w:val="23"/>
                <w:b w:val="1"/>
                <w:bCs w:val="1"/>
                <w:color w:val="auto"/>
                <w:w w:val="91"/>
                <w:vertAlign w:val="superscript"/>
              </w:rPr>
              <w:t>(3)</w:t>
            </w:r>
          </w:p>
        </w:tc>
        <w:tc>
          <w:tcPr>
            <w:tcW w:w="1520" w:type="dxa"/>
            <w:vAlign w:val="bottom"/>
            <w:tcBorders>
              <w:bottom w:val="single" w:sz="8" w:color="auto"/>
            </w:tcBorders>
          </w:tcPr>
          <w:p>
            <w:pPr>
              <w:jc w:val="center"/>
              <w:ind w:right="13"/>
              <w:spacing w:after="0" w:line="214" w:lineRule="exact"/>
              <w:rPr>
                <w:sz w:val="20"/>
                <w:szCs w:val="20"/>
                <w:color w:val="auto"/>
              </w:rPr>
            </w:pPr>
            <w:r>
              <w:rPr>
                <w:rFonts w:ascii="Arial" w:cs="Arial" w:eastAsia="Arial" w:hAnsi="Arial"/>
                <w:sz w:val="24"/>
                <w:szCs w:val="24"/>
                <w:b w:val="1"/>
                <w:bCs w:val="1"/>
                <w:color w:val="auto"/>
                <w:w w:val="90"/>
                <w:vertAlign w:val="subscript"/>
              </w:rPr>
              <w:t>Price</w:t>
            </w:r>
            <w:r>
              <w:rPr>
                <w:rFonts w:ascii="Arial" w:cs="Arial" w:eastAsia="Arial" w:hAnsi="Arial"/>
                <w:sz w:val="11"/>
                <w:szCs w:val="11"/>
                <w:b w:val="1"/>
                <w:bCs w:val="1"/>
                <w:color w:val="auto"/>
                <w:w w:val="90"/>
              </w:rPr>
              <w:t>(2)(3)</w:t>
            </w:r>
          </w:p>
        </w:tc>
        <w:tc>
          <w:tcPr>
            <w:tcW w:w="1140" w:type="dxa"/>
            <w:vAlign w:val="bottom"/>
            <w:tcBorders>
              <w:bottom w:val="single" w:sz="8" w:color="auto"/>
            </w:tcBorders>
          </w:tcPr>
          <w:p>
            <w:pPr>
              <w:jc w:val="center"/>
              <w:spacing w:after="0" w:line="214" w:lineRule="exact"/>
              <w:rPr>
                <w:sz w:val="20"/>
                <w:szCs w:val="20"/>
                <w:color w:val="auto"/>
              </w:rPr>
            </w:pPr>
            <w:r>
              <w:rPr>
                <w:rFonts w:ascii="Arial" w:cs="Arial" w:eastAsia="Arial" w:hAnsi="Arial"/>
                <w:sz w:val="14"/>
                <w:szCs w:val="14"/>
                <w:b w:val="1"/>
                <w:bCs w:val="1"/>
                <w:color w:val="auto"/>
                <w:w w:val="83"/>
              </w:rPr>
              <w:t>Fee</w:t>
            </w:r>
            <w:r>
              <w:rPr>
                <w:rFonts w:ascii="Arial" w:cs="Arial" w:eastAsia="Arial" w:hAnsi="Arial"/>
                <w:sz w:val="23"/>
                <w:szCs w:val="23"/>
                <w:b w:val="1"/>
                <w:bCs w:val="1"/>
                <w:color w:val="auto"/>
                <w:w w:val="83"/>
                <w:vertAlign w:val="superscript"/>
              </w:rPr>
              <w:t>(4)</w:t>
            </w:r>
          </w:p>
        </w:tc>
      </w:tr>
      <w:tr>
        <w:trPr>
          <w:trHeight w:val="177"/>
        </w:trPr>
        <w:tc>
          <w:tcPr>
            <w:tcW w:w="20" w:type="dxa"/>
            <w:vAlign w:val="bottom"/>
            <w:tcBorders>
              <w:bottom w:val="single" w:sz="8" w:color="auto"/>
            </w:tcBorders>
          </w:tcPr>
          <w:p>
            <w:pPr>
              <w:spacing w:after="0"/>
              <w:rPr>
                <w:sz w:val="15"/>
                <w:szCs w:val="15"/>
                <w:color w:val="auto"/>
              </w:rPr>
            </w:pPr>
          </w:p>
        </w:tc>
        <w:tc>
          <w:tcPr>
            <w:tcW w:w="34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Shares, par value $0.01 per share</w:t>
            </w:r>
          </w:p>
        </w:tc>
        <w:tc>
          <w:tcPr>
            <w:tcW w:w="1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0"/>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Preference Shares</w:t>
            </w:r>
          </w:p>
        </w:tc>
        <w:tc>
          <w:tcPr>
            <w:tcW w:w="1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0"/>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Series A Preference Shares, par value $0.01 per share</w:t>
            </w:r>
          </w:p>
        </w:tc>
        <w:tc>
          <w:tcPr>
            <w:tcW w:w="1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0"/>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Debt Securities</w:t>
            </w:r>
          </w:p>
        </w:tc>
        <w:tc>
          <w:tcPr>
            <w:tcW w:w="1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0"/>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Warrants</w:t>
            </w:r>
          </w:p>
        </w:tc>
        <w:tc>
          <w:tcPr>
            <w:tcW w:w="1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0"/>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Rights</w:t>
            </w:r>
          </w:p>
        </w:tc>
        <w:tc>
          <w:tcPr>
            <w:tcW w:w="1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0"/>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Units</w:t>
            </w:r>
          </w:p>
        </w:tc>
        <w:tc>
          <w:tcPr>
            <w:tcW w:w="152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tcPr>
          <w:p>
            <w:pPr>
              <w:spacing w:after="0"/>
              <w:rPr>
                <w:sz w:val="15"/>
                <w:szCs w:val="15"/>
                <w:color w:val="auto"/>
              </w:rPr>
            </w:pPr>
          </w:p>
        </w:tc>
      </w:tr>
      <w:tr>
        <w:trPr>
          <w:trHeight w:val="182"/>
        </w:trPr>
        <w:tc>
          <w:tcPr>
            <w:tcW w:w="34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Total</w:t>
            </w:r>
          </w:p>
        </w:tc>
        <w:tc>
          <w:tcPr>
            <w:tcW w:w="1520" w:type="dxa"/>
            <w:vAlign w:val="bottom"/>
            <w:tcBorders>
              <w:bottom w:val="single" w:sz="8" w:color="auto"/>
            </w:tcBorders>
          </w:tcPr>
          <w:p>
            <w:pPr>
              <w:jc w:val="center"/>
              <w:ind w:left="229"/>
              <w:spacing w:after="0"/>
              <w:rPr>
                <w:sz w:val="20"/>
                <w:szCs w:val="20"/>
                <w:color w:val="auto"/>
              </w:rPr>
            </w:pPr>
            <w:r>
              <w:rPr>
                <w:rFonts w:ascii="Arial" w:cs="Arial" w:eastAsia="Arial" w:hAnsi="Arial"/>
                <w:sz w:val="14"/>
                <w:szCs w:val="14"/>
                <w:color w:val="auto"/>
                <w:w w:val="91"/>
              </w:rPr>
              <w:t>$600,000,000</w:t>
            </w:r>
          </w:p>
        </w:tc>
        <w:tc>
          <w:tcPr>
            <w:tcW w:w="14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w w:val="91"/>
              </w:rPr>
              <w:t>$600,000,000</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$30,300</w:t>
            </w:r>
          </w:p>
        </w:tc>
      </w:tr>
      <w:tr>
        <w:trPr>
          <w:trHeight w:val="20"/>
        </w:trPr>
        <w:tc>
          <w:tcPr>
            <w:tcW w:w="20" w:type="dxa"/>
            <w:vAlign w:val="bottom"/>
          </w:tcPr>
          <w:p>
            <w:pPr>
              <w:spacing w:after="0" w:line="20" w:lineRule="exact"/>
              <w:rPr>
                <w:sz w:val="1"/>
                <w:szCs w:val="1"/>
                <w:color w:val="auto"/>
              </w:rPr>
            </w:pPr>
          </w:p>
        </w:tc>
        <w:tc>
          <w:tcPr>
            <w:tcW w:w="3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left="566" w:right="200" w:hanging="566"/>
        <w:spacing w:after="0" w:line="268" w:lineRule="auto"/>
        <w:tabs>
          <w:tab w:leader="none" w:pos="566" w:val="left"/>
        </w:tabs>
        <w:numPr>
          <w:ilvl w:val="0"/>
          <w:numId w:val="1"/>
        </w:numPr>
        <w:rPr>
          <w:rFonts w:ascii="Arial" w:cs="Arial" w:eastAsia="Arial" w:hAnsi="Arial"/>
          <w:sz w:val="11"/>
          <w:szCs w:val="11"/>
          <w:color w:val="auto"/>
        </w:rPr>
      </w:pPr>
      <w:r>
        <w:rPr>
          <w:rFonts w:ascii="Arial" w:cs="Arial" w:eastAsia="Arial" w:hAnsi="Arial"/>
          <w:sz w:val="13"/>
          <w:szCs w:val="13"/>
          <w:color w:val="auto"/>
        </w:rPr>
        <w:t>There are being registered hereunder such indeterminate number of the securities of each identified class being registered as may be sold from time to time at indeterminate prices, with any initial aggregate public offering price not to exceed $600,000,000. Separate consideration may or may not be received for shares that are issuable on exercise, conversion or exchange of other securities or that are issued in units. If any debt securities are issued at an original issue discount, then the offering price of such debt securities shall be in such greater principal amount as shall result in a maximum aggregate offering price not to exceed $600,000,000, less the aggregate dollar amount of all securities previously issued hereunder.</w:t>
      </w:r>
    </w:p>
    <w:p>
      <w:pPr>
        <w:spacing w:after="0" w:line="102" w:lineRule="exact"/>
        <w:rPr>
          <w:rFonts w:ascii="Arial" w:cs="Arial" w:eastAsia="Arial" w:hAnsi="Arial"/>
          <w:sz w:val="11"/>
          <w:szCs w:val="11"/>
          <w:color w:val="auto"/>
        </w:rPr>
      </w:pPr>
    </w:p>
    <w:p>
      <w:pPr>
        <w:ind w:left="566" w:right="100" w:hanging="566"/>
        <w:spacing w:after="0" w:line="241" w:lineRule="auto"/>
        <w:tabs>
          <w:tab w:leader="none" w:pos="566" w:val="left"/>
        </w:tabs>
        <w:numPr>
          <w:ilvl w:val="0"/>
          <w:numId w:val="1"/>
        </w:numPr>
        <w:rPr>
          <w:rFonts w:ascii="Arial" w:cs="Arial" w:eastAsia="Arial" w:hAnsi="Arial"/>
          <w:sz w:val="12"/>
          <w:szCs w:val="12"/>
          <w:color w:val="auto"/>
        </w:rPr>
      </w:pPr>
      <w:r>
        <w:rPr>
          <w:rFonts w:ascii="Arial" w:cs="Arial" w:eastAsia="Arial" w:hAnsi="Arial"/>
          <w:sz w:val="14"/>
          <w:szCs w:val="14"/>
          <w:color w:val="auto"/>
        </w:rPr>
        <w:t>In United States dollars or the equivalent thereof in any other currency, currency unit or units, or composite currency or currencies. The Registrant is filing this registration statement to replace the portion of its Registration Statement on Form F-3 (File No. 333-210169, declared effective on March 25, 2016 (the "Prior Registration Statement")), which registered securities for sale by the Registrant and will expire on March 25, 2019 pursuant to Rule 415(a)(5) of the Securities Act. In accordance with Rule 415(a)(6) of the Securities Act, effectiveness of this registration statement will be deemed to terminate that portion of the Prior Registration Statement. The securities registered pursuant to this registration statement consist of those securities described in note (1), of which $350,000,000 were previously registered pursuant to the Prior Registration Statement and remain unsold by the Registrant.</w:t>
      </w:r>
    </w:p>
    <w:p>
      <w:pPr>
        <w:spacing w:after="0" w:line="118" w:lineRule="exact"/>
        <w:rPr>
          <w:rFonts w:ascii="Arial" w:cs="Arial" w:eastAsia="Arial" w:hAnsi="Arial"/>
          <w:sz w:val="12"/>
          <w:szCs w:val="12"/>
          <w:color w:val="auto"/>
        </w:rPr>
      </w:pPr>
    </w:p>
    <w:p>
      <w:pPr>
        <w:ind w:left="566" w:right="220" w:hanging="566"/>
        <w:spacing w:after="0" w:line="263" w:lineRule="auto"/>
        <w:tabs>
          <w:tab w:leader="none" w:pos="566" w:val="left"/>
        </w:tabs>
        <w:numPr>
          <w:ilvl w:val="0"/>
          <w:numId w:val="1"/>
        </w:numPr>
        <w:rPr>
          <w:rFonts w:ascii="Arial" w:cs="Arial" w:eastAsia="Arial" w:hAnsi="Arial"/>
          <w:sz w:val="12"/>
          <w:szCs w:val="12"/>
          <w:color w:val="auto"/>
        </w:rPr>
      </w:pPr>
      <w:r>
        <w:rPr>
          <w:rFonts w:ascii="Arial" w:cs="Arial" w:eastAsia="Arial" w:hAnsi="Arial"/>
          <w:sz w:val="14"/>
          <w:szCs w:val="14"/>
          <w:color w:val="auto"/>
        </w:rPr>
        <w:t>The proposed maximum aggregate offering price of each class of securities will be determined from time to time by the Registrant in connection with the issuance by the Registrant of the securities registered hereunder and is not specified as to each class of securities pursuant to the General Instruction II.C. of Form F-3 under the Securities Act of 1933.</w:t>
      </w:r>
    </w:p>
    <w:p>
      <w:pPr>
        <w:spacing w:after="0" w:line="103" w:lineRule="exact"/>
        <w:rPr>
          <w:rFonts w:ascii="Arial" w:cs="Arial" w:eastAsia="Arial" w:hAnsi="Arial"/>
          <w:sz w:val="12"/>
          <w:szCs w:val="12"/>
          <w:color w:val="auto"/>
        </w:rPr>
      </w:pPr>
    </w:p>
    <w:p>
      <w:pPr>
        <w:jc w:val="both"/>
        <w:ind w:left="566" w:right="540" w:hanging="566"/>
        <w:spacing w:after="0" w:line="279" w:lineRule="auto"/>
        <w:tabs>
          <w:tab w:leader="none" w:pos="566" w:val="left"/>
        </w:tabs>
        <w:numPr>
          <w:ilvl w:val="0"/>
          <w:numId w:val="1"/>
        </w:numPr>
        <w:rPr>
          <w:rFonts w:ascii="Arial" w:cs="Arial" w:eastAsia="Arial" w:hAnsi="Arial"/>
          <w:sz w:val="10"/>
          <w:szCs w:val="10"/>
          <w:color w:val="auto"/>
        </w:rPr>
      </w:pPr>
      <w:r>
        <w:rPr>
          <w:rFonts w:ascii="Arial" w:cs="Arial" w:eastAsia="Arial" w:hAnsi="Arial"/>
          <w:sz w:val="12"/>
          <w:szCs w:val="12"/>
          <w:color w:val="auto"/>
        </w:rPr>
        <w:t>Estimated solely for purposes of determining the registration fee pursuant to Rule 457(o) under the Securities Act. The Registrant paid a registration fee of $50,666.90 relating to the securities registered pursuant to its Registration Statement on Form F-3 (File No. 333-210169), filed on March 14, 2016, which was applied to the securities registered pursuant to the Prior Registration Statement. Pursuant to Rule 415(a)(6) of the Securities Act, such registration fee will continue to be applied to the $350,000,000 aggregate amount of those securities which remain unsold.</w:t>
      </w:r>
    </w:p>
    <w:p>
      <w:pPr>
        <w:spacing w:after="0" w:line="1" w:lineRule="exact"/>
        <w:rPr>
          <w:rFonts w:ascii="Arial" w:cs="Arial" w:eastAsia="Arial" w:hAnsi="Arial"/>
          <w:sz w:val="10"/>
          <w:szCs w:val="10"/>
          <w:color w:val="auto"/>
        </w:rPr>
      </w:pPr>
    </w:p>
    <w:p>
      <w:pPr>
        <w:ind w:left="566" w:right="80"/>
        <w:spacing w:after="0" w:line="245" w:lineRule="auto"/>
        <w:rPr>
          <w:rFonts w:ascii="Arial" w:cs="Arial" w:eastAsia="Arial" w:hAnsi="Arial"/>
          <w:sz w:val="10"/>
          <w:szCs w:val="10"/>
          <w:color w:val="auto"/>
        </w:rPr>
      </w:pPr>
      <w:r>
        <w:rPr>
          <w:rFonts w:ascii="Arial" w:cs="Arial" w:eastAsia="Arial" w:hAnsi="Arial"/>
          <w:sz w:val="14"/>
          <w:szCs w:val="14"/>
          <w:color w:val="auto"/>
        </w:rPr>
        <w:t>Accordingly, the registration fee paid in connection with the filing of this registration statement is calculated only with respect to the $250,000,000 aggregate amount of new securities to be registered hereby.</w:t>
      </w:r>
    </w:p>
    <w:p>
      <w:pPr>
        <w:spacing w:after="0" w:line="197" w:lineRule="exact"/>
        <w:rPr>
          <w:sz w:val="20"/>
          <w:szCs w:val="20"/>
          <w:color w:val="auto"/>
        </w:rPr>
      </w:pPr>
    </w:p>
    <w:p>
      <w:pPr>
        <w:jc w:val="both"/>
        <w:ind w:left="6" w:right="340" w:firstLine="464"/>
        <w:spacing w:after="0" w:line="251" w:lineRule="auto"/>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313690</wp:posOffset>
            </wp:positionV>
            <wp:extent cx="7625080" cy="45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25080" cy="4508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501650</wp:posOffset>
            </wp:positionV>
            <wp:extent cx="762889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6"/>
          </w:cols>
          <w:pgMar w:left="114" w:top="0" w:right="120" w:bottom="1440" w:gutter="0" w:footer="0" w:header="0"/>
        </w:sectPr>
      </w:pPr>
    </w:p>
    <w:bookmarkStart w:id="2" w:name="page3"/>
    <w:bookmarkEnd w:id="2"/>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ind w:right="100"/>
        <w:spacing w:after="0" w:line="262" w:lineRule="auto"/>
        <w:rPr>
          <w:sz w:val="20"/>
          <w:szCs w:val="20"/>
          <w:color w:val="auto"/>
        </w:rPr>
      </w:pPr>
      <w:r>
        <w:rPr>
          <w:rFonts w:ascii="Arial" w:cs="Arial" w:eastAsia="Arial" w:hAnsi="Arial"/>
          <w:sz w:val="19"/>
          <w:szCs w:val="19"/>
          <w:b w:val="1"/>
          <w:bCs w:val="1"/>
          <w:color w:val="EF505F"/>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jurisdiction where the offer or sale is not permitted.</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9"/>
          <w:szCs w:val="19"/>
          <w:b w:val="1"/>
          <w:bCs w:val="1"/>
          <w:color w:val="EF505F"/>
        </w:rPr>
        <w:t>SUBJECT TO COMPLETION, DATED MARCH 12,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PROSPECTUS</w:t>
      </w:r>
    </w:p>
    <w:p>
      <w:pPr>
        <w:spacing w:after="0" w:line="221" w:lineRule="exact"/>
        <w:rPr>
          <w:sz w:val="20"/>
          <w:szCs w:val="20"/>
          <w:color w:val="auto"/>
        </w:rPr>
      </w:pPr>
    </w:p>
    <w:p>
      <w:pPr>
        <w:jc w:val="center"/>
        <w:ind w:right="-99"/>
        <w:spacing w:after="0"/>
        <w:rPr>
          <w:sz w:val="20"/>
          <w:szCs w:val="20"/>
          <w:color w:val="auto"/>
        </w:rPr>
      </w:pPr>
      <w:r>
        <w:rPr>
          <w:rFonts w:ascii="Arial" w:cs="Arial" w:eastAsia="Arial" w:hAnsi="Arial"/>
          <w:sz w:val="26"/>
          <w:szCs w:val="26"/>
          <w:b w:val="1"/>
          <w:bCs w:val="1"/>
          <w:color w:val="auto"/>
        </w:rPr>
        <w:t>$600,000,000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2994025</wp:posOffset>
            </wp:positionH>
            <wp:positionV relativeFrom="paragraph">
              <wp:posOffset>164465</wp:posOffset>
            </wp:positionV>
            <wp:extent cx="1630045" cy="7607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0045" cy="76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99"/>
        <w:spacing w:after="0"/>
        <w:rPr>
          <w:sz w:val="20"/>
          <w:szCs w:val="20"/>
          <w:color w:val="auto"/>
        </w:rPr>
      </w:pPr>
      <w:r>
        <w:rPr>
          <w:rFonts w:ascii="Arial" w:cs="Arial" w:eastAsia="Arial" w:hAnsi="Arial"/>
          <w:sz w:val="34"/>
          <w:szCs w:val="34"/>
          <w:b w:val="1"/>
          <w:bCs w:val="1"/>
          <w:color w:val="auto"/>
        </w:rPr>
        <w:t>GasLog Ltd.</w:t>
      </w: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26"/>
          <w:szCs w:val="26"/>
          <w:b w:val="1"/>
          <w:bCs w:val="1"/>
          <w:color w:val="auto"/>
        </w:rPr>
        <w:t>Common Shares</w:t>
      </w:r>
    </w:p>
    <w:p>
      <w:pPr>
        <w:spacing w:after="0" w:line="30" w:lineRule="exact"/>
        <w:rPr>
          <w:sz w:val="20"/>
          <w:szCs w:val="20"/>
          <w:color w:val="auto"/>
        </w:rPr>
      </w:pPr>
    </w:p>
    <w:p>
      <w:pPr>
        <w:jc w:val="center"/>
        <w:ind w:right="-99"/>
        <w:spacing w:after="0"/>
        <w:rPr>
          <w:sz w:val="20"/>
          <w:szCs w:val="20"/>
          <w:color w:val="auto"/>
        </w:rPr>
      </w:pPr>
      <w:r>
        <w:rPr>
          <w:rFonts w:ascii="Arial" w:cs="Arial" w:eastAsia="Arial" w:hAnsi="Arial"/>
          <w:sz w:val="26"/>
          <w:szCs w:val="26"/>
          <w:b w:val="1"/>
          <w:bCs w:val="1"/>
          <w:color w:val="auto"/>
        </w:rPr>
        <w:t>Preference Shares</w:t>
      </w:r>
    </w:p>
    <w:p>
      <w:pPr>
        <w:jc w:val="center"/>
        <w:ind w:right="-99"/>
        <w:spacing w:after="0"/>
        <w:rPr>
          <w:sz w:val="20"/>
          <w:szCs w:val="20"/>
          <w:color w:val="auto"/>
        </w:rPr>
      </w:pPr>
      <w:r>
        <w:rPr>
          <w:rFonts w:ascii="Arial" w:cs="Arial" w:eastAsia="Arial" w:hAnsi="Arial"/>
          <w:sz w:val="26"/>
          <w:szCs w:val="26"/>
          <w:b w:val="1"/>
          <w:bCs w:val="1"/>
          <w:color w:val="auto"/>
        </w:rPr>
        <w:t>8.75% Series A Preference Shares</w:t>
      </w:r>
    </w:p>
    <w:p>
      <w:pPr>
        <w:jc w:val="center"/>
        <w:ind w:right="-99"/>
        <w:spacing w:after="0"/>
        <w:rPr>
          <w:sz w:val="20"/>
          <w:szCs w:val="20"/>
          <w:color w:val="auto"/>
        </w:rPr>
      </w:pPr>
      <w:r>
        <w:rPr>
          <w:rFonts w:ascii="Arial" w:cs="Arial" w:eastAsia="Arial" w:hAnsi="Arial"/>
          <w:sz w:val="26"/>
          <w:szCs w:val="26"/>
          <w:b w:val="1"/>
          <w:bCs w:val="1"/>
          <w:color w:val="auto"/>
        </w:rPr>
        <w:t>Debt Securities</w:t>
      </w:r>
    </w:p>
    <w:p>
      <w:pPr>
        <w:jc w:val="center"/>
        <w:ind w:right="-99"/>
        <w:spacing w:after="0"/>
        <w:rPr>
          <w:sz w:val="20"/>
          <w:szCs w:val="20"/>
          <w:color w:val="auto"/>
        </w:rPr>
      </w:pPr>
      <w:r>
        <w:rPr>
          <w:rFonts w:ascii="Arial" w:cs="Arial" w:eastAsia="Arial" w:hAnsi="Arial"/>
          <w:sz w:val="26"/>
          <w:szCs w:val="26"/>
          <w:b w:val="1"/>
          <w:bCs w:val="1"/>
          <w:color w:val="auto"/>
        </w:rPr>
        <w:t>Warrants</w:t>
      </w:r>
    </w:p>
    <w:p>
      <w:pPr>
        <w:jc w:val="center"/>
        <w:ind w:right="-99"/>
        <w:spacing w:after="0"/>
        <w:rPr>
          <w:sz w:val="20"/>
          <w:szCs w:val="20"/>
          <w:color w:val="auto"/>
        </w:rPr>
      </w:pPr>
      <w:r>
        <w:rPr>
          <w:rFonts w:ascii="Arial" w:cs="Arial" w:eastAsia="Arial" w:hAnsi="Arial"/>
          <w:sz w:val="26"/>
          <w:szCs w:val="26"/>
          <w:b w:val="1"/>
          <w:bCs w:val="1"/>
          <w:color w:val="auto"/>
        </w:rPr>
        <w:t>Rights</w:t>
      </w:r>
    </w:p>
    <w:p>
      <w:pPr>
        <w:jc w:val="center"/>
        <w:ind w:right="-99"/>
        <w:spacing w:after="0"/>
        <w:rPr>
          <w:sz w:val="20"/>
          <w:szCs w:val="20"/>
          <w:color w:val="auto"/>
        </w:rPr>
      </w:pPr>
      <w:r>
        <w:rPr>
          <w:rFonts w:ascii="Arial" w:cs="Arial" w:eastAsia="Arial" w:hAnsi="Arial"/>
          <w:sz w:val="26"/>
          <w:szCs w:val="26"/>
          <w:b w:val="1"/>
          <w:bCs w:val="1"/>
          <w:color w:val="auto"/>
        </w:rPr>
        <w:t>Units</w:t>
      </w:r>
    </w:p>
    <w:p>
      <w:pPr>
        <w:spacing w:after="0" w:line="219" w:lineRule="exact"/>
        <w:rPr>
          <w:sz w:val="20"/>
          <w:szCs w:val="20"/>
          <w:color w:val="auto"/>
        </w:rPr>
      </w:pPr>
    </w:p>
    <w:p>
      <w:pPr>
        <w:ind w:right="80" w:firstLine="368"/>
        <w:spacing w:after="0" w:line="331" w:lineRule="auto"/>
        <w:rPr>
          <w:sz w:val="20"/>
          <w:szCs w:val="20"/>
          <w:color w:val="auto"/>
        </w:rPr>
      </w:pPr>
      <w:r>
        <w:rPr>
          <w:rFonts w:ascii="Arial" w:cs="Arial" w:eastAsia="Arial" w:hAnsi="Arial"/>
          <w:sz w:val="16"/>
          <w:szCs w:val="16"/>
          <w:color w:val="auto"/>
        </w:rPr>
        <w:t>Through this prospectus, we may offer common shares, preference shares, Series A Preference Shares, debt securities, warrants, rights and units from time to time. We may also offer securities of the types listed above that are convertible or exchangeable into one or more of the securities listed above. When we decide to sell a particular class or series of securities, we will provide specific terms of the offered securities in a prospectus supplement.</w:t>
      </w:r>
    </w:p>
    <w:p>
      <w:pPr>
        <w:spacing w:after="0" w:line="151" w:lineRule="exact"/>
        <w:rPr>
          <w:sz w:val="20"/>
          <w:szCs w:val="20"/>
          <w:color w:val="auto"/>
        </w:rPr>
      </w:pPr>
    </w:p>
    <w:p>
      <w:pPr>
        <w:ind w:right="100" w:firstLine="368"/>
        <w:spacing w:after="0" w:line="259" w:lineRule="auto"/>
        <w:rPr>
          <w:sz w:val="20"/>
          <w:szCs w:val="20"/>
          <w:color w:val="auto"/>
        </w:rPr>
      </w:pPr>
      <w:r>
        <w:rPr>
          <w:rFonts w:ascii="Arial" w:cs="Arial" w:eastAsia="Arial" w:hAnsi="Arial"/>
          <w:sz w:val="19"/>
          <w:szCs w:val="19"/>
          <w:color w:val="auto"/>
        </w:rPr>
        <w:t>The securities covered by this prospectus may be offered and sold from time to time in one or more offerings, which may be through one or more underwriters, dealers and agents, or directly to the purchasers. The names of any underwriters, dealers or agents, if any, will be included in a supplement to this prospectus.</w:t>
      </w:r>
    </w:p>
    <w:p>
      <w:pPr>
        <w:spacing w:after="0" w:line="205" w:lineRule="exact"/>
        <w:rPr>
          <w:sz w:val="20"/>
          <w:szCs w:val="20"/>
          <w:color w:val="auto"/>
        </w:rPr>
      </w:pPr>
    </w:p>
    <w:p>
      <w:pPr>
        <w:jc w:val="both"/>
        <w:ind w:right="120" w:firstLine="368"/>
        <w:spacing w:after="0" w:line="259" w:lineRule="auto"/>
        <w:rPr>
          <w:sz w:val="20"/>
          <w:szCs w:val="20"/>
          <w:color w:val="auto"/>
        </w:rPr>
      </w:pPr>
      <w:r>
        <w:rPr>
          <w:rFonts w:ascii="Arial" w:cs="Arial" w:eastAsia="Arial" w:hAnsi="Arial"/>
          <w:sz w:val="19"/>
          <w:szCs w:val="19"/>
          <w:color w:val="auto"/>
        </w:rPr>
        <w:t>This prospectus describes some of the general terms that may apply to these securities and the general manner in which they may be offered. The specific terms of any securities to be offered, and the specific manner in which they may be offered, will be described in one or more supplements to this prospectus. A prospectus supplement may also add, update or change information contained in this prospectus.</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common shares are traded on the New York Stock Exchange under the symbol "GLOG".</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Our 8.75% Series A Preference Shares are traded on the New York Stock Exchange under the symbol "GLOG PR A".</w:t>
      </w:r>
    </w:p>
    <w:p>
      <w:pPr>
        <w:spacing w:after="0" w:line="238" w:lineRule="exact"/>
        <w:rPr>
          <w:sz w:val="20"/>
          <w:szCs w:val="20"/>
          <w:color w:val="auto"/>
        </w:rPr>
      </w:pPr>
    </w:p>
    <w:p>
      <w:pPr>
        <w:ind w:firstLine="371"/>
        <w:spacing w:after="0" w:line="268" w:lineRule="auto"/>
        <w:rPr>
          <w:sz w:val="20"/>
          <w:szCs w:val="20"/>
          <w:color w:val="auto"/>
        </w:rPr>
      </w:pPr>
      <w:r>
        <w:rPr>
          <w:rFonts w:ascii="Arial" w:cs="Arial" w:eastAsia="Arial" w:hAnsi="Arial"/>
          <w:sz w:val="19"/>
          <w:szCs w:val="19"/>
          <w:color w:val="auto"/>
        </w:rPr>
        <w:t>Our principal executive offices are located at Gildo Pastor Center, 7 Rue du Gabian, MC 98000, Monaco. Our telephone number at such address is +377 97 97 51 15.</w:t>
      </w:r>
    </w:p>
    <w:p>
      <w:pPr>
        <w:spacing w:after="0" w:line="177" w:lineRule="exact"/>
        <w:rPr>
          <w:sz w:val="20"/>
          <w:szCs w:val="20"/>
          <w:color w:val="auto"/>
        </w:rPr>
      </w:pPr>
    </w:p>
    <w:p>
      <w:pPr>
        <w:ind w:right="380" w:firstLine="371"/>
        <w:spacing w:after="0" w:line="262" w:lineRule="auto"/>
        <w:rPr>
          <w:sz w:val="20"/>
          <w:szCs w:val="20"/>
          <w:color w:val="auto"/>
        </w:rPr>
      </w:pPr>
      <w:r>
        <w:rPr>
          <w:rFonts w:ascii="Arial" w:cs="Arial" w:eastAsia="Arial" w:hAnsi="Arial"/>
          <w:sz w:val="23"/>
          <w:szCs w:val="23"/>
          <w:b w:val="1"/>
          <w:bCs w:val="1"/>
          <w:color w:val="auto"/>
        </w:rPr>
        <w:t>Investing in our securities involves risks. Before buying any securities you should carefully read the section entitled "Risk Factors" on page 5 of this prospectus.</w:t>
      </w:r>
    </w:p>
    <w:p>
      <w:pPr>
        <w:spacing w:after="0" w:line="180" w:lineRule="exact"/>
        <w:rPr>
          <w:sz w:val="20"/>
          <w:szCs w:val="20"/>
          <w:color w:val="auto"/>
        </w:rPr>
      </w:pPr>
    </w:p>
    <w:p>
      <w:pPr>
        <w:ind w:right="100" w:firstLine="371"/>
        <w:spacing w:after="0" w:line="301" w:lineRule="auto"/>
        <w:rPr>
          <w:sz w:val="20"/>
          <w:szCs w:val="20"/>
          <w:color w:val="auto"/>
        </w:rPr>
      </w:pPr>
      <w:r>
        <w:rPr>
          <w:rFonts w:ascii="Arial" w:cs="Arial" w:eastAsia="Arial" w:hAnsi="Arial"/>
          <w:sz w:val="18"/>
          <w:szCs w:val="18"/>
          <w:b w:val="1"/>
          <w:bCs w:val="1"/>
          <w:color w:val="auto"/>
        </w:rPr>
        <w:t>Neither the Securities and Exchange Commission nor any state or other securities commission has approved or disapproved of these securities or determined if this prospectus is truthful or complete. Any representation to the contrary is a criminal offense.</w:t>
      </w:r>
    </w:p>
    <w:p>
      <w:pPr>
        <w:spacing w:after="0" w:line="169" w:lineRule="exact"/>
        <w:rPr>
          <w:sz w:val="20"/>
          <w:szCs w:val="20"/>
          <w:color w:val="auto"/>
        </w:rPr>
      </w:pPr>
    </w:p>
    <w:p>
      <w:pPr>
        <w:ind w:right="80" w:firstLine="371"/>
        <w:spacing w:after="0" w:line="319" w:lineRule="auto"/>
        <w:rPr>
          <w:sz w:val="20"/>
          <w:szCs w:val="20"/>
          <w:color w:val="auto"/>
        </w:rPr>
      </w:pPr>
      <w:r>
        <w:rPr>
          <w:rFonts w:ascii="Arial" w:cs="Arial" w:eastAsia="Arial" w:hAnsi="Arial"/>
          <w:sz w:val="16"/>
          <w:szCs w:val="16"/>
          <w:color w:val="auto"/>
        </w:rPr>
        <w:t>Consent under the Exchange Control Act 1972 (and its related regulations) has been obtained from the Bermuda Monetary Authority for the issue and transfer of our offered securities to and between residents and non-residents of Bermuda for exchange control purposes provided our shares remain listed on an appointed stock exchange, which includes the New York Stock Exchange. In granting such consent, the Bermuda Monetary Authority accepts no responsibility for our financial soundness or the correctness of any of the statements made or opinions expressed in this prospectus.</w:t>
      </w:r>
    </w:p>
    <w:p>
      <w:pPr>
        <w:sectPr>
          <w:pgSz w:w="12240" w:h="15840" w:orient="portrait"/>
          <w:cols w:equalWidth="0" w:num="1">
            <w:col w:w="11900"/>
          </w:cols>
          <w:pgMar w:left="120" w:top="0" w:right="220" w:bottom="692" w:gutter="0" w:footer="0" w:header="0"/>
        </w:sectPr>
      </w:pPr>
    </w:p>
    <w:p>
      <w:pPr>
        <w:spacing w:after="0" w:line="200" w:lineRule="exact"/>
        <w:rPr>
          <w:sz w:val="20"/>
          <w:szCs w:val="20"/>
          <w:color w:val="auto"/>
        </w:rPr>
      </w:pPr>
    </w:p>
    <w:p>
      <w:pPr>
        <w:spacing w:after="0" w:line="262" w:lineRule="exact"/>
        <w:rPr>
          <w:sz w:val="20"/>
          <w:szCs w:val="20"/>
          <w:color w:val="auto"/>
        </w:rPr>
      </w:pPr>
    </w:p>
    <w:p>
      <w:pPr>
        <w:ind w:left="4240"/>
        <w:spacing w:after="0"/>
        <w:tabs>
          <w:tab w:leader="none" w:pos="7220" w:val="left"/>
        </w:tabs>
        <w:rPr>
          <w:sz w:val="20"/>
          <w:szCs w:val="20"/>
          <w:color w:val="auto"/>
        </w:rPr>
      </w:pPr>
      <w:r>
        <w:rPr>
          <w:rFonts w:ascii="Arial" w:cs="Arial" w:eastAsia="Arial" w:hAnsi="Arial"/>
          <w:sz w:val="19"/>
          <w:szCs w:val="19"/>
          <w:color w:val="auto"/>
        </w:rPr>
        <w:t>The date of this prospectus is</w:t>
      </w:r>
      <w:r>
        <w:rPr>
          <w:sz w:val="20"/>
          <w:szCs w:val="20"/>
          <w:color w:val="auto"/>
        </w:rPr>
        <w:tab/>
      </w:r>
      <w:r>
        <w:rPr>
          <w:rFonts w:ascii="Arial" w:cs="Arial" w:eastAsia="Arial" w:hAnsi="Arial"/>
          <w:sz w:val="16"/>
          <w:szCs w:val="16"/>
          <w:color w:val="auto"/>
        </w:rPr>
        <w:t>,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00"/>
          </w:cols>
          <w:pgMar w:left="120" w:top="0" w:right="220" w:bottom="692"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185"/>
        </w:trPr>
        <w:tc>
          <w:tcPr>
            <w:tcW w:w="8780" w:type="dxa"/>
            <w:vAlign w:val="bottom"/>
            <w:gridSpan w:val="24"/>
          </w:tcPr>
          <w:p>
            <w:pPr>
              <w:spacing w:after="0" w:line="185" w:lineRule="exact"/>
              <w:rPr>
                <w:rFonts w:ascii="Arial" w:cs="Arial" w:eastAsia="Arial" w:hAnsi="Arial"/>
                <w:sz w:val="19"/>
                <w:szCs w:val="19"/>
                <w:color w:val="0000EE"/>
              </w:rPr>
            </w:pPr>
            <w:hyperlink w:anchor="page4">
              <w:r>
                <w:rPr>
                  <w:rFonts w:ascii="Arial" w:cs="Arial" w:eastAsia="Arial" w:hAnsi="Arial"/>
                  <w:sz w:val="19"/>
                  <w:szCs w:val="19"/>
                  <w:color w:val="0000EE"/>
                </w:rPr>
                <w:t>Table of Contents</w:t>
              </w:r>
            </w:hyperlink>
          </w:p>
        </w:tc>
        <w:tc>
          <w:tcPr>
            <w:tcW w:w="1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704"/>
        </w:trPr>
        <w:tc>
          <w:tcPr>
            <w:tcW w:w="12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20" w:type="dxa"/>
            <w:vAlign w:val="bottom"/>
            <w:gridSpan w:val="6"/>
          </w:tcPr>
          <w:p>
            <w:pPr>
              <w:jc w:val="center"/>
              <w:ind w:right="1500"/>
              <w:spacing w:after="0"/>
              <w:rPr>
                <w:sz w:val="20"/>
                <w:szCs w:val="20"/>
                <w:color w:val="auto"/>
              </w:rPr>
            </w:pPr>
            <w:r>
              <w:rPr>
                <w:rFonts w:ascii="Arial" w:cs="Arial" w:eastAsia="Arial" w:hAnsi="Arial"/>
                <w:sz w:val="19"/>
                <w:szCs w:val="19"/>
                <w:b w:val="1"/>
                <w:bCs w:val="1"/>
                <w:color w:val="auto"/>
                <w:w w:val="96"/>
              </w:rPr>
              <w:t>TABLE OF CONTENTS</w:t>
            </w:r>
          </w:p>
        </w:tc>
        <w:tc>
          <w:tcPr>
            <w:tcW w:w="1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417"/>
        </w:trPr>
        <w:tc>
          <w:tcPr>
            <w:tcW w:w="1200" w:type="dxa"/>
            <w:vAlign w:val="bottom"/>
          </w:tcPr>
          <w:p>
            <w:pPr>
              <w:spacing w:after="0"/>
              <w:rPr>
                <w:sz w:val="24"/>
                <w:szCs w:val="24"/>
                <w:color w:val="auto"/>
              </w:rPr>
            </w:pPr>
          </w:p>
        </w:tc>
        <w:tc>
          <w:tcPr>
            <w:tcW w:w="3020" w:type="dxa"/>
            <w:vAlign w:val="bottom"/>
            <w:tcBorders>
              <w:bottom w:val="single" w:sz="8" w:color="0000EE"/>
            </w:tcBorders>
            <w:gridSpan w:val="14"/>
          </w:tcPr>
          <w:p>
            <w:pPr>
              <w:spacing w:after="0"/>
              <w:rPr>
                <w:rFonts w:ascii="Arial" w:cs="Arial" w:eastAsia="Arial" w:hAnsi="Arial"/>
                <w:sz w:val="19"/>
                <w:szCs w:val="19"/>
                <w:color w:val="0000EE"/>
                <w:w w:val="92"/>
              </w:rPr>
            </w:pPr>
            <w:hyperlink w:anchor="page5">
              <w:r>
                <w:rPr>
                  <w:rFonts w:ascii="Arial" w:cs="Arial" w:eastAsia="Arial" w:hAnsi="Arial"/>
                  <w:sz w:val="19"/>
                  <w:szCs w:val="19"/>
                  <w:color w:val="0000EE"/>
                  <w:w w:val="92"/>
                </w:rPr>
                <w:t>FORWARD-LOOKING STATEMENTS</w:t>
              </w:r>
            </w:hyperlink>
          </w:p>
        </w:tc>
        <w:tc>
          <w:tcPr>
            <w:tcW w:w="4560" w:type="dxa"/>
            <w:vAlign w:val="bottom"/>
            <w:gridSpan w:val="9"/>
          </w:tcPr>
          <w:p>
            <w:pPr>
              <w:spacing w:after="0"/>
              <w:rPr>
                <w:sz w:val="24"/>
                <w:szCs w:val="24"/>
                <w:color w:val="auto"/>
              </w:rPr>
            </w:pPr>
          </w:p>
        </w:tc>
        <w:tc>
          <w:tcPr>
            <w:tcW w:w="1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5">
              <w:r>
                <w:rPr>
                  <w:rFonts w:ascii="Arial" w:cs="Arial" w:eastAsia="Arial" w:hAnsi="Arial"/>
                  <w:sz w:val="19"/>
                  <w:szCs w:val="19"/>
                  <w:color w:val="0000EE"/>
                  <w:w w:val="75"/>
                </w:rPr>
                <w:t>1</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1320" w:type="dxa"/>
            <w:vAlign w:val="bottom"/>
            <w:tcBorders>
              <w:bottom w:val="single" w:sz="8" w:color="0000EE"/>
            </w:tcBorders>
            <w:gridSpan w:val="5"/>
          </w:tcPr>
          <w:p>
            <w:pPr>
              <w:spacing w:after="0"/>
              <w:rPr>
                <w:rFonts w:ascii="Arial" w:cs="Arial" w:eastAsia="Arial" w:hAnsi="Arial"/>
                <w:sz w:val="19"/>
                <w:szCs w:val="19"/>
                <w:color w:val="0000EE"/>
                <w:w w:val="93"/>
              </w:rPr>
            </w:pPr>
            <w:hyperlink w:anchor="page7">
              <w:r>
                <w:rPr>
                  <w:rFonts w:ascii="Arial" w:cs="Arial" w:eastAsia="Arial" w:hAnsi="Arial"/>
                  <w:sz w:val="19"/>
                  <w:szCs w:val="19"/>
                  <w:color w:val="0000EE"/>
                  <w:w w:val="93"/>
                </w:rPr>
                <w:t>THE COMPANY</w:t>
              </w:r>
            </w:hyperlink>
          </w:p>
        </w:tc>
        <w:tc>
          <w:tcPr>
            <w:tcW w:w="6260" w:type="dxa"/>
            <w:vAlign w:val="bottom"/>
            <w:gridSpan w:val="18"/>
          </w:tcPr>
          <w:p>
            <w:pPr>
              <w:spacing w:after="0"/>
              <w:rPr>
                <w:sz w:val="24"/>
                <w:szCs w:val="24"/>
                <w:color w:val="auto"/>
              </w:rPr>
            </w:pPr>
          </w:p>
        </w:tc>
        <w:tc>
          <w:tcPr>
            <w:tcW w:w="1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7">
              <w:r>
                <w:rPr>
                  <w:rFonts w:ascii="Arial" w:cs="Arial" w:eastAsia="Arial" w:hAnsi="Arial"/>
                  <w:sz w:val="19"/>
                  <w:szCs w:val="19"/>
                  <w:color w:val="0000EE"/>
                  <w:w w:val="75"/>
                </w:rPr>
                <w:t>3</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7580" w:type="dxa"/>
            <w:vAlign w:val="bottom"/>
            <w:gridSpan w:val="23"/>
          </w:tcPr>
          <w:p>
            <w:pPr>
              <w:spacing w:after="0"/>
              <w:rPr>
                <w:rFonts w:ascii="Arial" w:cs="Arial" w:eastAsia="Arial" w:hAnsi="Arial"/>
                <w:sz w:val="19"/>
                <w:szCs w:val="19"/>
                <w:color w:val="0000EE"/>
              </w:rPr>
            </w:pPr>
            <w:hyperlink w:anchor="page9">
              <w:r>
                <w:rPr>
                  <w:rFonts w:ascii="Arial" w:cs="Arial" w:eastAsia="Arial" w:hAnsi="Arial"/>
                  <w:sz w:val="19"/>
                  <w:szCs w:val="19"/>
                  <w:color w:val="0000EE"/>
                </w:rPr>
                <w:t>RISK FACTORS</w:t>
              </w:r>
            </w:hyperlink>
          </w:p>
        </w:tc>
        <w:tc>
          <w:tcPr>
            <w:tcW w:w="2020" w:type="dxa"/>
            <w:vAlign w:val="bottom"/>
            <w:gridSpan w:val="3"/>
          </w:tcPr>
          <w:p>
            <w:pPr>
              <w:jc w:val="right"/>
              <w:spacing w:after="0"/>
              <w:rPr>
                <w:rFonts w:ascii="Arial" w:cs="Arial" w:eastAsia="Arial" w:hAnsi="Arial"/>
                <w:sz w:val="19"/>
                <w:szCs w:val="19"/>
                <w:color w:val="0000EE"/>
              </w:rPr>
            </w:pPr>
            <w:hyperlink w:anchor="page9">
              <w:r>
                <w:rPr>
                  <w:rFonts w:ascii="Arial" w:cs="Arial" w:eastAsia="Arial" w:hAnsi="Arial"/>
                  <w:sz w:val="19"/>
                  <w:szCs w:val="19"/>
                  <w:color w:val="0000EE"/>
                </w:rPr>
                <w:t>5</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7580" w:type="dxa"/>
            <w:vAlign w:val="bottom"/>
            <w:gridSpan w:val="23"/>
          </w:tcPr>
          <w:p>
            <w:pPr>
              <w:spacing w:after="0"/>
              <w:rPr>
                <w:rFonts w:ascii="Arial" w:cs="Arial" w:eastAsia="Arial" w:hAnsi="Arial"/>
                <w:sz w:val="19"/>
                <w:szCs w:val="19"/>
                <w:color w:val="0000EE"/>
              </w:rPr>
            </w:pPr>
            <w:hyperlink w:anchor="page10">
              <w:r>
                <w:rPr>
                  <w:rFonts w:ascii="Arial" w:cs="Arial" w:eastAsia="Arial" w:hAnsi="Arial"/>
                  <w:sz w:val="19"/>
                  <w:szCs w:val="19"/>
                  <w:color w:val="0000EE"/>
                </w:rPr>
                <w:t>SERVICE OF PROCESS AND ENFORCEMENT OF LIABILITIES</w:t>
              </w:r>
            </w:hyperlink>
          </w:p>
        </w:tc>
        <w:tc>
          <w:tcPr>
            <w:tcW w:w="2020" w:type="dxa"/>
            <w:vAlign w:val="bottom"/>
            <w:gridSpan w:val="3"/>
          </w:tcPr>
          <w:p>
            <w:pPr>
              <w:jc w:val="right"/>
              <w:spacing w:after="0"/>
              <w:rPr>
                <w:rFonts w:ascii="Arial" w:cs="Arial" w:eastAsia="Arial" w:hAnsi="Arial"/>
                <w:sz w:val="19"/>
                <w:szCs w:val="19"/>
                <w:color w:val="0000EE"/>
              </w:rPr>
            </w:pPr>
            <w:hyperlink w:anchor="page10">
              <w:r>
                <w:rPr>
                  <w:rFonts w:ascii="Arial" w:cs="Arial" w:eastAsia="Arial" w:hAnsi="Arial"/>
                  <w:sz w:val="19"/>
                  <w:szCs w:val="19"/>
                  <w:color w:val="0000EE"/>
                </w:rPr>
                <w:t>6</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2300" w:type="dxa"/>
            <w:vAlign w:val="bottom"/>
            <w:tcBorders>
              <w:top w:val="single" w:sz="8" w:color="0000EE"/>
              <w:bottom w:val="single" w:sz="8" w:color="0000EE"/>
            </w:tcBorders>
            <w:gridSpan w:val="10"/>
          </w:tcPr>
          <w:p>
            <w:pPr>
              <w:spacing w:after="0"/>
              <w:rPr>
                <w:rFonts w:ascii="Arial" w:cs="Arial" w:eastAsia="Arial" w:hAnsi="Arial"/>
                <w:sz w:val="19"/>
                <w:szCs w:val="19"/>
                <w:color w:val="0000EE"/>
                <w:w w:val="91"/>
              </w:rPr>
            </w:pPr>
            <w:hyperlink w:anchor="page11">
              <w:r>
                <w:rPr>
                  <w:rFonts w:ascii="Arial" w:cs="Arial" w:eastAsia="Arial" w:hAnsi="Arial"/>
                  <w:sz w:val="19"/>
                  <w:szCs w:val="19"/>
                  <w:color w:val="0000EE"/>
                  <w:w w:val="91"/>
                </w:rPr>
                <w:t>ABOUT THIS PROSPECTUS</w:t>
              </w:r>
            </w:hyperlink>
          </w:p>
        </w:tc>
        <w:tc>
          <w:tcPr>
            <w:tcW w:w="2840" w:type="dxa"/>
            <w:vAlign w:val="bottom"/>
            <w:tcBorders>
              <w:top w:val="single" w:sz="8" w:color="0000EE"/>
            </w:tcBorders>
            <w:gridSpan w:val="11"/>
          </w:tcPr>
          <w:p>
            <w:pPr>
              <w:spacing w:after="0"/>
              <w:rPr>
                <w:sz w:val="24"/>
                <w:szCs w:val="24"/>
                <w:color w:val="auto"/>
              </w:rPr>
            </w:pPr>
          </w:p>
        </w:tc>
        <w:tc>
          <w:tcPr>
            <w:tcW w:w="2440" w:type="dxa"/>
            <w:vAlign w:val="bottom"/>
            <w:gridSpan w:val="2"/>
          </w:tcPr>
          <w:p>
            <w:pPr>
              <w:spacing w:after="0"/>
              <w:rPr>
                <w:sz w:val="24"/>
                <w:szCs w:val="24"/>
                <w:color w:val="auto"/>
              </w:rPr>
            </w:pPr>
          </w:p>
        </w:tc>
        <w:tc>
          <w:tcPr>
            <w:tcW w:w="1920" w:type="dxa"/>
            <w:vAlign w:val="bottom"/>
            <w:gridSpan w:val="2"/>
          </w:tcPr>
          <w:p>
            <w:pPr>
              <w:spacing w:after="0"/>
              <w:rPr>
                <w:sz w:val="24"/>
                <w:szCs w:val="24"/>
                <w:color w:val="auto"/>
              </w:rPr>
            </w:pPr>
          </w:p>
        </w:tc>
        <w:tc>
          <w:tcPr>
            <w:tcW w:w="100" w:type="dxa"/>
            <w:vAlign w:val="bottom"/>
            <w:tcBorders>
              <w:top w:val="single" w:sz="8" w:color="0000EE"/>
              <w:bottom w:val="single" w:sz="8" w:color="0000EE"/>
            </w:tcBorders>
          </w:tcPr>
          <w:p>
            <w:pPr>
              <w:jc w:val="right"/>
              <w:spacing w:after="0"/>
              <w:rPr>
                <w:rFonts w:ascii="Arial" w:cs="Arial" w:eastAsia="Arial" w:hAnsi="Arial"/>
                <w:sz w:val="19"/>
                <w:szCs w:val="19"/>
                <w:color w:val="0000EE"/>
                <w:w w:val="75"/>
              </w:rPr>
            </w:pPr>
            <w:hyperlink w:anchor="page11">
              <w:r>
                <w:rPr>
                  <w:rFonts w:ascii="Arial" w:cs="Arial" w:eastAsia="Arial" w:hAnsi="Arial"/>
                  <w:sz w:val="19"/>
                  <w:szCs w:val="19"/>
                  <w:color w:val="0000EE"/>
                  <w:w w:val="75"/>
                </w:rPr>
                <w:t>7</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7580" w:type="dxa"/>
            <w:vAlign w:val="bottom"/>
            <w:gridSpan w:val="23"/>
          </w:tcPr>
          <w:p>
            <w:pPr>
              <w:spacing w:after="0"/>
              <w:rPr>
                <w:rFonts w:ascii="Arial" w:cs="Arial" w:eastAsia="Arial" w:hAnsi="Arial"/>
                <w:sz w:val="19"/>
                <w:szCs w:val="19"/>
                <w:color w:val="0000EE"/>
              </w:rPr>
            </w:pPr>
            <w:hyperlink w:anchor="page11">
              <w:r>
                <w:rPr>
                  <w:rFonts w:ascii="Arial" w:cs="Arial" w:eastAsia="Arial" w:hAnsi="Arial"/>
                  <w:sz w:val="19"/>
                  <w:szCs w:val="19"/>
                  <w:color w:val="0000EE"/>
                </w:rPr>
                <w:t>WHERE YOU CAN FIND ADDITIONAL INFORMATION</w:t>
              </w:r>
            </w:hyperlink>
          </w:p>
        </w:tc>
        <w:tc>
          <w:tcPr>
            <w:tcW w:w="2020" w:type="dxa"/>
            <w:vAlign w:val="bottom"/>
            <w:gridSpan w:val="3"/>
          </w:tcPr>
          <w:p>
            <w:pPr>
              <w:jc w:val="right"/>
              <w:spacing w:after="0"/>
              <w:rPr>
                <w:rFonts w:ascii="Arial" w:cs="Arial" w:eastAsia="Arial" w:hAnsi="Arial"/>
                <w:sz w:val="19"/>
                <w:szCs w:val="19"/>
                <w:color w:val="0000EE"/>
              </w:rPr>
            </w:pPr>
            <w:hyperlink w:anchor="page11">
              <w:r>
                <w:rPr>
                  <w:rFonts w:ascii="Arial" w:cs="Arial" w:eastAsia="Arial" w:hAnsi="Arial"/>
                  <w:sz w:val="19"/>
                  <w:szCs w:val="19"/>
                  <w:color w:val="0000EE"/>
                </w:rPr>
                <w:t>7</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5340" w:type="dxa"/>
            <w:vAlign w:val="bottom"/>
            <w:tcBorders>
              <w:bottom w:val="single" w:sz="8" w:color="0000EE"/>
            </w:tcBorders>
            <w:gridSpan w:val="22"/>
          </w:tcPr>
          <w:p>
            <w:pPr>
              <w:spacing w:after="0"/>
              <w:rPr>
                <w:rFonts w:ascii="Arial" w:cs="Arial" w:eastAsia="Arial" w:hAnsi="Arial"/>
                <w:sz w:val="19"/>
                <w:szCs w:val="19"/>
                <w:color w:val="0000EE"/>
                <w:w w:val="92"/>
              </w:rPr>
            </w:pPr>
            <w:hyperlink w:anchor="page12">
              <w:r>
                <w:rPr>
                  <w:rFonts w:ascii="Arial" w:cs="Arial" w:eastAsia="Arial" w:hAnsi="Arial"/>
                  <w:sz w:val="19"/>
                  <w:szCs w:val="19"/>
                  <w:color w:val="0000EE"/>
                  <w:w w:val="92"/>
                </w:rPr>
                <w:t>INCORPORATION OF CERTAIN INFORMATION BY REFERENCE</w:t>
              </w:r>
            </w:hyperlink>
          </w:p>
        </w:tc>
        <w:tc>
          <w:tcPr>
            <w:tcW w:w="2240" w:type="dxa"/>
            <w:vAlign w:val="bottom"/>
          </w:tcPr>
          <w:p>
            <w:pPr>
              <w:spacing w:after="0"/>
              <w:rPr>
                <w:sz w:val="24"/>
                <w:szCs w:val="24"/>
                <w:color w:val="auto"/>
              </w:rPr>
            </w:pPr>
          </w:p>
        </w:tc>
        <w:tc>
          <w:tcPr>
            <w:tcW w:w="1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12">
              <w:r>
                <w:rPr>
                  <w:rFonts w:ascii="Arial" w:cs="Arial" w:eastAsia="Arial" w:hAnsi="Arial"/>
                  <w:sz w:val="19"/>
                  <w:szCs w:val="19"/>
                  <w:color w:val="0000EE"/>
                  <w:w w:val="75"/>
                </w:rPr>
                <w:t>8</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7580" w:type="dxa"/>
            <w:vAlign w:val="bottom"/>
            <w:gridSpan w:val="23"/>
          </w:tcPr>
          <w:p>
            <w:pPr>
              <w:spacing w:after="0"/>
              <w:rPr>
                <w:rFonts w:ascii="Arial" w:cs="Arial" w:eastAsia="Arial" w:hAnsi="Arial"/>
                <w:sz w:val="19"/>
                <w:szCs w:val="19"/>
                <w:color w:val="0000EE"/>
              </w:rPr>
            </w:pPr>
            <w:hyperlink w:anchor="page13">
              <w:r>
                <w:rPr>
                  <w:rFonts w:ascii="Arial" w:cs="Arial" w:eastAsia="Arial" w:hAnsi="Arial"/>
                  <w:sz w:val="19"/>
                  <w:szCs w:val="19"/>
                  <w:color w:val="0000EE"/>
                </w:rPr>
                <w:t>USE OF PROCEEDS</w:t>
              </w:r>
            </w:hyperlink>
          </w:p>
        </w:tc>
        <w:tc>
          <w:tcPr>
            <w:tcW w:w="2020" w:type="dxa"/>
            <w:vAlign w:val="bottom"/>
            <w:gridSpan w:val="3"/>
          </w:tcPr>
          <w:p>
            <w:pPr>
              <w:jc w:val="right"/>
              <w:spacing w:after="0"/>
              <w:rPr>
                <w:rFonts w:ascii="Arial" w:cs="Arial" w:eastAsia="Arial" w:hAnsi="Arial"/>
                <w:sz w:val="19"/>
                <w:szCs w:val="19"/>
                <w:color w:val="0000EE"/>
              </w:rPr>
            </w:pPr>
            <w:hyperlink w:anchor="page13">
              <w:r>
                <w:rPr>
                  <w:rFonts w:ascii="Arial" w:cs="Arial" w:eastAsia="Arial" w:hAnsi="Arial"/>
                  <w:sz w:val="19"/>
                  <w:szCs w:val="19"/>
                  <w:color w:val="0000EE"/>
                </w:rPr>
                <w:t>9</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3380" w:type="dxa"/>
            <w:vAlign w:val="bottom"/>
            <w:tcBorders>
              <w:bottom w:val="single" w:sz="8" w:color="0000EE"/>
            </w:tcBorders>
            <w:gridSpan w:val="16"/>
          </w:tcPr>
          <w:p>
            <w:pPr>
              <w:spacing w:after="0"/>
              <w:rPr>
                <w:rFonts w:ascii="Arial" w:cs="Arial" w:eastAsia="Arial" w:hAnsi="Arial"/>
                <w:sz w:val="19"/>
                <w:szCs w:val="19"/>
                <w:color w:val="0000EE"/>
                <w:w w:val="95"/>
              </w:rPr>
            </w:pPr>
            <w:hyperlink w:anchor="page13">
              <w:r>
                <w:rPr>
                  <w:rFonts w:ascii="Arial" w:cs="Arial" w:eastAsia="Arial" w:hAnsi="Arial"/>
                  <w:sz w:val="19"/>
                  <w:szCs w:val="19"/>
                  <w:color w:val="0000EE"/>
                  <w:w w:val="95"/>
                </w:rPr>
                <w:t>CAPITALIZATION AND INDEBTEDNESS</w:t>
              </w:r>
            </w:hyperlink>
          </w:p>
        </w:tc>
        <w:tc>
          <w:tcPr>
            <w:tcW w:w="4200" w:type="dxa"/>
            <w:vAlign w:val="bottom"/>
            <w:gridSpan w:val="7"/>
          </w:tcPr>
          <w:p>
            <w:pPr>
              <w:spacing w:after="0"/>
              <w:rPr>
                <w:sz w:val="24"/>
                <w:szCs w:val="24"/>
                <w:color w:val="auto"/>
              </w:rPr>
            </w:pPr>
          </w:p>
        </w:tc>
        <w:tc>
          <w:tcPr>
            <w:tcW w:w="1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13">
              <w:r>
                <w:rPr>
                  <w:rFonts w:ascii="Arial" w:cs="Arial" w:eastAsia="Arial" w:hAnsi="Arial"/>
                  <w:sz w:val="19"/>
                  <w:szCs w:val="19"/>
                  <w:color w:val="0000EE"/>
                  <w:w w:val="75"/>
                </w:rPr>
                <w:t>9</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2960" w:type="dxa"/>
            <w:vAlign w:val="bottom"/>
            <w:tcBorders>
              <w:bottom w:val="single" w:sz="8" w:color="0000EE"/>
            </w:tcBorders>
            <w:gridSpan w:val="13"/>
          </w:tcPr>
          <w:p>
            <w:pPr>
              <w:spacing w:after="0"/>
              <w:rPr>
                <w:rFonts w:ascii="Arial" w:cs="Arial" w:eastAsia="Arial" w:hAnsi="Arial"/>
                <w:sz w:val="19"/>
                <w:szCs w:val="19"/>
                <w:color w:val="0000EE"/>
                <w:w w:val="92"/>
              </w:rPr>
            </w:pPr>
            <w:hyperlink w:anchor="page13">
              <w:r>
                <w:rPr>
                  <w:rFonts w:ascii="Arial" w:cs="Arial" w:eastAsia="Arial" w:hAnsi="Arial"/>
                  <w:sz w:val="19"/>
                  <w:szCs w:val="19"/>
                  <w:color w:val="0000EE"/>
                  <w:w w:val="92"/>
                </w:rPr>
                <w:t>DESCRIPTION OF SHARE CAPITAL</w:t>
              </w:r>
            </w:hyperlink>
          </w:p>
        </w:tc>
        <w:tc>
          <w:tcPr>
            <w:tcW w:w="4620" w:type="dxa"/>
            <w:vAlign w:val="bottom"/>
            <w:gridSpan w:val="10"/>
          </w:tcPr>
          <w:p>
            <w:pPr>
              <w:spacing w:after="0"/>
              <w:rPr>
                <w:sz w:val="24"/>
                <w:szCs w:val="24"/>
                <w:color w:val="auto"/>
              </w:rPr>
            </w:pPr>
          </w:p>
        </w:tc>
        <w:tc>
          <w:tcPr>
            <w:tcW w:w="1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13">
              <w:r>
                <w:rPr>
                  <w:rFonts w:ascii="Arial" w:cs="Arial" w:eastAsia="Arial" w:hAnsi="Arial"/>
                  <w:sz w:val="19"/>
                  <w:szCs w:val="19"/>
                  <w:color w:val="0000EE"/>
                  <w:w w:val="75"/>
                </w:rPr>
                <w:t>9</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3460" w:type="dxa"/>
            <w:vAlign w:val="bottom"/>
            <w:tcBorders>
              <w:bottom w:val="single" w:sz="8" w:color="0000EE"/>
            </w:tcBorders>
            <w:gridSpan w:val="17"/>
          </w:tcPr>
          <w:p>
            <w:pPr>
              <w:spacing w:after="0"/>
              <w:rPr>
                <w:rFonts w:ascii="Arial" w:cs="Arial" w:eastAsia="Arial" w:hAnsi="Arial"/>
                <w:sz w:val="19"/>
                <w:szCs w:val="19"/>
                <w:color w:val="0000EE"/>
                <w:w w:val="90"/>
              </w:rPr>
            </w:pPr>
            <w:hyperlink w:anchor="page13">
              <w:r>
                <w:rPr>
                  <w:rFonts w:ascii="Arial" w:cs="Arial" w:eastAsia="Arial" w:hAnsi="Arial"/>
                  <w:sz w:val="19"/>
                  <w:szCs w:val="19"/>
                  <w:color w:val="0000EE"/>
                  <w:w w:val="90"/>
                </w:rPr>
                <w:t>DESCRIPTION OF PREFERENCE SHARES</w:t>
              </w:r>
            </w:hyperlink>
          </w:p>
        </w:tc>
        <w:tc>
          <w:tcPr>
            <w:tcW w:w="4120" w:type="dxa"/>
            <w:vAlign w:val="bottom"/>
            <w:gridSpan w:val="6"/>
          </w:tcPr>
          <w:p>
            <w:pPr>
              <w:spacing w:after="0"/>
              <w:rPr>
                <w:sz w:val="24"/>
                <w:szCs w:val="24"/>
                <w:color w:val="auto"/>
              </w:rPr>
            </w:pPr>
          </w:p>
        </w:tc>
        <w:tc>
          <w:tcPr>
            <w:tcW w:w="1920" w:type="dxa"/>
            <w:vAlign w:val="bottom"/>
            <w:gridSpan w:val="2"/>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9"/>
                <w:szCs w:val="19"/>
                <w:color w:val="0000EE"/>
                <w:w w:val="75"/>
              </w:rPr>
            </w:pPr>
            <w:hyperlink w:anchor="page13">
              <w:r>
                <w:rPr>
                  <w:rFonts w:ascii="Arial" w:cs="Arial" w:eastAsia="Arial" w:hAnsi="Arial"/>
                  <w:sz w:val="19"/>
                  <w:szCs w:val="19"/>
                  <w:color w:val="0000EE"/>
                  <w:w w:val="75"/>
                </w:rPr>
                <w:t>9</w:t>
              </w:r>
            </w:hyperlink>
          </w:p>
        </w:tc>
        <w:tc>
          <w:tcPr>
            <w:tcW w:w="1200" w:type="dxa"/>
            <w:vAlign w:val="bottom"/>
          </w:tcPr>
          <w:p>
            <w:pPr>
              <w:spacing w:after="0"/>
              <w:rPr>
                <w:sz w:val="24"/>
                <w:szCs w:val="24"/>
                <w:color w:val="auto"/>
              </w:rPr>
            </w:pPr>
          </w:p>
        </w:tc>
      </w:tr>
      <w:tr>
        <w:trPr>
          <w:trHeight w:val="436"/>
        </w:trPr>
        <w:tc>
          <w:tcPr>
            <w:tcW w:w="1200" w:type="dxa"/>
            <w:vAlign w:val="bottom"/>
          </w:tcPr>
          <w:p>
            <w:pPr>
              <w:spacing w:after="0"/>
              <w:rPr>
                <w:sz w:val="24"/>
                <w:szCs w:val="24"/>
                <w:color w:val="auto"/>
              </w:rPr>
            </w:pPr>
          </w:p>
        </w:tc>
        <w:tc>
          <w:tcPr>
            <w:tcW w:w="3120" w:type="dxa"/>
            <w:vAlign w:val="bottom"/>
            <w:gridSpan w:val="15"/>
          </w:tcPr>
          <w:p>
            <w:pPr>
              <w:spacing w:after="0"/>
              <w:rPr>
                <w:rFonts w:ascii="Arial" w:cs="Arial" w:eastAsia="Arial" w:hAnsi="Arial"/>
                <w:sz w:val="19"/>
                <w:szCs w:val="19"/>
                <w:color w:val="0000EE"/>
                <w:w w:val="92"/>
              </w:rPr>
            </w:pPr>
            <w:hyperlink w:anchor="page15">
              <w:r>
                <w:rPr>
                  <w:rFonts w:ascii="Arial" w:cs="Arial" w:eastAsia="Arial" w:hAnsi="Arial"/>
                  <w:sz w:val="19"/>
                  <w:szCs w:val="19"/>
                  <w:color w:val="0000EE"/>
                  <w:w w:val="92"/>
                </w:rPr>
                <w:t>DESCRIPTION OF DEBT SECURITIES</w:t>
              </w:r>
            </w:hyperlink>
          </w:p>
        </w:tc>
        <w:tc>
          <w:tcPr>
            <w:tcW w:w="4460" w:type="dxa"/>
            <w:vAlign w:val="bottom"/>
            <w:gridSpan w:val="8"/>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15">
              <w:r>
                <w:rPr>
                  <w:rFonts w:ascii="Arial" w:cs="Arial" w:eastAsia="Arial" w:hAnsi="Arial"/>
                  <w:sz w:val="19"/>
                  <w:szCs w:val="19"/>
                  <w:color w:val="0000EE"/>
                </w:rPr>
                <w:t>11</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60" w:type="dxa"/>
            <w:vAlign w:val="bottom"/>
            <w:gridSpan w:val="3"/>
            <w:shd w:val="clear" w:color="auto" w:fill="0000EE"/>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2560" w:type="dxa"/>
            <w:vAlign w:val="bottom"/>
            <w:gridSpan w:val="12"/>
          </w:tcPr>
          <w:p>
            <w:pPr>
              <w:spacing w:after="0"/>
              <w:rPr>
                <w:rFonts w:ascii="Arial" w:cs="Arial" w:eastAsia="Arial" w:hAnsi="Arial"/>
                <w:sz w:val="19"/>
                <w:szCs w:val="19"/>
                <w:color w:val="0000EE"/>
                <w:w w:val="92"/>
              </w:rPr>
            </w:pPr>
            <w:hyperlink w:anchor="page23">
              <w:r>
                <w:rPr>
                  <w:rFonts w:ascii="Arial" w:cs="Arial" w:eastAsia="Arial" w:hAnsi="Arial"/>
                  <w:sz w:val="19"/>
                  <w:szCs w:val="19"/>
                  <w:color w:val="0000EE"/>
                  <w:w w:val="92"/>
                </w:rPr>
                <w:t>DESCRIPTION OF WARRANTS</w:t>
              </w:r>
            </w:hyperlink>
          </w:p>
        </w:tc>
        <w:tc>
          <w:tcPr>
            <w:tcW w:w="560" w:type="dxa"/>
            <w:vAlign w:val="bottom"/>
            <w:gridSpan w:val="3"/>
          </w:tcPr>
          <w:p>
            <w:pPr>
              <w:spacing w:after="0"/>
              <w:rPr>
                <w:sz w:val="24"/>
                <w:szCs w:val="24"/>
                <w:color w:val="auto"/>
              </w:rPr>
            </w:pPr>
          </w:p>
        </w:tc>
        <w:tc>
          <w:tcPr>
            <w:tcW w:w="4460" w:type="dxa"/>
            <w:vAlign w:val="bottom"/>
            <w:gridSpan w:val="8"/>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3">
              <w:r>
                <w:rPr>
                  <w:rFonts w:ascii="Arial" w:cs="Arial" w:eastAsia="Arial" w:hAnsi="Arial"/>
                  <w:sz w:val="19"/>
                  <w:szCs w:val="19"/>
                  <w:color w:val="0000EE"/>
                </w:rPr>
                <w:t>19</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320" w:type="dxa"/>
            <w:vAlign w:val="bottom"/>
            <w:gridSpan w:val="6"/>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2560" w:type="dxa"/>
            <w:vAlign w:val="bottom"/>
            <w:gridSpan w:val="12"/>
          </w:tcPr>
          <w:p>
            <w:pPr>
              <w:spacing w:after="0"/>
              <w:rPr>
                <w:rFonts w:ascii="Arial" w:cs="Arial" w:eastAsia="Arial" w:hAnsi="Arial"/>
                <w:sz w:val="19"/>
                <w:szCs w:val="19"/>
                <w:color w:val="0000EE"/>
              </w:rPr>
            </w:pPr>
            <w:hyperlink w:anchor="page24">
              <w:r>
                <w:rPr>
                  <w:rFonts w:ascii="Arial" w:cs="Arial" w:eastAsia="Arial" w:hAnsi="Arial"/>
                  <w:sz w:val="19"/>
                  <w:szCs w:val="19"/>
                  <w:color w:val="0000EE"/>
                </w:rPr>
                <w:t>DESCRIPTION OF RIGHTS</w:t>
              </w:r>
            </w:hyperlink>
          </w:p>
        </w:tc>
        <w:tc>
          <w:tcPr>
            <w:tcW w:w="5020" w:type="dxa"/>
            <w:vAlign w:val="bottom"/>
            <w:gridSpan w:val="11"/>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4">
              <w:r>
                <w:rPr>
                  <w:rFonts w:ascii="Arial" w:cs="Arial" w:eastAsia="Arial" w:hAnsi="Arial"/>
                  <w:sz w:val="19"/>
                  <w:szCs w:val="19"/>
                  <w:color w:val="0000EE"/>
                </w:rPr>
                <w:t>20</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7580" w:type="dxa"/>
            <w:vAlign w:val="bottom"/>
            <w:gridSpan w:val="23"/>
          </w:tcPr>
          <w:p>
            <w:pPr>
              <w:spacing w:after="0"/>
              <w:rPr>
                <w:rFonts w:ascii="Arial" w:cs="Arial" w:eastAsia="Arial" w:hAnsi="Arial"/>
                <w:sz w:val="19"/>
                <w:szCs w:val="19"/>
                <w:color w:val="0000EE"/>
              </w:rPr>
            </w:pPr>
            <w:hyperlink w:anchor="page25">
              <w:r>
                <w:rPr>
                  <w:rFonts w:ascii="Arial" w:cs="Arial" w:eastAsia="Arial" w:hAnsi="Arial"/>
                  <w:sz w:val="19"/>
                  <w:szCs w:val="19"/>
                  <w:color w:val="0000EE"/>
                </w:rPr>
                <w:t>DESCRIPTION OF THE UNITS</w:t>
              </w:r>
            </w:hyperlink>
          </w:p>
        </w:tc>
        <w:tc>
          <w:tcPr>
            <w:tcW w:w="2020" w:type="dxa"/>
            <w:vAlign w:val="bottom"/>
            <w:gridSpan w:val="3"/>
          </w:tcPr>
          <w:p>
            <w:pPr>
              <w:jc w:val="right"/>
              <w:spacing w:after="0"/>
              <w:rPr>
                <w:rFonts w:ascii="Arial" w:cs="Arial" w:eastAsia="Arial" w:hAnsi="Arial"/>
                <w:sz w:val="19"/>
                <w:szCs w:val="19"/>
                <w:color w:val="0000EE"/>
              </w:rPr>
            </w:pPr>
            <w:hyperlink w:anchor="page25">
              <w:r>
                <w:rPr>
                  <w:rFonts w:ascii="Arial" w:cs="Arial" w:eastAsia="Arial" w:hAnsi="Arial"/>
                  <w:sz w:val="19"/>
                  <w:szCs w:val="19"/>
                  <w:color w:val="0000EE"/>
                </w:rPr>
                <w:t>21</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400" w:type="dxa"/>
            <w:vAlign w:val="bottom"/>
            <w:gridSpan w:val="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5020" w:type="dxa"/>
            <w:vAlign w:val="bottom"/>
            <w:gridSpan w:val="20"/>
          </w:tcPr>
          <w:p>
            <w:pPr>
              <w:spacing w:after="0"/>
              <w:rPr>
                <w:rFonts w:ascii="Arial" w:cs="Arial" w:eastAsia="Arial" w:hAnsi="Arial"/>
                <w:sz w:val="19"/>
                <w:szCs w:val="19"/>
                <w:color w:val="0000EE"/>
                <w:w w:val="94"/>
              </w:rPr>
            </w:pPr>
            <w:hyperlink w:anchor="page25">
              <w:r>
                <w:rPr>
                  <w:rFonts w:ascii="Arial" w:cs="Arial" w:eastAsia="Arial" w:hAnsi="Arial"/>
                  <w:sz w:val="19"/>
                  <w:szCs w:val="19"/>
                  <w:color w:val="0000EE"/>
                  <w:w w:val="94"/>
                </w:rPr>
                <w:t>MATERIAL U.S. FEDERAL INCOME TAX CONSIDERATIONS</w:t>
              </w:r>
            </w:hyperlink>
          </w:p>
        </w:tc>
        <w:tc>
          <w:tcPr>
            <w:tcW w:w="2560" w:type="dxa"/>
            <w:vAlign w:val="bottom"/>
            <w:gridSpan w:val="3"/>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5">
              <w:r>
                <w:rPr>
                  <w:rFonts w:ascii="Arial" w:cs="Arial" w:eastAsia="Arial" w:hAnsi="Arial"/>
                  <w:sz w:val="19"/>
                  <w:szCs w:val="19"/>
                  <w:color w:val="0000EE"/>
                </w:rPr>
                <w:t>21</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1140" w:type="dxa"/>
            <w:vAlign w:val="bottom"/>
            <w:gridSpan w:val="2"/>
            <w:shd w:val="clear" w:color="auto" w:fill="0000EE"/>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5020" w:type="dxa"/>
            <w:vAlign w:val="bottom"/>
            <w:gridSpan w:val="20"/>
          </w:tcPr>
          <w:p>
            <w:pPr>
              <w:spacing w:after="0"/>
              <w:rPr>
                <w:rFonts w:ascii="Arial" w:cs="Arial" w:eastAsia="Arial" w:hAnsi="Arial"/>
                <w:sz w:val="19"/>
                <w:szCs w:val="19"/>
                <w:color w:val="0000EE"/>
              </w:rPr>
            </w:pPr>
            <w:hyperlink w:anchor="page25">
              <w:r>
                <w:rPr>
                  <w:rFonts w:ascii="Arial" w:cs="Arial" w:eastAsia="Arial" w:hAnsi="Arial"/>
                  <w:sz w:val="19"/>
                  <w:szCs w:val="19"/>
                  <w:color w:val="0000EE"/>
                </w:rPr>
                <w:t>NON-UNITED STATES TAX CONSIDERATIONS</w:t>
              </w:r>
            </w:hyperlink>
          </w:p>
        </w:tc>
        <w:tc>
          <w:tcPr>
            <w:tcW w:w="2560" w:type="dxa"/>
            <w:vAlign w:val="bottom"/>
            <w:gridSpan w:val="3"/>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5">
              <w:r>
                <w:rPr>
                  <w:rFonts w:ascii="Arial" w:cs="Arial" w:eastAsia="Arial" w:hAnsi="Arial"/>
                  <w:sz w:val="19"/>
                  <w:szCs w:val="19"/>
                  <w:color w:val="0000EE"/>
                </w:rPr>
                <w:t>21</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1760" w:type="dxa"/>
            <w:vAlign w:val="bottom"/>
            <w:gridSpan w:val="10"/>
            <w:shd w:val="clear" w:color="auto" w:fill="0000EE"/>
          </w:tcPr>
          <w:p>
            <w:pPr>
              <w:spacing w:after="0" w:line="20" w:lineRule="exact"/>
              <w:rPr>
                <w:sz w:val="1"/>
                <w:szCs w:val="1"/>
                <w:color w:val="auto"/>
              </w:rPr>
            </w:pPr>
          </w:p>
        </w:tc>
        <w:tc>
          <w:tcPr>
            <w:tcW w:w="3700" w:type="dxa"/>
            <w:vAlign w:val="bottom"/>
            <w:gridSpan w:val="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2120" w:type="dxa"/>
            <w:vAlign w:val="bottom"/>
            <w:gridSpan w:val="8"/>
          </w:tcPr>
          <w:p>
            <w:pPr>
              <w:spacing w:after="0"/>
              <w:rPr>
                <w:rFonts w:ascii="Arial" w:cs="Arial" w:eastAsia="Arial" w:hAnsi="Arial"/>
                <w:sz w:val="19"/>
                <w:szCs w:val="19"/>
                <w:color w:val="0000EE"/>
                <w:w w:val="95"/>
              </w:rPr>
            </w:pPr>
            <w:hyperlink w:anchor="page25">
              <w:r>
                <w:rPr>
                  <w:rFonts w:ascii="Arial" w:cs="Arial" w:eastAsia="Arial" w:hAnsi="Arial"/>
                  <w:sz w:val="19"/>
                  <w:szCs w:val="19"/>
                  <w:color w:val="0000EE"/>
                  <w:w w:val="95"/>
                </w:rPr>
                <w:t>PLAN OF DISTRIBUTION</w:t>
              </w:r>
            </w:hyperlink>
          </w:p>
        </w:tc>
        <w:tc>
          <w:tcPr>
            <w:tcW w:w="1760" w:type="dxa"/>
            <w:vAlign w:val="bottom"/>
            <w:gridSpan w:val="10"/>
          </w:tcPr>
          <w:p>
            <w:pPr>
              <w:spacing w:after="0"/>
              <w:rPr>
                <w:sz w:val="24"/>
                <w:szCs w:val="24"/>
                <w:color w:val="auto"/>
              </w:rPr>
            </w:pPr>
          </w:p>
        </w:tc>
        <w:tc>
          <w:tcPr>
            <w:tcW w:w="3700" w:type="dxa"/>
            <w:vAlign w:val="bottom"/>
            <w:gridSpan w:val="5"/>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5">
              <w:r>
                <w:rPr>
                  <w:rFonts w:ascii="Arial" w:cs="Arial" w:eastAsia="Arial" w:hAnsi="Arial"/>
                  <w:sz w:val="19"/>
                  <w:szCs w:val="19"/>
                  <w:color w:val="0000EE"/>
                </w:rPr>
                <w:t>21</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920" w:type="dxa"/>
            <w:vAlign w:val="bottom"/>
            <w:gridSpan w:val="3"/>
          </w:tcPr>
          <w:p>
            <w:pPr>
              <w:spacing w:after="0"/>
              <w:rPr>
                <w:rFonts w:ascii="Arial" w:cs="Arial" w:eastAsia="Arial" w:hAnsi="Arial"/>
                <w:sz w:val="19"/>
                <w:szCs w:val="19"/>
                <w:color w:val="0000EE"/>
                <w:w w:val="87"/>
              </w:rPr>
            </w:pPr>
            <w:hyperlink w:anchor="page28">
              <w:r>
                <w:rPr>
                  <w:rFonts w:ascii="Arial" w:cs="Arial" w:eastAsia="Arial" w:hAnsi="Arial"/>
                  <w:sz w:val="19"/>
                  <w:szCs w:val="19"/>
                  <w:color w:val="0000EE"/>
                  <w:w w:val="87"/>
                </w:rPr>
                <w:t>EXPENSES</w:t>
              </w:r>
            </w:hyperlink>
          </w:p>
        </w:tc>
        <w:tc>
          <w:tcPr>
            <w:tcW w:w="1200" w:type="dxa"/>
            <w:vAlign w:val="bottom"/>
            <w:gridSpan w:val="5"/>
          </w:tcPr>
          <w:p>
            <w:pPr>
              <w:spacing w:after="0"/>
              <w:rPr>
                <w:sz w:val="24"/>
                <w:szCs w:val="24"/>
                <w:color w:val="auto"/>
              </w:rPr>
            </w:pPr>
          </w:p>
        </w:tc>
        <w:tc>
          <w:tcPr>
            <w:tcW w:w="5460" w:type="dxa"/>
            <w:vAlign w:val="bottom"/>
            <w:gridSpan w:val="15"/>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8">
              <w:r>
                <w:rPr>
                  <w:rFonts w:ascii="Arial" w:cs="Arial" w:eastAsia="Arial" w:hAnsi="Arial"/>
                  <w:sz w:val="19"/>
                  <w:szCs w:val="19"/>
                  <w:color w:val="0000EE"/>
                </w:rPr>
                <w:t>24</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500" w:type="dxa"/>
            <w:vAlign w:val="bottom"/>
            <w:gridSpan w:val="6"/>
          </w:tcPr>
          <w:p>
            <w:pPr>
              <w:spacing w:after="0"/>
              <w:rPr>
                <w:rFonts w:ascii="Arial" w:cs="Arial" w:eastAsia="Arial" w:hAnsi="Arial"/>
                <w:sz w:val="19"/>
                <w:szCs w:val="19"/>
                <w:color w:val="0000EE"/>
                <w:w w:val="94"/>
              </w:rPr>
            </w:pPr>
            <w:hyperlink w:anchor="page28">
              <w:r>
                <w:rPr>
                  <w:rFonts w:ascii="Arial" w:cs="Arial" w:eastAsia="Arial" w:hAnsi="Arial"/>
                  <w:sz w:val="19"/>
                  <w:szCs w:val="19"/>
                  <w:color w:val="0000EE"/>
                  <w:w w:val="94"/>
                </w:rPr>
                <w:t>LEGAL MATTERS</w:t>
              </w:r>
            </w:hyperlink>
          </w:p>
        </w:tc>
        <w:tc>
          <w:tcPr>
            <w:tcW w:w="6080" w:type="dxa"/>
            <w:vAlign w:val="bottom"/>
            <w:gridSpan w:val="17"/>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8">
              <w:r>
                <w:rPr>
                  <w:rFonts w:ascii="Arial" w:cs="Arial" w:eastAsia="Arial" w:hAnsi="Arial"/>
                  <w:sz w:val="19"/>
                  <w:szCs w:val="19"/>
                  <w:color w:val="0000EE"/>
                </w:rPr>
                <w:t>24</w:t>
              </w:r>
            </w:hyperlink>
          </w:p>
        </w:tc>
        <w:tc>
          <w:tcPr>
            <w:tcW w:w="1200" w:type="dxa"/>
            <w:vAlign w:val="bottom"/>
          </w:tcPr>
          <w:p>
            <w:pPr>
              <w:spacing w:after="0"/>
              <w:rPr>
                <w:sz w:val="24"/>
                <w:szCs w:val="24"/>
                <w:color w:val="auto"/>
              </w:rPr>
            </w:pPr>
          </w:p>
        </w:tc>
      </w:tr>
      <w:tr>
        <w:trPr>
          <w:trHeight w:val="20"/>
        </w:trPr>
        <w:tc>
          <w:tcPr>
            <w:tcW w:w="120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080" w:type="dxa"/>
            <w:vAlign w:val="bottom"/>
            <w:gridSpan w:val="17"/>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r>
      <w:tr>
        <w:trPr>
          <w:trHeight w:val="436"/>
        </w:trPr>
        <w:tc>
          <w:tcPr>
            <w:tcW w:w="1200" w:type="dxa"/>
            <w:vAlign w:val="bottom"/>
          </w:tcPr>
          <w:p>
            <w:pPr>
              <w:spacing w:after="0"/>
              <w:rPr>
                <w:sz w:val="24"/>
                <w:szCs w:val="24"/>
                <w:color w:val="auto"/>
              </w:rPr>
            </w:pPr>
          </w:p>
        </w:tc>
        <w:tc>
          <w:tcPr>
            <w:tcW w:w="1500" w:type="dxa"/>
            <w:vAlign w:val="bottom"/>
            <w:gridSpan w:val="6"/>
          </w:tcPr>
          <w:p>
            <w:pPr>
              <w:spacing w:after="0"/>
              <w:rPr>
                <w:rFonts w:ascii="Arial" w:cs="Arial" w:eastAsia="Arial" w:hAnsi="Arial"/>
                <w:sz w:val="19"/>
                <w:szCs w:val="19"/>
                <w:color w:val="0000EE"/>
              </w:rPr>
            </w:pPr>
            <w:hyperlink w:anchor="page28">
              <w:r>
                <w:rPr>
                  <w:rFonts w:ascii="Arial" w:cs="Arial" w:eastAsia="Arial" w:hAnsi="Arial"/>
                  <w:sz w:val="19"/>
                  <w:szCs w:val="19"/>
                  <w:color w:val="0000EE"/>
                </w:rPr>
                <w:t>EXPERTS</w:t>
              </w:r>
            </w:hyperlink>
          </w:p>
        </w:tc>
        <w:tc>
          <w:tcPr>
            <w:tcW w:w="6080" w:type="dxa"/>
            <w:vAlign w:val="bottom"/>
            <w:gridSpan w:val="17"/>
          </w:tcPr>
          <w:p>
            <w:pPr>
              <w:spacing w:after="0"/>
              <w:rPr>
                <w:sz w:val="24"/>
                <w:szCs w:val="24"/>
                <w:color w:val="auto"/>
              </w:rPr>
            </w:pPr>
          </w:p>
        </w:tc>
        <w:tc>
          <w:tcPr>
            <w:tcW w:w="2020" w:type="dxa"/>
            <w:vAlign w:val="bottom"/>
            <w:gridSpan w:val="3"/>
          </w:tcPr>
          <w:p>
            <w:pPr>
              <w:jc w:val="right"/>
              <w:spacing w:after="0"/>
              <w:rPr>
                <w:rFonts w:ascii="Arial" w:cs="Arial" w:eastAsia="Arial" w:hAnsi="Arial"/>
                <w:sz w:val="19"/>
                <w:szCs w:val="19"/>
                <w:color w:val="0000EE"/>
              </w:rPr>
            </w:pPr>
            <w:hyperlink w:anchor="page28">
              <w:r>
                <w:rPr>
                  <w:rFonts w:ascii="Arial" w:cs="Arial" w:eastAsia="Arial" w:hAnsi="Arial"/>
                  <w:sz w:val="19"/>
                  <w:szCs w:val="19"/>
                  <w:color w:val="0000EE"/>
                </w:rPr>
                <w:t>24</w:t>
              </w:r>
            </w:hyperlink>
          </w:p>
        </w:tc>
        <w:tc>
          <w:tcPr>
            <w:tcW w:w="1200" w:type="dxa"/>
            <w:vAlign w:val="bottom"/>
          </w:tcPr>
          <w:p>
            <w:pPr>
              <w:spacing w:after="0"/>
              <w:rPr>
                <w:sz w:val="24"/>
                <w:szCs w:val="24"/>
                <w:color w:val="auto"/>
              </w:rPr>
            </w:pPr>
          </w:p>
        </w:tc>
      </w:tr>
      <w:tr>
        <w:trPr>
          <w:trHeight w:val="476"/>
        </w:trPr>
        <w:tc>
          <w:tcPr>
            <w:tcW w:w="120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40" w:type="dxa"/>
            <w:vAlign w:val="bottom"/>
            <w:gridSpan w:val="4"/>
          </w:tcPr>
          <w:p>
            <w:pPr>
              <w:jc w:val="center"/>
              <w:ind w:right="2520"/>
              <w:spacing w:after="0"/>
              <w:rPr>
                <w:sz w:val="20"/>
                <w:szCs w:val="20"/>
                <w:color w:val="auto"/>
              </w:rPr>
            </w:pPr>
            <w:r>
              <w:rPr>
                <w:rFonts w:ascii="Arial" w:cs="Arial" w:eastAsia="Arial" w:hAnsi="Arial"/>
                <w:sz w:val="19"/>
                <w:szCs w:val="19"/>
                <w:color w:val="auto"/>
                <w:w w:val="93"/>
              </w:rPr>
              <w:t>i</w:t>
            </w:r>
          </w:p>
        </w:tc>
        <w:tc>
          <w:tcPr>
            <w:tcW w:w="18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120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70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3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50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8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00" w:type="dxa"/>
            <w:vAlign w:val="bottom"/>
            <w:tcBorders>
              <w:bottom w:val="single" w:sz="8" w:color="808080"/>
            </w:tcBorders>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26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660" w:type="dxa"/>
            <w:vAlign w:val="bottom"/>
            <w:tcBorders>
              <w:bottom w:val="single" w:sz="8" w:color="808080"/>
            </w:tcBorders>
          </w:tcPr>
          <w:p>
            <w:pPr>
              <w:spacing w:after="0"/>
              <w:rPr>
                <w:sz w:val="21"/>
                <w:szCs w:val="21"/>
                <w:color w:val="auto"/>
              </w:rPr>
            </w:pPr>
          </w:p>
        </w:tc>
        <w:tc>
          <w:tcPr>
            <w:tcW w:w="480" w:type="dxa"/>
            <w:vAlign w:val="bottom"/>
            <w:tcBorders>
              <w:bottom w:val="single" w:sz="8" w:color="808080"/>
            </w:tcBorders>
          </w:tcPr>
          <w:p>
            <w:pPr>
              <w:spacing w:after="0"/>
              <w:rPr>
                <w:sz w:val="21"/>
                <w:szCs w:val="21"/>
                <w:color w:val="auto"/>
              </w:rPr>
            </w:pPr>
          </w:p>
        </w:tc>
        <w:tc>
          <w:tcPr>
            <w:tcW w:w="120" w:type="dxa"/>
            <w:vAlign w:val="bottom"/>
            <w:tcBorders>
              <w:bottom w:val="single" w:sz="8" w:color="808080"/>
            </w:tcBorders>
          </w:tcPr>
          <w:p>
            <w:pPr>
              <w:spacing w:after="0"/>
              <w:rPr>
                <w:sz w:val="21"/>
                <w:szCs w:val="21"/>
                <w:color w:val="auto"/>
              </w:rPr>
            </w:pPr>
          </w:p>
        </w:tc>
        <w:tc>
          <w:tcPr>
            <w:tcW w:w="200" w:type="dxa"/>
            <w:vAlign w:val="bottom"/>
            <w:tcBorders>
              <w:bottom w:val="single" w:sz="8" w:color="808080"/>
            </w:tcBorders>
          </w:tcPr>
          <w:p>
            <w:pPr>
              <w:spacing w:after="0"/>
              <w:rPr>
                <w:sz w:val="21"/>
                <w:szCs w:val="21"/>
                <w:color w:val="auto"/>
              </w:rPr>
            </w:pPr>
          </w:p>
        </w:tc>
        <w:tc>
          <w:tcPr>
            <w:tcW w:w="2240" w:type="dxa"/>
            <w:vAlign w:val="bottom"/>
            <w:tcBorders>
              <w:bottom w:val="single" w:sz="8" w:color="808080"/>
            </w:tcBorders>
          </w:tcPr>
          <w:p>
            <w:pPr>
              <w:spacing w:after="0"/>
              <w:rPr>
                <w:sz w:val="21"/>
                <w:szCs w:val="21"/>
                <w:color w:val="auto"/>
              </w:rPr>
            </w:pPr>
          </w:p>
        </w:tc>
        <w:tc>
          <w:tcPr>
            <w:tcW w:w="1840" w:type="dxa"/>
            <w:vAlign w:val="bottom"/>
            <w:tcBorders>
              <w:bottom w:val="single" w:sz="8" w:color="808080"/>
            </w:tcBorders>
          </w:tcPr>
          <w:p>
            <w:pPr>
              <w:spacing w:after="0"/>
              <w:rPr>
                <w:sz w:val="21"/>
                <w:szCs w:val="21"/>
                <w:color w:val="auto"/>
              </w:rPr>
            </w:pPr>
          </w:p>
        </w:tc>
        <w:tc>
          <w:tcPr>
            <w:tcW w:w="80" w:type="dxa"/>
            <w:vAlign w:val="bottom"/>
            <w:tcBorders>
              <w:bottom w:val="single" w:sz="8" w:color="808080"/>
            </w:tcBorders>
          </w:tcPr>
          <w:p>
            <w:pPr>
              <w:spacing w:after="0"/>
              <w:rPr>
                <w:sz w:val="21"/>
                <w:szCs w:val="21"/>
                <w:color w:val="auto"/>
              </w:rPr>
            </w:pPr>
          </w:p>
        </w:tc>
        <w:tc>
          <w:tcPr>
            <w:tcW w:w="100" w:type="dxa"/>
            <w:vAlign w:val="bottom"/>
            <w:tcBorders>
              <w:bottom w:val="single" w:sz="8" w:color="808080"/>
            </w:tcBorders>
          </w:tcPr>
          <w:p>
            <w:pPr>
              <w:spacing w:after="0"/>
              <w:rPr>
                <w:sz w:val="21"/>
                <w:szCs w:val="21"/>
                <w:color w:val="auto"/>
              </w:rPr>
            </w:pPr>
          </w:p>
        </w:tc>
        <w:tc>
          <w:tcPr>
            <w:tcW w:w="120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7610475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4" w:name="page5"/>
    <w:bookmarkEnd w:id="4"/>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FORWARD-LOOKING STATEMENTS</w:t>
      </w:r>
    </w:p>
    <w:p>
      <w:pPr>
        <w:spacing w:after="0" w:line="242" w:lineRule="exact"/>
        <w:rPr>
          <w:sz w:val="20"/>
          <w:szCs w:val="20"/>
          <w:color w:val="auto"/>
        </w:rPr>
      </w:pPr>
    </w:p>
    <w:p>
      <w:pPr>
        <w:ind w:firstLine="361"/>
        <w:spacing w:after="0" w:line="303" w:lineRule="auto"/>
        <w:rPr>
          <w:sz w:val="20"/>
          <w:szCs w:val="20"/>
          <w:color w:val="auto"/>
        </w:rPr>
      </w:pPr>
      <w:r>
        <w:rPr>
          <w:rFonts w:ascii="Arial" w:cs="Arial" w:eastAsia="Arial" w:hAnsi="Arial"/>
          <w:sz w:val="16"/>
          <w:szCs w:val="16"/>
          <w:color w:val="auto"/>
        </w:rPr>
        <w:t>All statements in this prospectus that are not statements of historical fact are "forward-looking statements" within the meaning of the United States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In some cases, predictive, future-tense or forward-looking words such as "believe", "intend", "anticipate", "estimate", "project", "forecast", "plan", "potential", "may", "should", "could" and "expect" and similar expressions are intended to identify forward-looking statements, but are not the exclusive means of identifying such statements. In addition, we and our representatives may from time to time make other oral or written statements which are forward-looking statements, including in our periodic reports that we file with the Securities and Exchange Commission (the "SEC"), other information sent to our security holders and other written materials. We caution that these forward-looking statements represent our estimates and assumptions only as of the date of this prospectus or the date on which such oral or written statements are made, as applicable,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7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Factors that might cause future results and outcomes to differ include, but are not limited to, the following:</w:t>
      </w:r>
    </w:p>
    <w:p>
      <w:pPr>
        <w:sectPr>
          <w:pgSz w:w="12240" w:h="15840" w:orient="portrait"/>
          <w:cols w:equalWidth="0" w:num="1">
            <w:col w:w="11980"/>
          </w:cols>
          <w:pgMar w:left="120" w:top="0" w:right="140" w:bottom="1440" w:gutter="0" w:footer="0" w:header="0"/>
        </w:sect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ind w:right="40"/>
        <w:spacing w:after="0" w:line="297" w:lineRule="auto"/>
        <w:rPr>
          <w:sz w:val="20"/>
          <w:szCs w:val="20"/>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color w:val="auto"/>
        </w:rPr>
        <w:t>fluctuations in spot and multi-year charter hire rates and vessel values;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increased exposure to the spot market and fluctuations in spot charter rates;</w:t>
      </w:r>
    </w:p>
    <w:p>
      <w:pPr>
        <w:spacing w:after="0" w:line="252" w:lineRule="exact"/>
        <w:rPr>
          <w:sz w:val="20"/>
          <w:szCs w:val="20"/>
          <w:color w:val="auto"/>
        </w:rPr>
      </w:pPr>
    </w:p>
    <w:p>
      <w:pPr>
        <w:ind w:right="300"/>
        <w:spacing w:after="0" w:line="259" w:lineRule="auto"/>
        <w:rPr>
          <w:sz w:val="20"/>
          <w:szCs w:val="20"/>
          <w:color w:val="auto"/>
        </w:rPr>
      </w:pPr>
      <w:r>
        <w:rPr>
          <w:rFonts w:ascii="Arial" w:cs="Arial" w:eastAsia="Arial" w:hAnsi="Arial"/>
          <w:sz w:val="19"/>
          <w:szCs w:val="19"/>
          <w:color w:val="auto"/>
        </w:rPr>
        <w:t>our ability to maximize the use of our vessels, including the re-deployment or disposition of vessels which are not under multi-year charters, including the risk that certain of our vessels may no longer have the latest technology which may impact the rate at which we can charter such vessels;</w:t>
      </w:r>
    </w:p>
    <w:p>
      <w:pPr>
        <w:spacing w:after="0" w:line="200"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line="5"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changes in our operating expenses, including crew wages, maintenance, dry-docking and insurance costs and bunker prices;</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number of off-hire days and dry-docking requirements including our ability to complete scheduled dry dockings on time and within budget;</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planned capital expenditures and availability of capital resources to fund capital expenditures;</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our ability to maintain long-term relationships and enter into time charters with new and existing customers;</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fluctuations in prices for crude oil, petroleum products and natural gas, including LNG;</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changes in the ownership of our charterers;</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our customers' performance of their obligations under our time charters and other contracts;</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our future operating performance and expenses, financial condition, liquidity and cash available for dividends and distributions;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type w:val="continuous"/>
        </w:sectPr>
      </w:pPr>
    </w:p>
    <w:bookmarkStart w:id="5" w:name="page6"/>
    <w:bookmarkEnd w:id="5"/>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2240" w:h="15840" w:orient="portrait"/>
          <w:cols w:equalWidth="0" w:num="1">
            <w:col w:w="11980"/>
          </w:cols>
          <w:pgMar w:left="120" w:top="0" w:right="14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680"/>
        <w:spacing w:after="0" w:line="297" w:lineRule="auto"/>
        <w:rPr>
          <w:sz w:val="20"/>
          <w:szCs w:val="20"/>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spacing w:after="0" w:line="201" w:lineRule="exact"/>
        <w:rPr>
          <w:sz w:val="20"/>
          <w:szCs w:val="20"/>
          <w:color w:val="auto"/>
        </w:rPr>
      </w:pPr>
    </w:p>
    <w:p>
      <w:pPr>
        <w:ind w:right="340"/>
        <w:spacing w:after="0" w:line="268" w:lineRule="auto"/>
        <w:rPr>
          <w:sz w:val="20"/>
          <w:szCs w:val="20"/>
          <w:color w:val="auto"/>
        </w:rPr>
      </w:pPr>
      <w:r>
        <w:rPr>
          <w:rFonts w:ascii="Arial" w:cs="Arial" w:eastAsia="Arial" w:hAnsi="Arial"/>
          <w:sz w:val="19"/>
          <w:szCs w:val="19"/>
          <w:color w:val="auto"/>
        </w:rPr>
        <w:t>future, pending or recent acquisitions of or orders for ships or other assets, business strategy, areas of possible expansion and expected capital spending;</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the time that it may take to construct and deliver newbuildings and the useful lives of our ships;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fluctuations in currencies and interest rates;</w:t>
      </w:r>
    </w:p>
    <w:p>
      <w:pPr>
        <w:spacing w:after="0" w:line="266"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200"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risks inherent in ship operation, including the discharge of pollutants;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our ability to retain key employees and the availability of skilled labor, ship crews and management;</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potential disruption of shipping routes due to accidents, political events, piracy or acts by terrorists;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potential liability from future litigation;</w:t>
      </w:r>
    </w:p>
    <w:p>
      <w:pPr>
        <w:spacing w:after="0" w:line="252" w:lineRule="exact"/>
        <w:rPr>
          <w:sz w:val="20"/>
          <w:szCs w:val="20"/>
          <w:color w:val="auto"/>
        </w:rPr>
      </w:pPr>
    </w:p>
    <w:p>
      <w:pPr>
        <w:ind w:right="920"/>
        <w:spacing w:after="0" w:line="268" w:lineRule="auto"/>
        <w:rPr>
          <w:sz w:val="20"/>
          <w:szCs w:val="20"/>
          <w:color w:val="auto"/>
        </w:rPr>
      </w:pPr>
      <w:r>
        <w:rPr>
          <w:rFonts w:ascii="Arial" w:cs="Arial" w:eastAsia="Arial" w:hAnsi="Arial"/>
          <w:sz w:val="19"/>
          <w:szCs w:val="19"/>
          <w:color w:val="auto"/>
        </w:rPr>
        <w:t>any malfunction or disruption of information technology systems and networks that our operations rely on or any impact of a possible cybersecurity event; and</w:t>
      </w:r>
    </w:p>
    <w:p>
      <w:pPr>
        <w:spacing w:after="0" w:line="225" w:lineRule="exact"/>
        <w:rPr>
          <w:sz w:val="20"/>
          <w:szCs w:val="20"/>
          <w:color w:val="auto"/>
        </w:rPr>
      </w:pPr>
    </w:p>
    <w:p>
      <w:pPr>
        <w:ind w:right="460"/>
        <w:spacing w:after="0" w:line="268" w:lineRule="auto"/>
        <w:rPr>
          <w:sz w:val="20"/>
          <w:szCs w:val="20"/>
          <w:color w:val="auto"/>
        </w:rPr>
      </w:pPr>
      <w:r>
        <w:rPr>
          <w:rFonts w:ascii="Arial" w:cs="Arial" w:eastAsia="Arial" w:hAnsi="Arial"/>
          <w:sz w:val="19"/>
          <w:szCs w:val="19"/>
          <w:color w:val="auto"/>
        </w:rPr>
        <w:t xml:space="preserve">other risks and uncertainties described in the Company's Annual Report on Form 20-F filed with the SEC on March 5, 2019 and available at </w:t>
      </w:r>
      <w:r>
        <w:rPr>
          <w:rFonts w:ascii="Arial" w:cs="Arial" w:eastAsia="Arial" w:hAnsi="Arial"/>
          <w:sz w:val="19"/>
          <w:szCs w:val="19"/>
          <w:i w:val="1"/>
          <w:iCs w:val="1"/>
          <w:color w:val="auto"/>
        </w:rPr>
        <w:t>http://www.sec.gov</w:t>
      </w:r>
      <w:r>
        <w:rPr>
          <w:rFonts w:ascii="Arial" w:cs="Arial" w:eastAsia="Arial" w:hAnsi="Arial"/>
          <w:sz w:val="19"/>
          <w:szCs w:val="19"/>
          <w:color w:val="auto"/>
        </w:rPr>
        <w:t>.</w:t>
      </w:r>
    </w:p>
    <w:p>
      <w:pPr>
        <w:spacing w:after="0" w:line="197"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ind w:firstLine="368"/>
        <w:spacing w:after="0" w:line="311" w:lineRule="auto"/>
        <w:rPr>
          <w:sz w:val="20"/>
          <w:szCs w:val="20"/>
          <w:color w:val="auto"/>
        </w:rPr>
      </w:pPr>
      <w:r>
        <w:rPr>
          <w:rFonts w:ascii="Arial" w:cs="Arial" w:eastAsia="Arial" w:hAnsi="Arial"/>
          <w:sz w:val="16"/>
          <w:szCs w:val="16"/>
          <w:color w:val="auto"/>
        </w:rPr>
        <w:t>We caution that these and other forward-looking statements included in this prospectus represent our estimates and assumptions only as of the date of this prospectus and are not intended to give any assurance as to future results. Many of the forward-looking statements included in this prospectus are based on our assumptions about factors that are beyond our ability to control or predict. Assumptions, expectations, projections, intentions and beliefs about future events may, and often do, vary from actual results and these differences can be material. The reasons for this include the risks, uncertainties and factors described in the "Risk Factors" section of this prospectus. As a result, the forward-looking events discussed in this prospectus might not occur and our actual results may differ materially from those anticipated in the forward-looking statements. Accordingly, you should not unduly rely on any forward-looking statements.</w:t>
      </w:r>
    </w:p>
    <w:p>
      <w:pPr>
        <w:spacing w:after="0" w:line="167" w:lineRule="exact"/>
        <w:rPr>
          <w:sz w:val="20"/>
          <w:szCs w:val="20"/>
          <w:color w:val="auto"/>
        </w:rPr>
      </w:pPr>
    </w:p>
    <w:p>
      <w:pPr>
        <w:ind w:right="60" w:firstLine="368"/>
        <w:spacing w:after="0" w:line="319" w:lineRule="auto"/>
        <w:rPr>
          <w:sz w:val="20"/>
          <w:szCs w:val="20"/>
          <w:color w:val="auto"/>
        </w:rPr>
      </w:pPr>
      <w:r>
        <w:rPr>
          <w:rFonts w:ascii="Arial" w:cs="Arial" w:eastAsia="Arial" w:hAnsi="Arial"/>
          <w:sz w:val="16"/>
          <w:szCs w:val="16"/>
          <w:color w:val="auto"/>
        </w:rPr>
        <w:t>We undertake no obligation to update or revise any forward-looking statements contained in this prospectus,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type w:val="continuous"/>
        </w:sectPr>
      </w:pPr>
    </w:p>
    <w:bookmarkStart w:id="6" w:name="page7"/>
    <w:bookmarkEnd w:id="6"/>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THE COMPANY</w:t>
      </w:r>
    </w:p>
    <w:p>
      <w:pPr>
        <w:spacing w:after="0" w:line="242" w:lineRule="exact"/>
        <w:rPr>
          <w:sz w:val="20"/>
          <w:szCs w:val="20"/>
          <w:color w:val="auto"/>
        </w:rPr>
      </w:pPr>
    </w:p>
    <w:p>
      <w:pPr>
        <w:ind w:firstLine="371"/>
        <w:spacing w:after="0" w:line="304" w:lineRule="auto"/>
        <w:rPr>
          <w:sz w:val="20"/>
          <w:szCs w:val="20"/>
          <w:color w:val="auto"/>
        </w:rPr>
      </w:pPr>
      <w:r>
        <w:rPr>
          <w:rFonts w:ascii="Arial" w:cs="Arial" w:eastAsia="Arial" w:hAnsi="Arial"/>
          <w:sz w:val="16"/>
          <w:szCs w:val="16"/>
          <w:i w:val="1"/>
          <w:iCs w:val="1"/>
          <w:color w:val="auto"/>
        </w:rPr>
        <w:t>Unless otherwise indicated, references in this prospectus to "GasLog", the "Company", the "Group", "we", "our", "us" or similar terms refer to GasLog Ltd. or any one or more of its subsidiaries (including GasLog Partners LP) or their predecessors, or to such entities collectively, except that when such terms are used in this prospectus in reference to the common shares or the 8.75% Series A Cumulative Redeemable Perpetual Preference Shares (the "Series A Preference Shares"), they refer to GasLog Ltd.; "GasLog Partners" or the "Partnership", refers to GasLog Partners LP, a master limited partnership formed by GasLog to own, operate and acquire LNG carriers under multi-year charters, or any one or more of GasLog Partners' subsidiaries; "GasLog LNG Services" refers to GasLog LNG Services Ltd., our wholly owned subsidiary; "our vessels" or "our ships" refers to the LNG carriers owned or controlled by the Company and its subsidiaries, including the LNG carriers owned by GasLog Partners; "our wholly owned vessels" or "our wholly owned ships" refers to the LNG carriers owned by the Company and its subsidiaries, excluding any LNG carriers owned by GasLog Partners (in which we hold the controlling general partner interest as well as limited partner interests) and its subsidiaries and Egypt LNG Shipping Ltd. (in which we hold a 25.0% equity interest); and "Samsung" refers to Samsung Heavy Industries Co., Ltd., or, in each case, one or more of their subsidiaries or to such entities collectively; "NYSE" refers to the New York Stock Exchange; "SEC" refers to the U.S. Securities and Exchange Commission; "dollars" and "$" refers to, and amounts are presented in, U.S. dollars; "Lepta Shipping" refers to Lepta Shipping Co., Ltd.; and "Mitsui" refers to Mitsui &amp; Co., Ltd.</w:t>
      </w:r>
    </w:p>
    <w:p>
      <w:pPr>
        <w:spacing w:after="0" w:line="200" w:lineRule="exact"/>
        <w:rPr>
          <w:sz w:val="20"/>
          <w:szCs w:val="20"/>
          <w:color w:val="auto"/>
        </w:rPr>
      </w:pPr>
    </w:p>
    <w:p>
      <w:pPr>
        <w:spacing w:after="0" w:line="203" w:lineRule="exact"/>
        <w:rPr>
          <w:sz w:val="20"/>
          <w:szCs w:val="20"/>
          <w:color w:val="auto"/>
        </w:rPr>
      </w:pPr>
    </w:p>
    <w:p>
      <w:pPr>
        <w:ind w:right="20" w:firstLine="368"/>
        <w:spacing w:after="0" w:line="305" w:lineRule="auto"/>
        <w:rPr>
          <w:sz w:val="20"/>
          <w:szCs w:val="20"/>
          <w:color w:val="auto"/>
        </w:rPr>
      </w:pPr>
      <w:r>
        <w:rPr>
          <w:rFonts w:ascii="Arial" w:cs="Arial" w:eastAsia="Arial" w:hAnsi="Arial"/>
          <w:sz w:val="16"/>
          <w:szCs w:val="16"/>
          <w:color w:val="auto"/>
        </w:rPr>
        <w:t>We are an international owner, operator and manager of LNG carriers providing support to international energy companies as part of their LNG logistics chain. As of March 12, 2019, our owned fleet consists of 35 LNG carriers, including 26 ships on the water and nine LNG carriers on order at one of the world's leading LNG shipbuilders, Samsung. This includes 14 LNG carriers in operation that are owned by our NYSE-listed subsidiary GasLog Partners, with which we have entered into certain agreements governing our relationship, including purchase options for certain of our ships. We currently manage and operate 26 LNG carriers including 11 of our wholly owned ships in operation, 13 ships contributed or sold to the Partnership (one is managed by a subsidiary of Shell), one additional LNG carrier in which we have a 25.0% interest and a vessel secured under a long-term bareboat charter from Lepta Shipping, a subsidiary of Mitsui. We are also supervising the construction of our newbuildings. We have secured multi-year contracts for six of our owned ships, the 13 of the 14 ships owned by the Partnership, seven of our nine newbuildings on order and the one vessel secured under a long-term bareboat charter with Lepta Shipping. As of December 31, 2018, these contracts are expected to provide total contracted revenues of $3.6 billion during their initial terms, which expire between 2019 and 2029.</w:t>
      </w:r>
    </w:p>
    <w:p>
      <w:pPr>
        <w:spacing w:after="0" w:line="177" w:lineRule="exact"/>
        <w:rPr>
          <w:sz w:val="20"/>
          <w:szCs w:val="20"/>
          <w:color w:val="auto"/>
        </w:rPr>
      </w:pPr>
    </w:p>
    <w:p>
      <w:pPr>
        <w:ind w:right="20" w:firstLine="371"/>
        <w:spacing w:after="0" w:line="254" w:lineRule="auto"/>
        <w:rPr>
          <w:sz w:val="20"/>
          <w:szCs w:val="20"/>
          <w:color w:val="auto"/>
        </w:rPr>
      </w:pPr>
      <w:r>
        <w:rPr>
          <w:rFonts w:ascii="Arial" w:cs="Arial" w:eastAsia="Arial" w:hAnsi="Arial"/>
          <w:sz w:val="19"/>
          <w:szCs w:val="19"/>
          <w:color w:val="auto"/>
        </w:rPr>
        <w:t>Our wholly owned subsidiary, GasLog LNG Services, exclusively handles the technical management of our fleet, including plan approval for new ship orders, supervision of ship construction and planning and supervision of dry-dockings, as well as technical operations, crewing, training, maintenance, regulatory and classification compliance and health, safety, security and environmental management and reporting. With over 18 years of technical management experience, including 15 years as sole technical manager of BG Group plc's owned fleet of LNG carriers, we have established a track record for the efficient, safe and reliable operation of LNG carriers which is evidenced by our safety performance and the limited off-hire days of the 25 ships currently operating under our management.</w:t>
      </w:r>
    </w:p>
    <w:p>
      <w:pPr>
        <w:spacing w:after="0" w:line="210" w:lineRule="exact"/>
        <w:rPr>
          <w:sz w:val="20"/>
          <w:szCs w:val="20"/>
          <w:color w:val="auto"/>
        </w:rPr>
      </w:pPr>
    </w:p>
    <w:p>
      <w:pPr>
        <w:ind w:right="100" w:firstLine="371"/>
        <w:spacing w:after="0" w:line="256" w:lineRule="auto"/>
        <w:rPr>
          <w:sz w:val="20"/>
          <w:szCs w:val="20"/>
          <w:color w:val="auto"/>
        </w:rPr>
      </w:pPr>
      <w:r>
        <w:rPr>
          <w:rFonts w:ascii="Arial" w:cs="Arial" w:eastAsia="Arial" w:hAnsi="Arial"/>
          <w:sz w:val="19"/>
          <w:szCs w:val="19"/>
          <w:color w:val="auto"/>
        </w:rPr>
        <w:t>On April 4, 2012, we completed an initial public offering and a concurrent private placement of our common shares. On January 22, 2014, we completed a follow-on public offering and concurrent private placement of our common shares. On April 16, 2014, we completed a second follow-on public offering of our common shares. Our common shares are listed on the NYSE under the ticker symbol "GLOG". If any securities are to be listed or quoted on any other securities exchange or quotation system, the applicable prospectus supplement will so state.</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7" w:name="page8"/>
    <w:bookmarkEnd w:id="7"/>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firstLine="371"/>
        <w:spacing w:after="0" w:line="268" w:lineRule="auto"/>
        <w:rPr>
          <w:sz w:val="20"/>
          <w:szCs w:val="20"/>
          <w:color w:val="auto"/>
        </w:rPr>
      </w:pPr>
      <w:r>
        <w:rPr>
          <w:rFonts w:ascii="Arial" w:cs="Arial" w:eastAsia="Arial" w:hAnsi="Arial"/>
          <w:sz w:val="19"/>
          <w:szCs w:val="19"/>
          <w:color w:val="auto"/>
        </w:rPr>
        <w:t>On April 7, 2015, we completed a public offering of our Series A Preference Shares, par value $0.01 per share. The Series A Preference Shares are listed on the NYSE under the ticker symbol "GLOG PR A".</w:t>
      </w:r>
    </w:p>
    <w:p>
      <w:pPr>
        <w:spacing w:after="0" w:line="197" w:lineRule="exact"/>
        <w:rPr>
          <w:sz w:val="20"/>
          <w:szCs w:val="20"/>
          <w:color w:val="auto"/>
        </w:rPr>
      </w:pPr>
    </w:p>
    <w:p>
      <w:pPr>
        <w:ind w:firstLine="371"/>
        <w:spacing w:after="0" w:line="259" w:lineRule="auto"/>
        <w:rPr>
          <w:sz w:val="20"/>
          <w:szCs w:val="20"/>
          <w:color w:val="auto"/>
        </w:rPr>
      </w:pPr>
      <w:r>
        <w:rPr>
          <w:rFonts w:ascii="Arial" w:cs="Arial" w:eastAsia="Arial" w:hAnsi="Arial"/>
          <w:sz w:val="19"/>
          <w:szCs w:val="19"/>
          <w:color w:val="auto"/>
        </w:rPr>
        <w:t>On March 22, 2017, we completed a public offering of $250.0 million aggregate principal amount of 8.875% senior unsecured notes due in 2022 (the "8.875% Senior Notes") at a public offering price of 100% of the principal amount. The net proceeds from the offering after deducting the underwriting discount and offering expenses were $245.3 million.</w:t>
      </w:r>
    </w:p>
    <w:p>
      <w:pPr>
        <w:spacing w:after="0" w:line="205" w:lineRule="exact"/>
        <w:rPr>
          <w:sz w:val="20"/>
          <w:szCs w:val="20"/>
          <w:color w:val="auto"/>
        </w:rPr>
      </w:pPr>
    </w:p>
    <w:p>
      <w:pPr>
        <w:ind w:firstLine="368"/>
        <w:spacing w:after="0" w:line="259" w:lineRule="auto"/>
        <w:rPr>
          <w:sz w:val="20"/>
          <w:szCs w:val="20"/>
          <w:color w:val="auto"/>
        </w:rPr>
      </w:pPr>
      <w:r>
        <w:rPr>
          <w:rFonts w:ascii="Arial" w:cs="Arial" w:eastAsia="Arial" w:hAnsi="Arial"/>
          <w:sz w:val="19"/>
          <w:szCs w:val="19"/>
          <w:color w:val="auto"/>
        </w:rPr>
        <w:t>We maintain our principal executive offices at Gildo Pastor Center, 7 Rue du Gabian, MC 98000, Monaco. Our telephone number at that address is +377 97 97 51 15. We are registered with the Registrar of Companies in Bermuda under registration number 33928. We maintain a registered office in Bermuda at Clarendon House, 2 Church Street, Hamilton, HM 11, Bermuda.</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20"/>
          </w:cols>
          <w:pgMar w:left="120" w:top="0" w:right="200" w:bottom="1440" w:gutter="0" w:footer="0" w:header="0"/>
        </w:sectPr>
      </w:pPr>
    </w:p>
    <w:bookmarkStart w:id="8" w:name="page9"/>
    <w:bookmarkEnd w:id="8"/>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RISK FACTORS</w:t>
      </w:r>
    </w:p>
    <w:p>
      <w:pPr>
        <w:spacing w:after="0" w:line="242" w:lineRule="exact"/>
        <w:rPr>
          <w:sz w:val="20"/>
          <w:szCs w:val="20"/>
          <w:color w:val="auto"/>
        </w:rPr>
      </w:pPr>
    </w:p>
    <w:p>
      <w:pPr>
        <w:ind w:firstLine="371"/>
        <w:spacing w:after="0" w:line="256" w:lineRule="auto"/>
        <w:rPr>
          <w:sz w:val="20"/>
          <w:szCs w:val="20"/>
          <w:color w:val="auto"/>
        </w:rPr>
      </w:pPr>
      <w:r>
        <w:rPr>
          <w:rFonts w:ascii="Arial" w:cs="Arial" w:eastAsia="Arial" w:hAnsi="Arial"/>
          <w:sz w:val="19"/>
          <w:szCs w:val="19"/>
          <w:color w:val="auto"/>
        </w:rPr>
        <w:t>Investing in the securities to be offered pursuant to this prospectus may involve a high degree of risk. You should carefully consider the important factors set forth under the heading "Risk Factors" in our most recent Annual Report on Form 20-F filed with the SEC and incorporated herein by reference and in the accompanying prospectus supplement for such issuance before investing in any securities that may be offered. For further details, see the section entitled "Where You Can Find Additional Information".</w:t>
      </w:r>
    </w:p>
    <w:p>
      <w:pPr>
        <w:spacing w:after="0" w:line="209" w:lineRule="exact"/>
        <w:rPr>
          <w:sz w:val="20"/>
          <w:szCs w:val="20"/>
          <w:color w:val="auto"/>
        </w:rPr>
      </w:pPr>
    </w:p>
    <w:p>
      <w:pPr>
        <w:ind w:right="80" w:firstLine="361"/>
        <w:spacing w:after="0" w:line="331" w:lineRule="auto"/>
        <w:rPr>
          <w:sz w:val="20"/>
          <w:szCs w:val="20"/>
          <w:color w:val="auto"/>
        </w:rPr>
      </w:pPr>
      <w:r>
        <w:rPr>
          <w:rFonts w:ascii="Arial" w:cs="Arial" w:eastAsia="Arial" w:hAnsi="Arial"/>
          <w:sz w:val="16"/>
          <w:szCs w:val="16"/>
          <w:color w:val="auto"/>
        </w:rPr>
        <w:t>Any of the risk factors referred to above could significantly and negatively affect our business, results of operations or financial condition, which may reduce our ability to pay dividends and lower the trading price of our securities. The risks referred to above are not the only ones that may exist. Additional risks not currently known by us or risks that we deem immaterial may also impair our business operations. You may lose all or a part of your investment.</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9" w:name="page10"/>
    <w:bookmarkEnd w:id="9"/>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SERVICE OF PROCESS AND ENFORCEMENT OF LIABILITIES</w:t>
      </w:r>
    </w:p>
    <w:p>
      <w:pPr>
        <w:spacing w:after="0" w:line="242" w:lineRule="exact"/>
        <w:rPr>
          <w:sz w:val="20"/>
          <w:szCs w:val="20"/>
          <w:color w:val="auto"/>
        </w:rPr>
      </w:pPr>
    </w:p>
    <w:p>
      <w:pPr>
        <w:ind w:right="220" w:firstLine="368"/>
        <w:spacing w:after="0" w:line="280" w:lineRule="auto"/>
        <w:rPr>
          <w:sz w:val="20"/>
          <w:szCs w:val="20"/>
          <w:color w:val="auto"/>
        </w:rPr>
      </w:pPr>
      <w:r>
        <w:rPr>
          <w:rFonts w:ascii="Arial" w:cs="Arial" w:eastAsia="Arial" w:hAnsi="Arial"/>
          <w:sz w:val="18"/>
          <w:szCs w:val="18"/>
          <w:color w:val="auto"/>
        </w:rPr>
        <w:t>We are a Bermuda exempted company. Our registered address in Bermuda is Clarendon House, 2 Church Street, Hamilton, HM 11, Bermuda. As a result, the rights of holders of our securities will be governed by Bermuda law and our memorandum of association and bye-laws. The rights of shareholders under Bermuda law may differ from the rights of shareholders of companies incorporated in other jurisdictions.</w:t>
      </w:r>
    </w:p>
    <w:p>
      <w:pPr>
        <w:spacing w:after="0" w:line="188" w:lineRule="exact"/>
        <w:rPr>
          <w:sz w:val="20"/>
          <w:szCs w:val="20"/>
          <w:color w:val="auto"/>
        </w:rPr>
      </w:pPr>
    </w:p>
    <w:p>
      <w:pPr>
        <w:ind w:right="20" w:firstLine="361"/>
        <w:spacing w:after="0" w:line="254" w:lineRule="auto"/>
        <w:rPr>
          <w:sz w:val="20"/>
          <w:szCs w:val="20"/>
          <w:color w:val="auto"/>
        </w:rPr>
      </w:pPr>
      <w:r>
        <w:rPr>
          <w:rFonts w:ascii="Arial" w:cs="Arial" w:eastAsia="Arial" w:hAnsi="Arial"/>
          <w:sz w:val="19"/>
          <w:szCs w:val="19"/>
          <w:color w:val="auto"/>
        </w:rPr>
        <w:t>A majority of our directors and some of the named experts referred to in this prospectus are not residents of the United States, and a substantial portion of our assets are located outside the United States. As a result, it may be difficult for investors to effect service of process on those persons in the United States or to enforce in the United States judgments obtained in U.S. courts against us or those persons based on the civil liability provisions of the U.S. securities laws. It is doubtful whether courts in Bermuda will enforce judgments obtained in other jurisdictions, including the United States, against us or our directors or officers under the securities laws of those jurisdictions or entertain actions in Bermuda against us or our directors or officers under the securities laws of other jurisdictions.</w:t>
      </w:r>
    </w:p>
    <w:p>
      <w:pPr>
        <w:spacing w:after="0" w:line="210" w:lineRule="exact"/>
        <w:rPr>
          <w:sz w:val="20"/>
          <w:szCs w:val="20"/>
          <w:color w:val="auto"/>
        </w:rPr>
      </w:pPr>
    </w:p>
    <w:p>
      <w:pPr>
        <w:ind w:firstLine="371"/>
        <w:spacing w:after="0" w:line="331" w:lineRule="auto"/>
        <w:rPr>
          <w:sz w:val="20"/>
          <w:szCs w:val="20"/>
          <w:color w:val="auto"/>
        </w:rPr>
      </w:pPr>
      <w:r>
        <w:rPr>
          <w:rFonts w:ascii="Arial" w:cs="Arial" w:eastAsia="Arial" w:hAnsi="Arial"/>
          <w:sz w:val="16"/>
          <w:szCs w:val="16"/>
          <w:color w:val="auto"/>
        </w:rPr>
        <w:t>However, we have expressly submitted to the jurisdiction of the U.S. federal and New York state courts sitting in the City of New York for the purpose of any suit, action or proceeding arising under the securities laws of the United States or any state in the United States, and we have appointed Puglisi &amp; Associates, 850 Library Avenue, Suite 204, Newark, Delaware 19711, our registered agent, to accept service of process on our behalf in any such action.</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10" w:name="page11"/>
    <w:bookmarkEnd w:id="10"/>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ABOUT THIS PROSPECTUS</w:t>
      </w:r>
    </w:p>
    <w:p>
      <w:pPr>
        <w:spacing w:after="0" w:line="242" w:lineRule="exact"/>
        <w:rPr>
          <w:sz w:val="20"/>
          <w:szCs w:val="20"/>
          <w:color w:val="auto"/>
        </w:rPr>
      </w:pPr>
    </w:p>
    <w:p>
      <w:pPr>
        <w:ind w:firstLine="368"/>
        <w:spacing w:after="0" w:line="268" w:lineRule="auto"/>
        <w:rPr>
          <w:sz w:val="20"/>
          <w:szCs w:val="20"/>
          <w:color w:val="auto"/>
        </w:rPr>
      </w:pPr>
      <w:r>
        <w:rPr>
          <w:rFonts w:ascii="Arial" w:cs="Arial" w:eastAsia="Arial" w:hAnsi="Arial"/>
          <w:sz w:val="18"/>
          <w:szCs w:val="18"/>
          <w:color w:val="auto"/>
        </w:rPr>
        <w:t>This prospectus is part of a registration statement that we filed with the SEC using a shelf registration process. Under this shelf registration process, we may, from time to time, sell up to an aggregate public offering price of $600,000,000 of any combination of the securities described in this prospectus in one or more offerings. This prospectus provides you with a general description of the securities we may offer. Each time we sell securities, we will provide you with this prospectus, as well as a prospectus supplement that will contain specific information about the terms of that offering. That prospectus supplement may include additional risk factors or other special considerations applicable to those particular securities. Any prospectus supplement may also add, update or change information contained in this prospectus. If there is any inconsistency between the information contained in this prospectus and any prospectus supplement, you should rely on the information contained in that particular prospectus supplement. You should read both this prospectus and any prospectus supplement together with additional information described under the heading "Incorporation of Certain Information by Reference" and "Where You Can Find Additional Information".</w:t>
      </w:r>
    </w:p>
    <w:p>
      <w:pPr>
        <w:spacing w:after="0" w:line="200" w:lineRule="exact"/>
        <w:rPr>
          <w:sz w:val="20"/>
          <w:szCs w:val="20"/>
          <w:color w:val="auto"/>
        </w:rPr>
      </w:pP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WHERE YOU CAN FIND ADDITIONAL INFORMATION</w:t>
      </w:r>
    </w:p>
    <w:p>
      <w:pPr>
        <w:spacing w:after="0" w:line="242" w:lineRule="exact"/>
        <w:rPr>
          <w:sz w:val="20"/>
          <w:szCs w:val="20"/>
          <w:color w:val="auto"/>
        </w:rPr>
      </w:pPr>
    </w:p>
    <w:p>
      <w:pPr>
        <w:ind w:right="20" w:firstLine="368"/>
        <w:spacing w:after="0" w:line="305" w:lineRule="auto"/>
        <w:rPr>
          <w:sz w:val="20"/>
          <w:szCs w:val="20"/>
          <w:color w:val="auto"/>
        </w:rPr>
      </w:pPr>
      <w:r>
        <w:rPr>
          <w:rFonts w:ascii="Arial" w:cs="Arial" w:eastAsia="Arial" w:hAnsi="Arial"/>
          <w:sz w:val="16"/>
          <w:szCs w:val="16"/>
          <w:color w:val="auto"/>
        </w:rPr>
        <w:t xml:space="preserve">We have filed with the SEC a registration statement on Form F-3 under the Securities Act of 1933, as amended, with respect to the offer and sale of securities pursuant to this prospectus. For purposes of this section, the term "registration statement" means the original registration statement and any and all amendments, including the schedules and exhibits to the original registration statement and any amendments. This prospectus, filed as a part of the registration statement, does not contain all of the information set forth in the registration statement or the exhibits and schedules thereto in accordance with the rules and regulations of the SEC and no reference is hereby made to such omitted information. Statements made in this prospectus concerning the contents of any contract, agreement or other document filed as an exhibit to the registration statement are summaries of all of the material terms of such contracts, agreements or documents, but do not repeat all of their terms. Reference is made to each such exhibit for a more complete description of the matters involved and such statements shall be deemed qualified in their entirety by such reference. The SEC maintains a website at </w:t>
      </w:r>
      <w:r>
        <w:rPr>
          <w:rFonts w:ascii="Arial" w:cs="Arial" w:eastAsia="Arial" w:hAnsi="Arial"/>
          <w:sz w:val="16"/>
          <w:szCs w:val="16"/>
          <w:i w:val="1"/>
          <w:iCs w:val="1"/>
          <w:color w:val="auto"/>
        </w:rPr>
        <w:t>http://www.sec.gov</w:t>
      </w:r>
      <w:r>
        <w:rPr>
          <w:rFonts w:ascii="Arial" w:cs="Arial" w:eastAsia="Arial" w:hAnsi="Arial"/>
          <w:sz w:val="16"/>
          <w:szCs w:val="16"/>
          <w:color w:val="auto"/>
        </w:rPr>
        <w:t xml:space="preserve"> that contains reports, proxy and information statements and other information regarding registrants that file electronically with the SEC. For further information pertaining to the securities offered by this prospectus and GasLog Ltd., reference is made to the registration statement.</w:t>
      </w:r>
    </w:p>
    <w:p>
      <w:pPr>
        <w:spacing w:after="0" w:line="172" w:lineRule="exact"/>
        <w:rPr>
          <w:sz w:val="20"/>
          <w:szCs w:val="20"/>
          <w:color w:val="auto"/>
        </w:rPr>
      </w:pPr>
    </w:p>
    <w:p>
      <w:pPr>
        <w:ind w:right="40" w:firstLine="368"/>
        <w:spacing w:after="0" w:line="311" w:lineRule="auto"/>
        <w:rPr>
          <w:sz w:val="20"/>
          <w:szCs w:val="20"/>
          <w:color w:val="auto"/>
        </w:rPr>
      </w:pPr>
      <w:r>
        <w:rPr>
          <w:rFonts w:ascii="Arial" w:cs="Arial" w:eastAsia="Arial" w:hAnsi="Arial"/>
          <w:sz w:val="16"/>
          <w:szCs w:val="16"/>
          <w:color w:val="auto"/>
        </w:rPr>
        <w:t>We are subject to the information and periodic reporting requirements of the Exchange Act of 1934, as amended (the "Exchange Act"), and we file periodic reports and other information with the SEC. These periodic reports and other information are available for inspection and copying at the SEC's public reference facilities and the website of the SEC referred to above. As a "foreign private issuer", we are exempt from the rules under the Exchange Act prescribing the furnishing and content of proxy statements to shareholders, but we are required to furnish certain proxy statements to shareholders under NYSE rules. Those proxy statements are not expected to conform to Schedule 14A of the proxy rules promulgated under the Exchange Act. In addition, as a "foreign private issuer", we are exempt from the rules under the Exchange Act relating to short swing profit reporting and liability.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11" w:name="page12"/>
    <w:bookmarkEnd w:id="11"/>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INCORPORATION OF CERTAIN INFORMATION BY REFERENCE</w:t>
      </w:r>
    </w:p>
    <w:p>
      <w:pPr>
        <w:spacing w:after="0" w:line="242" w:lineRule="exact"/>
        <w:rPr>
          <w:sz w:val="20"/>
          <w:szCs w:val="20"/>
          <w:color w:val="auto"/>
        </w:rPr>
      </w:pPr>
    </w:p>
    <w:p>
      <w:pPr>
        <w:ind w:right="40" w:firstLine="368"/>
        <w:spacing w:after="0" w:line="256" w:lineRule="auto"/>
        <w:rPr>
          <w:sz w:val="20"/>
          <w:szCs w:val="20"/>
          <w:color w:val="auto"/>
        </w:rPr>
      </w:pPr>
      <w:r>
        <w:rPr>
          <w:rFonts w:ascii="Arial" w:cs="Arial" w:eastAsia="Arial" w:hAnsi="Arial"/>
          <w:sz w:val="19"/>
          <w:szCs w:val="19"/>
          <w:color w:val="auto"/>
        </w:rPr>
        <w:t>The SEC allows us to "incorporate by reference" information that we file with the SEC. This means that we can disclose important information to you by referring you to those filed documents. The information incorporated by reference is considered to be a part of this prospectus, and information that we file later with the SEC prior to the termination of this offering will also be considered to be part of this prospectus and will automatically update and supersede previously filed information, including information contained in this prospectus.</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This prospectus incorporates by reference the following documents:</w:t>
      </w:r>
    </w:p>
    <w:p>
      <w:pPr>
        <w:sectPr>
          <w:pgSz w:w="12240" w:h="15840" w:orient="portrait"/>
          <w:cols w:equalWidth="0" w:num="1">
            <w:col w:w="11960"/>
          </w:cols>
          <w:pgMar w:left="120" w:top="0" w:right="160" w:bottom="1440" w:gutter="0" w:footer="0" w:header="0"/>
        </w:sect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our Annual Report on Form 20-F for the year ended December 31, 2018, filed with the SEC on March 5, 2019;</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our Current Report on Form 6-K furnished to the SEC on March 8, 2019;</w:t>
      </w:r>
    </w:p>
    <w:p>
      <w:pPr>
        <w:spacing w:after="0" w:line="252" w:lineRule="exact"/>
        <w:rPr>
          <w:sz w:val="20"/>
          <w:szCs w:val="20"/>
          <w:color w:val="auto"/>
        </w:rPr>
      </w:pPr>
    </w:p>
    <w:p>
      <w:pPr>
        <w:ind w:right="120"/>
        <w:spacing w:after="0" w:line="268" w:lineRule="auto"/>
        <w:rPr>
          <w:sz w:val="20"/>
          <w:szCs w:val="20"/>
          <w:color w:val="auto"/>
        </w:rPr>
      </w:pPr>
      <w:r>
        <w:rPr>
          <w:rFonts w:ascii="Arial" w:cs="Arial" w:eastAsia="Arial" w:hAnsi="Arial"/>
          <w:sz w:val="19"/>
          <w:szCs w:val="19"/>
          <w:color w:val="auto"/>
        </w:rPr>
        <w:t>the description of our common shares which is contained in our registration statement on Form 8-A (File No. 001-35466), filed with the SEC on March 21, 2012, including any amendment or report filed for the purpose of updating such description; and</w:t>
      </w:r>
    </w:p>
    <w:p>
      <w:pPr>
        <w:spacing w:after="0" w:line="211" w:lineRule="exact"/>
        <w:rPr>
          <w:sz w:val="20"/>
          <w:szCs w:val="20"/>
          <w:color w:val="auto"/>
        </w:rPr>
      </w:pPr>
    </w:p>
    <w:p>
      <w:pPr>
        <w:ind w:right="160"/>
        <w:spacing w:after="0" w:line="297" w:lineRule="auto"/>
        <w:rPr>
          <w:sz w:val="20"/>
          <w:szCs w:val="20"/>
          <w:color w:val="auto"/>
        </w:rPr>
      </w:pPr>
      <w:r>
        <w:rPr>
          <w:rFonts w:ascii="Arial" w:cs="Arial" w:eastAsia="Arial" w:hAnsi="Arial"/>
          <w:sz w:val="18"/>
          <w:szCs w:val="18"/>
          <w:color w:val="auto"/>
        </w:rPr>
        <w:t>the description of our Series A Preference Shares which is contained in our registration statement on Form 8-A (File No. 001-35466), filed with the SEC on March 31, 2015, including any amendment or report filed for the purpose of updating such description.</w:t>
      </w:r>
    </w:p>
    <w:p>
      <w:pPr>
        <w:spacing w:after="0" w:line="172" w:lineRule="exact"/>
        <w:rPr>
          <w:sz w:val="20"/>
          <w:szCs w:val="20"/>
          <w:color w:val="auto"/>
        </w:rPr>
      </w:pPr>
    </w:p>
    <w:p>
      <w:pPr>
        <w:sectPr>
          <w:pgSz w:w="12240" w:h="15840" w:orient="portrait"/>
          <w:cols w:equalWidth="0" w:num="2">
            <w:col w:w="840" w:space="300"/>
            <w:col w:w="10820"/>
          </w:cols>
          <w:pgMar w:left="120" w:top="0" w:right="160" w:bottom="1440" w:gutter="0" w:footer="0" w:header="0"/>
          <w:type w:val="continuous"/>
        </w:sectPr>
      </w:pPr>
    </w:p>
    <w:p>
      <w:pPr>
        <w:ind w:right="160" w:firstLine="368"/>
        <w:spacing w:after="0" w:line="275" w:lineRule="auto"/>
        <w:rPr>
          <w:sz w:val="20"/>
          <w:szCs w:val="20"/>
          <w:color w:val="auto"/>
        </w:rPr>
      </w:pPr>
      <w:r>
        <w:rPr>
          <w:rFonts w:ascii="Arial" w:cs="Arial" w:eastAsia="Arial" w:hAnsi="Arial"/>
          <w:sz w:val="18"/>
          <w:szCs w:val="18"/>
          <w:color w:val="auto"/>
        </w:rPr>
        <w:t>We are also incorporating by reference all subsequent annual reports on Form 20-F that we file with the SEC and certain reports on Form 6-K that we furnish to the SEC after the date of this prospectus (if they state that they are incorporated by reference into this prospectus) until we file a post- effective amendment indicating that the offering of the securities made by this prospectus has been terminated. In all cases, you should rely on the later information over different information included in this prospectus or any accompanying prospectus supplement.</w:t>
      </w:r>
    </w:p>
    <w:p>
      <w:pPr>
        <w:spacing w:after="0" w:line="192" w:lineRule="exact"/>
        <w:rPr>
          <w:sz w:val="20"/>
          <w:szCs w:val="20"/>
          <w:color w:val="auto"/>
        </w:rPr>
      </w:pPr>
    </w:p>
    <w:p>
      <w:pPr>
        <w:jc w:val="both"/>
        <w:ind w:right="540" w:firstLine="371"/>
        <w:spacing w:after="0" w:line="259" w:lineRule="auto"/>
        <w:rPr>
          <w:sz w:val="20"/>
          <w:szCs w:val="20"/>
          <w:color w:val="auto"/>
        </w:rPr>
      </w:pPr>
      <w:r>
        <w:rPr>
          <w:rFonts w:ascii="Arial" w:cs="Arial" w:eastAsia="Arial" w:hAnsi="Arial"/>
          <w:sz w:val="19"/>
          <w:szCs w:val="19"/>
          <w:color w:val="auto"/>
        </w:rPr>
        <w:t>In accordance with Rule 402 of Regulation S-T, the XBRL-related information in Exhibit 101 to our Annual Report on Form 20-F and our reports on Form 6-K will not be deemed to be incorporated by reference into any registration statement or other document filed under the Securities Act of 1933, as amended, except as will be expressly set forth by specific reference in such filing.</w:t>
      </w:r>
    </w:p>
    <w:p>
      <w:pPr>
        <w:spacing w:after="0" w:line="205" w:lineRule="exact"/>
        <w:rPr>
          <w:sz w:val="20"/>
          <w:szCs w:val="20"/>
          <w:color w:val="auto"/>
        </w:rPr>
      </w:pPr>
    </w:p>
    <w:p>
      <w:pPr>
        <w:ind w:firstLine="368"/>
        <w:spacing w:after="0" w:line="319" w:lineRule="auto"/>
        <w:rPr>
          <w:sz w:val="20"/>
          <w:szCs w:val="20"/>
          <w:color w:val="auto"/>
        </w:rPr>
      </w:pPr>
      <w:r>
        <w:rPr>
          <w:rFonts w:ascii="Arial" w:cs="Arial" w:eastAsia="Arial" w:hAnsi="Arial"/>
          <w:sz w:val="16"/>
          <w:szCs w:val="16"/>
          <w:color w:val="auto"/>
        </w:rPr>
        <w:t xml:space="preserve">We will provide, free of charge upon written or oral request, to each person to whom this prospectus is delivered, including any beneficial owner of the securities, a copy of any or all of the information that has been incorporated by reference into this prospectus, but which has not been delivered with the prospectus. Copies of these documents also may be obtained on the "Investor Relations" section of our website at </w:t>
      </w:r>
      <w:r>
        <w:rPr>
          <w:rFonts w:ascii="Arial" w:cs="Arial" w:eastAsia="Arial" w:hAnsi="Arial"/>
          <w:sz w:val="16"/>
          <w:szCs w:val="16"/>
          <w:i w:val="1"/>
          <w:iCs w:val="1"/>
          <w:color w:val="auto"/>
        </w:rPr>
        <w:t>www.gaslogltd.com.</w:t>
      </w:r>
      <w:r>
        <w:rPr>
          <w:rFonts w:ascii="Arial" w:cs="Arial" w:eastAsia="Arial" w:hAnsi="Arial"/>
          <w:sz w:val="16"/>
          <w:szCs w:val="16"/>
          <w:color w:val="auto"/>
        </w:rPr>
        <w:t xml:space="preserve"> The information contained on or connected to our website is not a part of this prospectus. Requests for such information should be made to us at the following address: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GasLog Ltd.</w:t>
      </w:r>
    </w:p>
    <w:p>
      <w:pPr>
        <w:spacing w:after="0" w:line="1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c/o GasLog Monaco S.A.M.</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Gildo Pastor Center</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 Rue du Gabian</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MC 98000, Monaco</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+377 97 97 51 15</w:t>
      </w:r>
    </w:p>
    <w:p>
      <w:pPr>
        <w:spacing w:after="0" w:line="1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Attention: General Counsel</w:t>
      </w:r>
    </w:p>
    <w:p>
      <w:pPr>
        <w:spacing w:after="0" w:line="231" w:lineRule="exact"/>
        <w:rPr>
          <w:sz w:val="20"/>
          <w:szCs w:val="20"/>
          <w:color w:val="auto"/>
        </w:rPr>
      </w:pPr>
    </w:p>
    <w:p>
      <w:pPr>
        <w:ind w:right="500" w:firstLine="364"/>
        <w:spacing w:after="0" w:line="259" w:lineRule="auto"/>
        <w:rPr>
          <w:sz w:val="20"/>
          <w:szCs w:val="20"/>
          <w:color w:val="auto"/>
        </w:rPr>
      </w:pPr>
      <w:r>
        <w:rPr>
          <w:rFonts w:ascii="Arial" w:cs="Arial" w:eastAsia="Arial" w:hAnsi="Arial"/>
          <w:sz w:val="19"/>
          <w:szCs w:val="19"/>
          <w:color w:val="auto"/>
        </w:rPr>
        <w:t>You should assume that the information appearing in this prospectus and any accompanying prospectus supplement, as well as the information we previously filed with the SEC and incorporated by reference, is accurate as of the dates on the front cover of those documents only. Our business, financial condition and results of operations and prospects may have changed since those dates.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60"/>
          </w:cols>
          <w:pgMar w:left="120" w:top="0" w:right="160" w:bottom="1440" w:gutter="0" w:footer="0" w:header="0"/>
          <w:type w:val="continuous"/>
        </w:sectPr>
      </w:pPr>
    </w:p>
    <w:bookmarkStart w:id="12" w:name="page13"/>
    <w:bookmarkEnd w:id="12"/>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USE OF PROCEEDS</w:t>
      </w:r>
    </w:p>
    <w:p>
      <w:pPr>
        <w:spacing w:after="0" w:line="242" w:lineRule="exact"/>
        <w:rPr>
          <w:sz w:val="20"/>
          <w:szCs w:val="20"/>
          <w:color w:val="auto"/>
        </w:rPr>
      </w:pPr>
    </w:p>
    <w:p>
      <w:pPr>
        <w:ind w:firstLine="371"/>
        <w:spacing w:after="0" w:line="268" w:lineRule="auto"/>
        <w:rPr>
          <w:sz w:val="20"/>
          <w:szCs w:val="20"/>
          <w:color w:val="auto"/>
        </w:rPr>
      </w:pPr>
      <w:r>
        <w:rPr>
          <w:rFonts w:ascii="Arial" w:cs="Arial" w:eastAsia="Arial" w:hAnsi="Arial"/>
          <w:sz w:val="19"/>
          <w:szCs w:val="19"/>
          <w:color w:val="auto"/>
        </w:rPr>
        <w:t>Unless otherwise set forth in the applicable prospectus supplement, we intend to use the net proceeds received from the sale of the securities we offer by this prospectus for general corporate purposes.</w:t>
      </w:r>
    </w:p>
    <w:p>
      <w:pPr>
        <w:spacing w:after="0" w:line="197" w:lineRule="exact"/>
        <w:rPr>
          <w:sz w:val="20"/>
          <w:szCs w:val="20"/>
          <w:color w:val="auto"/>
        </w:rPr>
      </w:pPr>
    </w:p>
    <w:p>
      <w:pPr>
        <w:ind w:right="420" w:firstLine="368"/>
        <w:spacing w:after="0" w:line="268" w:lineRule="auto"/>
        <w:rPr>
          <w:sz w:val="20"/>
          <w:szCs w:val="20"/>
          <w:color w:val="auto"/>
        </w:rPr>
      </w:pPr>
      <w:r>
        <w:rPr>
          <w:rFonts w:ascii="Arial" w:cs="Arial" w:eastAsia="Arial" w:hAnsi="Arial"/>
          <w:sz w:val="19"/>
          <w:szCs w:val="19"/>
          <w:color w:val="auto"/>
        </w:rPr>
        <w:t>We may raise additional funds from time to time through equity or debt financings not involving the issuance of securities described in this prospectus, including borrowings under credit facilities, to finance our business and operations and new vessel acquisitions.</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CAPITALIZATION AND INDEBTEDNESS</w:t>
      </w:r>
    </w:p>
    <w:p>
      <w:pPr>
        <w:spacing w:after="0" w:line="242" w:lineRule="exact"/>
        <w:rPr>
          <w:sz w:val="20"/>
          <w:szCs w:val="20"/>
          <w:color w:val="auto"/>
        </w:rPr>
      </w:pPr>
    </w:p>
    <w:p>
      <w:pPr>
        <w:ind w:right="100" w:firstLine="371"/>
        <w:spacing w:after="0" w:line="268" w:lineRule="auto"/>
        <w:rPr>
          <w:sz w:val="20"/>
          <w:szCs w:val="20"/>
          <w:color w:val="auto"/>
        </w:rPr>
      </w:pPr>
      <w:r>
        <w:rPr>
          <w:rFonts w:ascii="Arial" w:cs="Arial" w:eastAsia="Arial" w:hAnsi="Arial"/>
          <w:sz w:val="19"/>
          <w:szCs w:val="19"/>
          <w:color w:val="auto"/>
        </w:rPr>
        <w:t>Our capitalization and indebtedness will be set forth in a prospectus supplement to this prospectus or in a report on Form 6-K subsequently furnished to the SEC and specifically incorporated herein by reference.</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DESCRIPTION OF SHARE CAPITAL</w:t>
      </w:r>
    </w:p>
    <w:p>
      <w:pPr>
        <w:spacing w:after="0" w:line="242" w:lineRule="exact"/>
        <w:rPr>
          <w:sz w:val="20"/>
          <w:szCs w:val="20"/>
          <w:color w:val="auto"/>
        </w:rPr>
      </w:pPr>
    </w:p>
    <w:p>
      <w:pPr>
        <w:ind w:right="900" w:firstLine="371"/>
        <w:spacing w:after="0" w:line="268" w:lineRule="auto"/>
        <w:rPr>
          <w:sz w:val="20"/>
          <w:szCs w:val="20"/>
          <w:color w:val="auto"/>
        </w:rPr>
      </w:pPr>
      <w:r>
        <w:rPr>
          <w:rFonts w:ascii="Arial" w:cs="Arial" w:eastAsia="Arial" w:hAnsi="Arial"/>
          <w:sz w:val="19"/>
          <w:szCs w:val="19"/>
          <w:color w:val="auto"/>
        </w:rPr>
        <w:t>More information on our share capital is included under "Item 10. Additional Information" in our annual report on Form 20-F for the year ended December 31, 2018, filed with the SEC on March 5, 2019.</w:t>
      </w:r>
    </w:p>
    <w:p>
      <w:pPr>
        <w:spacing w:after="0" w:line="197" w:lineRule="exact"/>
        <w:rPr>
          <w:sz w:val="20"/>
          <w:szCs w:val="20"/>
          <w:color w:val="auto"/>
        </w:rPr>
      </w:pPr>
    </w:p>
    <w:p>
      <w:pPr>
        <w:ind w:right="180" w:firstLine="361"/>
        <w:spacing w:after="0" w:line="268" w:lineRule="auto"/>
        <w:rPr>
          <w:sz w:val="20"/>
          <w:szCs w:val="20"/>
          <w:color w:val="auto"/>
        </w:rPr>
      </w:pPr>
      <w:r>
        <w:rPr>
          <w:rFonts w:ascii="Arial" w:cs="Arial" w:eastAsia="Arial" w:hAnsi="Arial"/>
          <w:sz w:val="19"/>
          <w:szCs w:val="19"/>
          <w:color w:val="auto"/>
        </w:rPr>
        <w:t>A description of our common shares can be found in our registration statement on Form 8-A (File No. 001-35466), filed with the SEC on March 21, 2012, including any amendment or report filed for the purpose of updating such description.</w:t>
      </w:r>
    </w:p>
    <w:p>
      <w:pPr>
        <w:spacing w:after="0" w:line="197" w:lineRule="exact"/>
        <w:rPr>
          <w:sz w:val="20"/>
          <w:szCs w:val="20"/>
          <w:color w:val="auto"/>
        </w:rPr>
      </w:pPr>
    </w:p>
    <w:p>
      <w:pPr>
        <w:ind w:right="620" w:firstLine="361"/>
        <w:spacing w:after="0" w:line="268" w:lineRule="auto"/>
        <w:rPr>
          <w:sz w:val="20"/>
          <w:szCs w:val="20"/>
          <w:color w:val="auto"/>
        </w:rPr>
      </w:pPr>
      <w:r>
        <w:rPr>
          <w:rFonts w:ascii="Arial" w:cs="Arial" w:eastAsia="Arial" w:hAnsi="Arial"/>
          <w:sz w:val="19"/>
          <w:szCs w:val="19"/>
          <w:color w:val="auto"/>
        </w:rPr>
        <w:t>A description of our Series A Preference Shares can be found in our registration statement on Form 8-A (File No. 001-35466), filed with the SEC on March 31, 2015, including any amendment or report filed for the purpose of updating such description.</w:t>
      </w:r>
    </w:p>
    <w:p>
      <w:pPr>
        <w:spacing w:after="0" w:line="200" w:lineRule="exact"/>
        <w:rPr>
          <w:sz w:val="20"/>
          <w:szCs w:val="20"/>
          <w:color w:val="auto"/>
        </w:rPr>
      </w:pPr>
    </w:p>
    <w:p>
      <w:pPr>
        <w:spacing w:after="0" w:line="221"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DESCRIPTION OF PREFERENCE SHARES</w:t>
      </w:r>
    </w:p>
    <w:p>
      <w:pPr>
        <w:spacing w:after="0" w:line="242" w:lineRule="exact"/>
        <w:rPr>
          <w:sz w:val="20"/>
          <w:szCs w:val="20"/>
          <w:color w:val="auto"/>
        </w:rPr>
      </w:pPr>
    </w:p>
    <w:p>
      <w:pPr>
        <w:ind w:right="100" w:firstLine="371"/>
        <w:spacing w:after="0" w:line="275" w:lineRule="auto"/>
        <w:rPr>
          <w:sz w:val="20"/>
          <w:szCs w:val="20"/>
          <w:color w:val="auto"/>
        </w:rPr>
      </w:pPr>
      <w:r>
        <w:rPr>
          <w:rFonts w:ascii="Arial" w:cs="Arial" w:eastAsia="Arial" w:hAnsi="Arial"/>
          <w:sz w:val="18"/>
          <w:szCs w:val="18"/>
          <w:color w:val="auto"/>
        </w:rPr>
        <w:t>Our bye-laws authorize our board of directors to establish one or more series of preference shares, in addition to the Series A Preference Shares, and to determine, with respect to any series of preference shares, the terms and rights of that series. The issuance of preference shares may have the effect of discouraging, delaying or preventing a change of control of us or the removal of our management. The issuance of preference shares with voting and conversion rights may adversely affect the voting power of the holders of shares of our common shares.</w:t>
      </w:r>
    </w:p>
    <w:p>
      <w:pPr>
        <w:spacing w:after="0" w:line="192" w:lineRule="exact"/>
        <w:rPr>
          <w:sz w:val="20"/>
          <w:szCs w:val="20"/>
          <w:color w:val="auto"/>
        </w:rPr>
      </w:pPr>
    </w:p>
    <w:p>
      <w:pPr>
        <w:ind w:right="520" w:firstLine="368"/>
        <w:spacing w:after="0" w:line="268" w:lineRule="auto"/>
        <w:rPr>
          <w:sz w:val="20"/>
          <w:szCs w:val="20"/>
          <w:color w:val="auto"/>
        </w:rPr>
      </w:pPr>
      <w:r>
        <w:rPr>
          <w:rFonts w:ascii="Arial" w:cs="Arial" w:eastAsia="Arial" w:hAnsi="Arial"/>
          <w:sz w:val="19"/>
          <w:szCs w:val="19"/>
          <w:color w:val="auto"/>
        </w:rPr>
        <w:t>The applicable prospectus supplement will describe the following terms of any series of preference shares in respect of which this prospectus is being delivered:</w:t>
      </w:r>
    </w:p>
    <w:p>
      <w:pPr>
        <w:sectPr>
          <w:pgSz w:w="12240" w:h="15840" w:orient="portrait"/>
          <w:cols w:equalWidth="0" w:num="1">
            <w:col w:w="11980"/>
          </w:cols>
          <w:pgMar w:left="120" w:top="0" w:right="140" w:bottom="1440" w:gutter="0" w:footer="0" w:header="0"/>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color w:val="auto"/>
        </w:rPr>
        <w:t>the number of shares constituting a series and the distinctive designation of the series;</w:t>
      </w:r>
    </w:p>
    <w:p>
      <w:pPr>
        <w:spacing w:after="0" w:line="266"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dividend rate of the series, whether dividends shall be cumulative and, if so, from which date or dates, and the relative rights of priority, if any, of the payment of dividends on shares of the series;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the voting rights, if any, of the holders of the series, in addition to the voting rights provided by law;</w:t>
      </w:r>
    </w:p>
    <w:p>
      <w:pPr>
        <w:spacing w:after="0" w:line="252" w:lineRule="exact"/>
        <w:rPr>
          <w:sz w:val="20"/>
          <w:szCs w:val="20"/>
          <w:color w:val="auto"/>
        </w:rPr>
      </w:pPr>
    </w:p>
    <w:p>
      <w:pPr>
        <w:ind w:right="400"/>
        <w:spacing w:after="0" w:line="364" w:lineRule="auto"/>
        <w:rPr>
          <w:sz w:val="20"/>
          <w:szCs w:val="20"/>
          <w:color w:val="auto"/>
        </w:rPr>
      </w:pPr>
      <w:r>
        <w:rPr>
          <w:rFonts w:ascii="Arial" w:cs="Arial" w:eastAsia="Arial" w:hAnsi="Arial"/>
          <w:sz w:val="16"/>
          <w:szCs w:val="16"/>
          <w:color w:val="auto"/>
        </w:rPr>
        <w:t>whether the series will have conversion or exchange privileges (including, without limitation, conversion into common shares), and if so, the terms and conditions of such conversion or exchange, including provision for adjustment of the conversion or exchange rate;</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whether the shares of the series will be redeemable or repurchaseable and, if so, the terms and conditions or such redemption or repurchase;</w:t>
      </w:r>
    </w:p>
    <w:p>
      <w:pPr>
        <w:spacing w:after="0" w:line="272" w:lineRule="exact"/>
        <w:rPr>
          <w:sz w:val="20"/>
          <w:szCs w:val="20"/>
          <w:color w:val="auto"/>
        </w:rPr>
      </w:pPr>
    </w:p>
    <w:p>
      <w:pPr>
        <w:ind w:left="482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40"/>
          </w:cols>
          <w:pgMar w:left="120" w:top="0" w:right="140" w:bottom="1440" w:gutter="0" w:footer="0" w:header="0"/>
          <w:type w:val="continuous"/>
        </w:sectPr>
      </w:pPr>
    </w:p>
    <w:bookmarkStart w:id="13" w:name="page14"/>
    <w:bookmarkEnd w:id="13"/>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2240" w:h="15840" w:orient="portrait"/>
          <w:cols w:equalWidth="0" w:num="1">
            <w:col w:w="11640"/>
          </w:cols>
          <w:pgMar w:left="120" w:top="0" w:right="48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whether the series will have a sinking fund for the redemption or repurchase of shares of the series;</w:t>
      </w:r>
    </w:p>
    <w:p>
      <w:pPr>
        <w:spacing w:after="0" w:line="266" w:lineRule="exact"/>
        <w:rPr>
          <w:sz w:val="20"/>
          <w:szCs w:val="20"/>
          <w:color w:val="auto"/>
        </w:rPr>
      </w:pPr>
    </w:p>
    <w:p>
      <w:pPr>
        <w:spacing w:after="0" w:line="256" w:lineRule="auto"/>
        <w:rPr>
          <w:sz w:val="20"/>
          <w:szCs w:val="20"/>
          <w:color w:val="auto"/>
        </w:rPr>
      </w:pPr>
      <w:r>
        <w:rPr>
          <w:rFonts w:ascii="Arial" w:cs="Arial" w:eastAsia="Arial" w:hAnsi="Arial"/>
          <w:sz w:val="19"/>
          <w:szCs w:val="19"/>
          <w:color w:val="auto"/>
        </w:rPr>
        <w:t>the rights of the shares of the series to the benefit of conditions and restrictions upon the creation of indebtedness of the Company or any subsidiary, upon issuance of any additional shares (including additional shares of such series or any other series) and upon the payment of dividends or the making of other distributions on, and the purchase, redemption or other acquisition by the Company or any subsidiary of any issued shares of the Company;</w:t>
      </w:r>
    </w:p>
    <w:p>
      <w:pPr>
        <w:spacing w:after="0" w:line="200" w:lineRule="exact"/>
        <w:rPr>
          <w:sz w:val="20"/>
          <w:szCs w:val="20"/>
          <w:color w:val="auto"/>
        </w:rPr>
      </w:pPr>
    </w:p>
    <w:p>
      <w:pPr>
        <w:sectPr>
          <w:pgSz w:w="12240" w:h="15840" w:orient="portrait"/>
          <w:cols w:equalWidth="0" w:num="2">
            <w:col w:w="840" w:space="300"/>
            <w:col w:w="10500"/>
          </w:cols>
          <w:pgMar w:left="120" w:top="0" w:right="480" w:bottom="1440" w:gutter="0" w:footer="0" w:header="0"/>
          <w:type w:val="continuous"/>
        </w:sectPr>
      </w:pPr>
    </w:p>
    <w:p>
      <w:pPr>
        <w:spacing w:after="0" w:line="9" w:lineRule="exact"/>
        <w:rPr>
          <w:sz w:val="20"/>
          <w:szCs w:val="20"/>
          <w:color w:val="auto"/>
        </w:rPr>
      </w:pPr>
    </w:p>
    <w:p>
      <w:pPr>
        <w:ind w:left="1140" w:right="200" w:hanging="569"/>
        <w:spacing w:after="0" w:line="268"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the rights of the shares of the series in the event of voluntary or involuntary liquidation, dissolution or winding up of the Company, and the relative rights of priority, if any of payment in respect of shares of the series; and</w:t>
      </w:r>
    </w:p>
    <w:p>
      <w:pPr>
        <w:spacing w:after="0" w:line="211"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any other relative participating, optional or other special rights, qualifications, limitations or restrictions of the series.</w:t>
      </w:r>
    </w:p>
    <w:p>
      <w:pPr>
        <w:spacing w:after="0" w:line="252" w:lineRule="exact"/>
        <w:rPr>
          <w:sz w:val="20"/>
          <w:szCs w:val="20"/>
          <w:color w:val="auto"/>
        </w:rPr>
      </w:pPr>
    </w:p>
    <w:p>
      <w:pPr>
        <w:ind w:right="20" w:firstLine="368"/>
        <w:spacing w:after="0" w:line="314" w:lineRule="auto"/>
        <w:rPr>
          <w:sz w:val="20"/>
          <w:szCs w:val="20"/>
          <w:color w:val="auto"/>
        </w:rPr>
      </w:pPr>
      <w:r>
        <w:rPr>
          <w:rFonts w:ascii="Arial" w:cs="Arial" w:eastAsia="Arial" w:hAnsi="Arial"/>
          <w:sz w:val="16"/>
          <w:szCs w:val="16"/>
          <w:color w:val="auto"/>
        </w:rPr>
        <w:t>The description in the applicable prospectus supplement of any preference shares we offer will not necessarily be complete and will be qualified in its entirety by reference to the applicable board resolution, certificate of designations or specimen share certificate, which will be filed with the SEC if we offer preference shares. For more information on how you can obtain copies of any board resolution, certificate of designations or specimen share certificate if we offer preference shares, see "Where You Can Find Additional Information" beginning on page 4 of this prospectus. We urge you to read the applicable board resolution, applicable certificate of designations or the applicable specimen share certificate, and any applicable prospectus supplement in their entirety.</w:t>
      </w:r>
    </w:p>
    <w:p>
      <w:pPr>
        <w:spacing w:after="0" w:line="165" w:lineRule="exact"/>
        <w:rPr>
          <w:sz w:val="20"/>
          <w:szCs w:val="20"/>
          <w:color w:val="auto"/>
        </w:rPr>
      </w:pPr>
    </w:p>
    <w:p>
      <w:pPr>
        <w:jc w:val="center"/>
        <w:ind w:right="-35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640"/>
          </w:cols>
          <w:pgMar w:left="120" w:top="0" w:right="480" w:bottom="1440" w:gutter="0" w:footer="0" w:header="0"/>
          <w:type w:val="continuous"/>
        </w:sectPr>
      </w:pPr>
    </w:p>
    <w:bookmarkStart w:id="14" w:name="page15"/>
    <w:bookmarkEnd w:id="14"/>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DESCRIPTION OF DEBT SECURITIES</w:t>
      </w:r>
    </w:p>
    <w:p>
      <w:pPr>
        <w:spacing w:after="0" w:line="242" w:lineRule="exact"/>
        <w:rPr>
          <w:sz w:val="20"/>
          <w:szCs w:val="20"/>
          <w:color w:val="auto"/>
        </w:rPr>
      </w:pPr>
    </w:p>
    <w:p>
      <w:pPr>
        <w:ind w:right="40" w:firstLine="368"/>
        <w:spacing w:after="0" w:line="331" w:lineRule="auto"/>
        <w:rPr>
          <w:sz w:val="20"/>
          <w:szCs w:val="20"/>
          <w:color w:val="auto"/>
        </w:rPr>
      </w:pPr>
      <w:r>
        <w:rPr>
          <w:rFonts w:ascii="Arial" w:cs="Arial" w:eastAsia="Arial" w:hAnsi="Arial"/>
          <w:sz w:val="16"/>
          <w:szCs w:val="16"/>
          <w:color w:val="auto"/>
        </w:rPr>
        <w:t>We may issue debt securities from time to time in one or more series, under one or more indentures, each dated as of a date on or prior to the issuance of the debt securities to which it relates. We may issue debt securities from time to time in series under an indenture dated March 22, 2017, between us and American Stock Transfer &amp; Trust Company, LLC, as trustee, which is filed as Exhibit 4.1 to our Form 6-K filed with the SEC on March 22, 2017, or a separate indenture.</w:t>
      </w:r>
    </w:p>
    <w:p>
      <w:pPr>
        <w:spacing w:after="0" w:line="151" w:lineRule="exact"/>
        <w:rPr>
          <w:sz w:val="20"/>
          <w:szCs w:val="20"/>
          <w:color w:val="auto"/>
        </w:rPr>
      </w:pPr>
    </w:p>
    <w:p>
      <w:pPr>
        <w:ind w:right="180" w:firstLine="368"/>
        <w:spacing w:after="0" w:line="319" w:lineRule="auto"/>
        <w:rPr>
          <w:sz w:val="20"/>
          <w:szCs w:val="20"/>
          <w:color w:val="auto"/>
        </w:rPr>
      </w:pPr>
      <w:r>
        <w:rPr>
          <w:rFonts w:ascii="Arial" w:cs="Arial" w:eastAsia="Arial" w:hAnsi="Arial"/>
          <w:sz w:val="16"/>
          <w:szCs w:val="16"/>
          <w:color w:val="auto"/>
        </w:rPr>
        <w:t>The following description of debt securities sets forth the material terms and provisions of the debt securities to which any prospectus supplement may relate. The debt securities we may offer may be convertible into common shares or other securities. The indenture, a form of which is included as an exhibit to the registration statement of which this prospectus is a part, will be executed at the time we issue any debt securities. Any supplemental indentures will be filed with the SEC on a Form 6-K or by a post-effective amendment to the registration statement of which this prospectus is a part.</w:t>
      </w:r>
    </w:p>
    <w:p>
      <w:pPr>
        <w:spacing w:after="0" w:line="163" w:lineRule="exact"/>
        <w:rPr>
          <w:sz w:val="20"/>
          <w:szCs w:val="20"/>
          <w:color w:val="auto"/>
        </w:rPr>
      </w:pPr>
    </w:p>
    <w:p>
      <w:pPr>
        <w:jc w:val="both"/>
        <w:ind w:right="20" w:firstLine="368"/>
        <w:spacing w:after="0" w:line="256" w:lineRule="auto"/>
        <w:rPr>
          <w:sz w:val="20"/>
          <w:szCs w:val="20"/>
          <w:color w:val="auto"/>
        </w:rPr>
      </w:pPr>
      <w:r>
        <w:rPr>
          <w:rFonts w:ascii="Arial" w:cs="Arial" w:eastAsia="Arial" w:hAnsi="Arial"/>
          <w:sz w:val="19"/>
          <w:szCs w:val="19"/>
          <w:color w:val="auto"/>
        </w:rPr>
        <w:t>The particular terms of the debt securities offered by any prospectus supplement, and the extent to which the general provisions described below may apply to the offered debt securities, will be described in the applicable prospectus supplement. The indenture will be qualified under the Trust Indenture Act of 1939, as amended (the "Trust Indenture Act"). The terms of the debt securities will include those stated in the indenture and those made part of the indenture by reference to the Trust Indenture Act.</w:t>
      </w:r>
    </w:p>
    <w:p>
      <w:pPr>
        <w:spacing w:after="0" w:line="209" w:lineRule="exact"/>
        <w:rPr>
          <w:sz w:val="20"/>
          <w:szCs w:val="20"/>
          <w:color w:val="auto"/>
        </w:rPr>
      </w:pPr>
    </w:p>
    <w:p>
      <w:pPr>
        <w:jc w:val="both"/>
        <w:ind w:right="100" w:firstLine="371"/>
        <w:spacing w:after="0" w:line="259" w:lineRule="auto"/>
        <w:rPr>
          <w:sz w:val="20"/>
          <w:szCs w:val="20"/>
          <w:color w:val="auto"/>
        </w:rPr>
      </w:pPr>
      <w:r>
        <w:rPr>
          <w:rFonts w:ascii="Arial" w:cs="Arial" w:eastAsia="Arial" w:hAnsi="Arial"/>
          <w:sz w:val="19"/>
          <w:szCs w:val="19"/>
          <w:color w:val="auto"/>
        </w:rPr>
        <w:t>Because the following summaries of the material terms and provisions of the indenture and the related debt securities are not complete, you should refer to the form of the indenture and the debt securities for complete information on some of the terms and provisions of the indenture, including definitions of some of the terms used below, and the debt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General</w:t>
      </w:r>
    </w:p>
    <w:p>
      <w:pPr>
        <w:spacing w:after="0" w:line="242" w:lineRule="exact"/>
        <w:rPr>
          <w:sz w:val="20"/>
          <w:szCs w:val="20"/>
          <w:color w:val="auto"/>
        </w:rPr>
      </w:pPr>
    </w:p>
    <w:p>
      <w:pPr>
        <w:ind w:firstLine="368"/>
        <w:spacing w:after="0" w:line="256" w:lineRule="auto"/>
        <w:rPr>
          <w:sz w:val="20"/>
          <w:szCs w:val="20"/>
          <w:color w:val="auto"/>
        </w:rPr>
      </w:pPr>
      <w:r>
        <w:rPr>
          <w:rFonts w:ascii="Arial" w:cs="Arial" w:eastAsia="Arial" w:hAnsi="Arial"/>
          <w:sz w:val="19"/>
          <w:szCs w:val="19"/>
          <w:color w:val="auto"/>
        </w:rPr>
        <w:t>The provisions of the indenture do not limit the aggregate principal amount of debt securities which may be issued thereunder. Unless otherwise provided in a prospectus supplement, the debt securities will be our direct, unsecured and unsubordinated general obligations and will have the same rank in liquidation as all of our other unsecured and unsubordinated debt. The debt securities may be convertible into common shares or other securities if specified in the applicable prospectus supplement.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Payments</w:t>
      </w:r>
    </w:p>
    <w:p>
      <w:pPr>
        <w:spacing w:after="0" w:line="242" w:lineRule="exact"/>
        <w:rPr>
          <w:sz w:val="20"/>
          <w:szCs w:val="20"/>
          <w:color w:val="auto"/>
        </w:rPr>
      </w:pPr>
    </w:p>
    <w:p>
      <w:pPr>
        <w:ind w:right="20" w:firstLine="368"/>
        <w:spacing w:after="0" w:line="314" w:lineRule="auto"/>
        <w:rPr>
          <w:sz w:val="20"/>
          <w:szCs w:val="20"/>
          <w:color w:val="auto"/>
        </w:rPr>
      </w:pPr>
      <w:r>
        <w:rPr>
          <w:rFonts w:ascii="Arial" w:cs="Arial" w:eastAsia="Arial" w:hAnsi="Arial"/>
          <w:sz w:val="16"/>
          <w:szCs w:val="16"/>
          <w:color w:val="auto"/>
        </w:rPr>
        <w:t>We may issue debt securities from time to time in one or more series. The provisions of the indenture allow us to "reopen" a previous issue of a series of debt securities and issue additional debt securities of that series. The debt securities may be denominated and payable in U.S. dollars or other currencies. We may also issue debt securities from time to time with the principal amount or interest payable on any relevant payment date to be determined by reference to one or more currency exchange rates, securities or baskets of securities, commodity prices or indices. Holders of these types of debt securities will receive payments of principal or interest that depend upon the value of the applicable currency, security or basket of securities, commodity or index on the relevant payment dates.</w:t>
      </w:r>
    </w:p>
    <w:p>
      <w:pPr>
        <w:spacing w:after="0" w:line="165" w:lineRule="exact"/>
        <w:rPr>
          <w:sz w:val="20"/>
          <w:szCs w:val="20"/>
          <w:color w:val="auto"/>
        </w:rPr>
      </w:pPr>
    </w:p>
    <w:p>
      <w:pPr>
        <w:jc w:val="both"/>
        <w:ind w:right="480" w:firstLine="371"/>
        <w:spacing w:after="0" w:line="259" w:lineRule="auto"/>
        <w:rPr>
          <w:sz w:val="20"/>
          <w:szCs w:val="20"/>
          <w:color w:val="auto"/>
        </w:rPr>
      </w:pPr>
      <w:r>
        <w:rPr>
          <w:rFonts w:ascii="Arial" w:cs="Arial" w:eastAsia="Arial" w:hAnsi="Arial"/>
          <w:sz w:val="19"/>
          <w:szCs w:val="19"/>
          <w:color w:val="auto"/>
        </w:rPr>
        <w:t>Debt securities may bear interest at a fixed rate, which may be zero, a floating rate, or a rate which varies during the lifetime of the debt security. Debt securities bearing no interest or interest at a rate that at the time of issuance is below the prevailing market rate may be sold at a discount below their stated principal amount.</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15" w:name="page16"/>
    <w:bookmarkEnd w:id="15"/>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Terms Specified in the Applicable Prospectus Supplement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will contain, where applicable, the following terms of, and other information relating to, any offered debt securities:</w:t>
      </w:r>
    </w:p>
    <w:p>
      <w:pPr>
        <w:sectPr>
          <w:pgSz w:w="12240" w:h="15840" w:orient="portrait"/>
          <w:cols w:equalWidth="0" w:num="1">
            <w:col w:w="12000"/>
          </w:cols>
          <w:pgMar w:left="120" w:top="0" w:right="120" w:bottom="1440" w:gutter="0" w:footer="0" w:header="0"/>
        </w:sect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Arial" w:cs="Arial" w:eastAsia="Arial" w:hAnsi="Arial"/>
          <w:sz w:val="19"/>
          <w:szCs w:val="19"/>
          <w:color w:val="auto"/>
        </w:rPr>
        <w:t>the specific designation;</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any limit on the aggregate principal amount of the debt securities, their purchase price and denomination;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currency in which the debt securities are denominated and/or in which principal, premium, if any, and/or interest, if any, is payable;</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the date of maturity;</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interest rate or rates or the method by which the calculation agent will determine the interest rate or rates, if any;</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interest payment dates, if any;</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place or places for payment of the principal of and any premium and/or interest on the debt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any repayment, redemption, prepayment or sinking fund provisions, including any redemption notice provisions;</w:t>
      </w:r>
    </w:p>
    <w:p>
      <w:pPr>
        <w:spacing w:after="0" w:line="252" w:lineRule="exact"/>
        <w:rPr>
          <w:sz w:val="20"/>
          <w:szCs w:val="20"/>
          <w:color w:val="auto"/>
        </w:rPr>
      </w:pPr>
    </w:p>
    <w:p>
      <w:pPr>
        <w:ind w:right="520"/>
        <w:spacing w:after="0" w:line="364" w:lineRule="auto"/>
        <w:rPr>
          <w:sz w:val="20"/>
          <w:szCs w:val="20"/>
          <w:color w:val="auto"/>
        </w:rPr>
      </w:pPr>
      <w:r>
        <w:rPr>
          <w:rFonts w:ascii="Arial" w:cs="Arial" w:eastAsia="Arial" w:hAnsi="Arial"/>
          <w:sz w:val="16"/>
          <w:szCs w:val="16"/>
          <w:color w:val="auto"/>
        </w:rPr>
        <w:t>whether we will issue the debt securities in registered form or bearer form or both and, if we are offering debt securities in bearer form, any restrictions applicable to the exchange of one form for another and to the offer, sale and delivery of those debt securities in bearer form;</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whether we will issue the debt securities in definitive form and under what terms and conditions;</w:t>
      </w:r>
    </w:p>
    <w:p>
      <w:pPr>
        <w:spacing w:after="0" w:line="266"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the terms on which holders of the debt securities may convert or exchange these securities into or for common shares or other securities, any specific terms relating to the adjustment of the conversion or exchange feature and the period during which the holders may make the conversion or exchange;</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ind w:right="160"/>
        <w:spacing w:after="0" w:line="268" w:lineRule="auto"/>
        <w:rPr>
          <w:sz w:val="20"/>
          <w:szCs w:val="20"/>
          <w:color w:val="auto"/>
        </w:rPr>
      </w:pPr>
      <w:r>
        <w:rPr>
          <w:rFonts w:ascii="Arial" w:cs="Arial" w:eastAsia="Arial" w:hAnsi="Arial"/>
          <w:sz w:val="19"/>
          <w:szCs w:val="19"/>
          <w:color w:val="auto"/>
        </w:rPr>
        <w:t>information as to the methods for determining the amount of principal or interest payable on any date and/or the currencies, securities or baskets of securities, commodities or indices to which the amount payable on that date is linked;</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any agents for the debt securities, including trustees, depositaries, authenticating or paying agents, transfer agents or registrars;</w:t>
      </w:r>
    </w:p>
    <w:p>
      <w:pPr>
        <w:spacing w:after="0" w:line="266" w:lineRule="exact"/>
        <w:rPr>
          <w:sz w:val="20"/>
          <w:szCs w:val="20"/>
          <w:color w:val="auto"/>
        </w:rPr>
      </w:pPr>
    </w:p>
    <w:p>
      <w:pPr>
        <w:spacing w:after="0" w:line="364" w:lineRule="auto"/>
        <w:rPr>
          <w:sz w:val="20"/>
          <w:szCs w:val="20"/>
          <w:color w:val="auto"/>
        </w:rPr>
      </w:pPr>
      <w:r>
        <w:rPr>
          <w:rFonts w:ascii="Arial" w:cs="Arial" w:eastAsia="Arial" w:hAnsi="Arial"/>
          <w:sz w:val="16"/>
          <w:szCs w:val="16"/>
          <w:color w:val="auto"/>
        </w:rPr>
        <w:t>whether and under what circumstances we will pay additional amounts on debt securities for any tax, assessment or governmental charge withheld or deducted and, if so, whether we will have the option to redeem those debt securities rather than pay the additional amounts;</w:t>
      </w:r>
    </w:p>
    <w:p>
      <w:pPr>
        <w:spacing w:after="0" w:line="141" w:lineRule="exact"/>
        <w:rPr>
          <w:sz w:val="20"/>
          <w:szCs w:val="20"/>
          <w:color w:val="auto"/>
        </w:rPr>
      </w:pPr>
    </w:p>
    <w:p>
      <w:pPr>
        <w:spacing w:after="0"/>
        <w:rPr>
          <w:sz w:val="20"/>
          <w:szCs w:val="20"/>
          <w:color w:val="auto"/>
        </w:rPr>
      </w:pPr>
      <w:r>
        <w:rPr>
          <w:rFonts w:ascii="Arial" w:cs="Arial" w:eastAsia="Arial" w:hAnsi="Arial"/>
          <w:sz w:val="19"/>
          <w:szCs w:val="19"/>
          <w:color w:val="auto"/>
        </w:rPr>
        <w:t>any material United States federal income tax or other income tax consequences, including, but not limited to:</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266"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tax considerations applicable to any discounted debt securities or to debt securities issued at par that are treated as having been issued at a</w:t>
      </w:r>
    </w:p>
    <w:p>
      <w:pPr>
        <w:spacing w:after="0" w:line="45" w:lineRule="exact"/>
        <w:rPr>
          <w:sz w:val="20"/>
          <w:szCs w:val="20"/>
          <w:color w:val="auto"/>
        </w:rPr>
      </w:pPr>
    </w:p>
    <w:p>
      <w:pPr>
        <w:ind w:left="1700"/>
        <w:spacing w:after="0"/>
        <w:rPr>
          <w:sz w:val="20"/>
          <w:szCs w:val="20"/>
          <w:color w:val="auto"/>
        </w:rPr>
      </w:pPr>
      <w:r>
        <w:rPr>
          <w:rFonts w:ascii="Arial" w:cs="Arial" w:eastAsia="Arial" w:hAnsi="Arial"/>
          <w:sz w:val="19"/>
          <w:szCs w:val="19"/>
          <w:color w:val="auto"/>
        </w:rPr>
        <w:t>discount for United States federal income tax purposes; and</w:t>
      </w:r>
    </w:p>
    <w:p>
      <w:pPr>
        <w:spacing w:after="0" w:line="231" w:lineRule="exact"/>
        <w:rPr>
          <w:sz w:val="20"/>
          <w:szCs w:val="20"/>
          <w:color w:val="auto"/>
        </w:rPr>
      </w:pPr>
    </w:p>
    <w:p>
      <w:pPr>
        <w:ind w:left="1140"/>
        <w:spacing w:after="0"/>
        <w:tabs>
          <w:tab w:leader="none" w:pos="16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tax considerations applicable to any debt securities denominated and payable in non-United States currencies;</w:t>
      </w:r>
    </w:p>
    <w:p>
      <w:pPr>
        <w:spacing w:after="0" w:line="200" w:lineRule="exact"/>
        <w:rPr>
          <w:sz w:val="20"/>
          <w:szCs w:val="20"/>
          <w:color w:val="auto"/>
        </w:rPr>
      </w:pPr>
    </w:p>
    <w:p>
      <w:pPr>
        <w:spacing w:after="0" w:line="280" w:lineRule="exact"/>
        <w:rPr>
          <w:sz w:val="20"/>
          <w:szCs w:val="20"/>
          <w:color w:val="auto"/>
        </w:rPr>
      </w:pPr>
    </w:p>
    <w:p>
      <w:pPr>
        <w:jc w:val="center"/>
        <w:ind w:left="340"/>
        <w:spacing w:after="0"/>
        <w:tabs>
          <w:tab w:leader="none" w:pos="28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whether certain payments on the debt securities will be guaranteed under a financial insurance guarantee policy and the terms of that guarantee;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16" w:name="page17"/>
    <w:bookmarkEnd w:id="16"/>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2240" w:h="15840" w:orient="portrait"/>
          <w:cols w:equalWidth="0" w:num="1">
            <w:col w:w="12000"/>
          </w:cols>
          <w:pgMar w:left="120" w:top="0" w:right="12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spacing w:after="0"/>
        <w:rPr>
          <w:sz w:val="20"/>
          <w:szCs w:val="20"/>
          <w:color w:val="auto"/>
        </w:rPr>
      </w:pPr>
      <w:r>
        <w:rPr>
          <w:rFonts w:ascii="Arial" w:cs="Arial" w:eastAsia="Arial" w:hAnsi="Arial"/>
          <w:sz w:val="19"/>
          <w:szCs w:val="19"/>
          <w:color w:val="auto"/>
        </w:rPr>
        <w:t>whether the debt securities will be secured;</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any applicable selling restrictions; and</w:t>
      </w:r>
    </w:p>
    <w:p>
      <w:pPr>
        <w:spacing w:after="0" w:line="252" w:lineRule="exact"/>
        <w:rPr>
          <w:sz w:val="20"/>
          <w:szCs w:val="20"/>
          <w:color w:val="auto"/>
        </w:rPr>
      </w:pPr>
    </w:p>
    <w:p>
      <w:pPr>
        <w:ind w:right="80"/>
        <w:spacing w:after="0" w:line="268" w:lineRule="auto"/>
        <w:rPr>
          <w:sz w:val="20"/>
          <w:szCs w:val="20"/>
          <w:color w:val="auto"/>
        </w:rPr>
      </w:pPr>
      <w:r>
        <w:rPr>
          <w:rFonts w:ascii="Arial" w:cs="Arial" w:eastAsia="Arial" w:hAnsi="Arial"/>
          <w:sz w:val="19"/>
          <w:szCs w:val="19"/>
          <w:color w:val="auto"/>
        </w:rPr>
        <w:t>any other specific terms of the debt securities, including any modifications to or additional events of default, covenants or modified or eliminated acceleration rights, and any terms required by or advisable under applicable laws or regulations.</w:t>
      </w:r>
    </w:p>
    <w:p>
      <w:pPr>
        <w:spacing w:after="0" w:line="197"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firstLine="371"/>
        <w:spacing w:after="0" w:line="259" w:lineRule="auto"/>
        <w:rPr>
          <w:sz w:val="20"/>
          <w:szCs w:val="20"/>
          <w:color w:val="auto"/>
        </w:rPr>
      </w:pPr>
      <w:r>
        <w:rPr>
          <w:rFonts w:ascii="Arial" w:cs="Arial" w:eastAsia="Arial" w:hAnsi="Arial"/>
          <w:sz w:val="19"/>
          <w:szCs w:val="19"/>
          <w:color w:val="auto"/>
        </w:rPr>
        <w:t>Some of the debt securities may be issued as original issue discount securities. Original issue discount securities bear no interest or bear interest at below-market rates and may be sold at a discount below their stated principal amount. The applicable prospectus supplement will contain information relating to income tax, accounting, and other special considerations applicable to original issue discount securities.</w:t>
      </w:r>
    </w:p>
    <w:p>
      <w:pPr>
        <w:spacing w:after="0" w:line="20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Registration and Transfer of Debt Securities</w:t>
      </w:r>
    </w:p>
    <w:p>
      <w:pPr>
        <w:spacing w:after="0" w:line="242" w:lineRule="exact"/>
        <w:rPr>
          <w:sz w:val="20"/>
          <w:szCs w:val="20"/>
          <w:color w:val="auto"/>
        </w:rPr>
      </w:pPr>
    </w:p>
    <w:p>
      <w:pPr>
        <w:ind w:right="180" w:firstLine="371"/>
        <w:spacing w:after="0" w:line="311" w:lineRule="auto"/>
        <w:rPr>
          <w:sz w:val="20"/>
          <w:szCs w:val="20"/>
          <w:color w:val="auto"/>
        </w:rPr>
      </w:pPr>
      <w:r>
        <w:rPr>
          <w:rFonts w:ascii="Arial" w:cs="Arial" w:eastAsia="Arial" w:hAnsi="Arial"/>
          <w:sz w:val="16"/>
          <w:szCs w:val="16"/>
          <w:color w:val="auto"/>
        </w:rPr>
        <w:t>Holders may present debt securities for exchange, and holders of registered debt securities may present these securities for transfer, in the manner, at the places and subject to the restrictions stated in the debt securities and described in the applicable prospectus supplement. We will provide these services without charge except for any tax or other governmental charge payable in connection with these services and subject to any limitations or requirements provided in the indenture or the supplemental indenture or issuer order under which that series of debt securities is issued. Holders may transfer debt securities in bearer form and/or the related coupons, if any, by delivery to the transferee. If any of the securities are held in global form, the procedures for transfer of interests in those securities will depend upon the procedures of the depositary for those global securities.</w:t>
      </w:r>
    </w:p>
    <w:p>
      <w:pPr>
        <w:spacing w:after="0" w:line="16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Events of Default</w:t>
      </w:r>
    </w:p>
    <w:p>
      <w:pPr>
        <w:spacing w:after="0" w:line="242" w:lineRule="exact"/>
        <w:rPr>
          <w:sz w:val="20"/>
          <w:szCs w:val="20"/>
          <w:color w:val="auto"/>
        </w:rPr>
      </w:pPr>
    </w:p>
    <w:p>
      <w:pPr>
        <w:ind w:right="20" w:firstLine="368"/>
        <w:spacing w:after="0" w:line="256" w:lineRule="auto"/>
        <w:rPr>
          <w:sz w:val="20"/>
          <w:szCs w:val="20"/>
          <w:color w:val="auto"/>
        </w:rPr>
      </w:pPr>
      <w:r>
        <w:rPr>
          <w:rFonts w:ascii="Arial" w:cs="Arial" w:eastAsia="Arial" w:hAnsi="Arial"/>
          <w:sz w:val="19"/>
          <w:szCs w:val="19"/>
          <w:color w:val="auto"/>
        </w:rPr>
        <w:t>The indenture provides holders of debt securities with remedies if we fail to perform specific obligations, such as making payments on the debt securities, or if we become bankrupt. Holders should review these provisions and understand which actions trigger an event of default and which actions do not. The indenture permits the issuance of debt securities in one or more series, and, in many cases, whether an event of default has occurred is determined on a series-by-series basis.</w:t>
      </w:r>
    </w:p>
    <w:p>
      <w:pPr>
        <w:spacing w:after="0" w:line="209" w:lineRule="exact"/>
        <w:rPr>
          <w:sz w:val="20"/>
          <w:szCs w:val="20"/>
          <w:color w:val="auto"/>
        </w:rPr>
      </w:pPr>
    </w:p>
    <w:p>
      <w:pPr>
        <w:ind w:right="80" w:firstLine="361"/>
        <w:spacing w:after="0" w:line="259" w:lineRule="auto"/>
        <w:rPr>
          <w:sz w:val="20"/>
          <w:szCs w:val="20"/>
          <w:color w:val="auto"/>
        </w:rPr>
      </w:pPr>
      <w:r>
        <w:rPr>
          <w:rFonts w:ascii="Arial" w:cs="Arial" w:eastAsia="Arial" w:hAnsi="Arial"/>
          <w:sz w:val="19"/>
          <w:szCs w:val="19"/>
          <w:color w:val="auto"/>
        </w:rPr>
        <w:t>An event of default is defined under the indenture, with respect to any series of debt securities issued under the indenture, as any one or more of the following events, subject to modification in a supplemental indenture, each of which we refer to in this prospectus as an event of default, having occurred and be continuing:</w:t>
      </w:r>
    </w:p>
    <w:p>
      <w:pPr>
        <w:sectPr>
          <w:pgSz w:w="12240" w:h="15840" w:orient="portrait"/>
          <w:cols w:equalWidth="0" w:num="1">
            <w:col w:w="12000"/>
          </w:cols>
          <w:pgMar w:left="120" w:top="0" w:right="120" w:bottom="1440" w:gutter="0" w:footer="0" w:header="0"/>
          <w:type w:val="continuous"/>
        </w:sectPr>
      </w:pPr>
    </w:p>
    <w:p>
      <w:pPr>
        <w:spacing w:after="0" w:line="20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rPr>
          <w:sz w:val="20"/>
          <w:szCs w:val="20"/>
          <w:color w:val="auto"/>
        </w:rPr>
      </w:pPr>
      <w:r>
        <w:rPr>
          <w:rFonts w:ascii="Arial" w:cs="Arial" w:eastAsia="Arial" w:hAnsi="Arial"/>
          <w:sz w:val="19"/>
          <w:szCs w:val="19"/>
          <w:color w:val="auto"/>
        </w:rPr>
        <w:t>default is made for more than 30 days in the payment of interest, premium or principal in respect of the securities;</w:t>
      </w:r>
    </w:p>
    <w:p>
      <w:pPr>
        <w:spacing w:after="0" w:line="266" w:lineRule="exact"/>
        <w:rPr>
          <w:sz w:val="20"/>
          <w:szCs w:val="20"/>
          <w:color w:val="auto"/>
        </w:rPr>
      </w:pPr>
    </w:p>
    <w:p>
      <w:pPr>
        <w:ind w:right="640"/>
        <w:spacing w:after="0" w:line="268" w:lineRule="auto"/>
        <w:rPr>
          <w:sz w:val="20"/>
          <w:szCs w:val="20"/>
          <w:color w:val="auto"/>
        </w:rPr>
      </w:pPr>
      <w:r>
        <w:rPr>
          <w:rFonts w:ascii="Arial" w:cs="Arial" w:eastAsia="Arial" w:hAnsi="Arial"/>
          <w:sz w:val="19"/>
          <w:szCs w:val="19"/>
          <w:color w:val="auto"/>
        </w:rPr>
        <w:t>we fail to perform or observe any of our other obligations under the securities and this failure has continued for the period of 60 days next following the service on us of notice requiring the same to be remedied;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our bankruptcy, insolvency or reorganization under any applicable bankruptcy, insolvency or insolvency related reorganization law;</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an order is made or an effective resolution is passed for the winding up or liquidation of us; or</w:t>
      </w:r>
    </w:p>
    <w:p>
      <w:pPr>
        <w:spacing w:after="0" w:line="266" w:lineRule="exact"/>
        <w:rPr>
          <w:sz w:val="20"/>
          <w:szCs w:val="20"/>
          <w:color w:val="auto"/>
        </w:rPr>
      </w:pPr>
    </w:p>
    <w:p>
      <w:pPr>
        <w:ind w:right="300"/>
        <w:spacing w:after="0" w:line="268" w:lineRule="auto"/>
        <w:rPr>
          <w:sz w:val="20"/>
          <w:szCs w:val="20"/>
          <w:color w:val="auto"/>
        </w:rPr>
      </w:pPr>
      <w:r>
        <w:rPr>
          <w:rFonts w:ascii="Arial" w:cs="Arial" w:eastAsia="Arial" w:hAnsi="Arial"/>
          <w:sz w:val="19"/>
          <w:szCs w:val="19"/>
          <w:color w:val="auto"/>
        </w:rPr>
        <w:t>any other event of default provided in the supplemental indenture or resolution of the board of directors, if any, under which that series of debt securities is issued.</w:t>
      </w:r>
    </w:p>
    <w:p>
      <w:pPr>
        <w:spacing w:after="0" w:line="19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60"/>
          </w:cols>
          <w:pgMar w:left="120" w:top="0" w:right="120" w:bottom="1440" w:gutter="0" w:footer="0" w:header="0"/>
          <w:type w:val="continuous"/>
        </w:sectPr>
      </w:pPr>
    </w:p>
    <w:bookmarkStart w:id="17" w:name="page18"/>
    <w:bookmarkEnd w:id="17"/>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Acceleration of Debt Securities Upon an Event of Default</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provides that, unless otherwise set forth in a supplemental indenture:</w:t>
      </w:r>
    </w:p>
    <w:p>
      <w:pPr>
        <w:spacing w:after="0" w:line="238" w:lineRule="exact"/>
        <w:rPr>
          <w:sz w:val="20"/>
          <w:szCs w:val="20"/>
          <w:color w:val="auto"/>
        </w:rPr>
      </w:pPr>
    </w:p>
    <w:p>
      <w:pPr>
        <w:ind w:left="1140" w:right="20" w:hanging="569"/>
        <w:spacing w:after="0" w:line="271"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if an event of default occurs due to the default in payment of principal of, or any premium or interest on, any series of debt securities issued under the indenture, or due to the default in the performance or breach of any other covenant or warranty of us applicable to that series of debt securities but not applicable to all outstanding debt securities issued under the indenture occurs and is continuing, either the trustee or the holders of not less than 25% in aggregate principal amount of the outstanding debt securities of each affected series, voting as one class, by notice in writing to us may declare the principal of and accrued interest on the debt securities of such affected series (but not any other debt securities issued under the indenture) to be due and payable immediately;</w:t>
      </w:r>
    </w:p>
    <w:p>
      <w:pPr>
        <w:sectPr>
          <w:pgSz w:w="12240" w:h="15840" w:orient="portrait"/>
          <w:cols w:equalWidth="0" w:num="1">
            <w:col w:w="11980"/>
          </w:cols>
          <w:pgMar w:left="120" w:top="0" w:right="140" w:bottom="1440" w:gutter="0" w:footer="0" w:header="0"/>
        </w:sectPr>
      </w:pPr>
    </w:p>
    <w:p>
      <w:pPr>
        <w:spacing w:after="0" w:line="2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ind w:right="460"/>
        <w:spacing w:after="0" w:line="268" w:lineRule="auto"/>
        <w:rPr>
          <w:sz w:val="20"/>
          <w:szCs w:val="20"/>
          <w:color w:val="auto"/>
        </w:rPr>
      </w:pPr>
      <w:r>
        <w:rPr>
          <w:rFonts w:ascii="Arial" w:cs="Arial" w:eastAsia="Arial" w:hAnsi="Arial"/>
          <w:sz w:val="19"/>
          <w:szCs w:val="19"/>
          <w:color w:val="auto"/>
        </w:rPr>
        <w:t>if an event of default occurs due to specified events of bankruptcy, insolvency or reorganization of us, the principal of all debt securities and interest accrued on the debt securities to be due and payable immediately; and</w:t>
      </w:r>
    </w:p>
    <w:p>
      <w:pPr>
        <w:spacing w:after="0" w:line="211"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if an event of default due to a default in the performance of any other of the covenants or agreements in the indenture applicable to all outstanding debt securities issued under the indenture occurs and is continuing, either the trustee or the holders of not less than 25% in aggregate principal amount of all outstanding debt securities issued under the indenture for which any applicable supplemental indenture does not prevent acceleration under the relevant circumstances, voting as one class, by notice in writing to us may declare the principal of all debt securities and interest accrued on the debt securities to be due and payable immediately.</w:t>
      </w:r>
    </w:p>
    <w:p>
      <w:pPr>
        <w:spacing w:after="0" w:line="192"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Annulment of Acceleration and Waiver of Defaults</w:t>
      </w:r>
    </w:p>
    <w:p>
      <w:pPr>
        <w:spacing w:after="0" w:line="242" w:lineRule="exact"/>
        <w:rPr>
          <w:sz w:val="20"/>
          <w:szCs w:val="20"/>
          <w:color w:val="auto"/>
        </w:rPr>
      </w:pPr>
    </w:p>
    <w:p>
      <w:pPr>
        <w:ind w:firstLine="371"/>
        <w:spacing w:after="0" w:line="331" w:lineRule="auto"/>
        <w:rPr>
          <w:sz w:val="20"/>
          <w:szCs w:val="20"/>
          <w:color w:val="auto"/>
        </w:rPr>
      </w:pPr>
      <w:r>
        <w:rPr>
          <w:rFonts w:ascii="Arial" w:cs="Arial" w:eastAsia="Arial" w:hAnsi="Arial"/>
          <w:sz w:val="16"/>
          <w:szCs w:val="16"/>
          <w:color w:val="auto"/>
        </w:rPr>
        <w:t>In some circumstances, if any and all events of default under the indenture, other than the non-payment of the principal of the securities that has become due as a result of an acceleration, have been cured, waived or otherwise remedied, then the holders of a majority in aggregate principal amount of all series of outstanding debt securities affected, voting as one class, may annul past declarations of acceleration or waive past defaults of the debt securities.</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Indemnification of Trustee for Actions Taken on Your Behalf</w:t>
      </w:r>
    </w:p>
    <w:p>
      <w:pPr>
        <w:spacing w:after="0" w:line="242" w:lineRule="exact"/>
        <w:rPr>
          <w:sz w:val="20"/>
          <w:szCs w:val="20"/>
          <w:color w:val="auto"/>
        </w:rPr>
      </w:pPr>
    </w:p>
    <w:p>
      <w:pPr>
        <w:ind w:firstLine="368"/>
        <w:spacing w:after="0" w:line="308" w:lineRule="auto"/>
        <w:rPr>
          <w:sz w:val="20"/>
          <w:szCs w:val="20"/>
          <w:color w:val="auto"/>
        </w:rPr>
      </w:pPr>
      <w:r>
        <w:rPr>
          <w:rFonts w:ascii="Arial" w:cs="Arial" w:eastAsia="Arial" w:hAnsi="Arial"/>
          <w:sz w:val="16"/>
          <w:szCs w:val="16"/>
          <w:color w:val="auto"/>
        </w:rPr>
        <w:t>The indenture provides that the trustee shall not be liable with respect to any action taken or omitted to be taken by it in good faith in accordance with the direction of the holders of debt securities issued under the indenture relating to the time, method and place of conducting any proceeding for any remedy available to the trustee, or exercising any trust or power conferred upon the trustee. In addition, the indenture contains a provision entitling the trustee, subject to the duty of the trustee to act with the required standard of care during a default, to be indemnified to its satisfaction by the holders of debt securities issued under the indenture before proceeding to exercise any right or power at the request of holders. Subject to these provisions and specified other limitations, the holders of a majority in aggregate principal amount of each series of outstanding debt securities of each affected series, voting as one class, may direct the time, method and place of conducting any proceeding for any remedy available to the trustee, or exercising any trust or power conferred on the trustee.</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Limitation on Actions by You as an Individual Holder</w:t>
      </w:r>
    </w:p>
    <w:p>
      <w:pPr>
        <w:spacing w:after="0" w:line="242" w:lineRule="exact"/>
        <w:rPr>
          <w:sz w:val="20"/>
          <w:szCs w:val="20"/>
          <w:color w:val="auto"/>
        </w:rPr>
      </w:pPr>
    </w:p>
    <w:p>
      <w:pPr>
        <w:ind w:right="320" w:firstLine="368"/>
        <w:spacing w:after="0" w:line="268" w:lineRule="auto"/>
        <w:rPr>
          <w:sz w:val="20"/>
          <w:szCs w:val="20"/>
          <w:color w:val="auto"/>
        </w:rPr>
      </w:pPr>
      <w:r>
        <w:rPr>
          <w:rFonts w:ascii="Arial" w:cs="Arial" w:eastAsia="Arial" w:hAnsi="Arial"/>
          <w:sz w:val="19"/>
          <w:szCs w:val="19"/>
          <w:color w:val="auto"/>
        </w:rPr>
        <w:t>The indenture provides that no individual holder of debt securities may institute any action against us under the indenture, except actions for payment of overdue principal and interest, unless the following actions have occurred:</w:t>
      </w:r>
    </w:p>
    <w:p>
      <w:pPr>
        <w:spacing w:after="0" w:line="197"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the holder must have previously given written notice to the trustee of the continuing default;</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type w:val="continuous"/>
        </w:sectPr>
      </w:pPr>
    </w:p>
    <w:bookmarkStart w:id="18" w:name="page19"/>
    <w:bookmarkEnd w:id="18"/>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1140" w:right="20" w:hanging="569"/>
        <w:spacing w:after="0" w:line="268"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9"/>
          <w:szCs w:val="19"/>
          <w:color w:val="auto"/>
        </w:rPr>
        <w:t>the holders of not less than 25% in aggregate principal amount of the outstanding debt securities of each affected series, treated as one class, must have:</w:t>
      </w:r>
    </w:p>
    <w:p>
      <w:pPr>
        <w:spacing w:after="0" w:line="200" w:lineRule="exact"/>
        <w:rPr>
          <w:sz w:val="20"/>
          <w:szCs w:val="20"/>
          <w:color w:val="auto"/>
        </w:rPr>
      </w:pPr>
    </w:p>
    <w:p>
      <w:pPr>
        <w:spacing w:after="0" w:line="239" w:lineRule="exact"/>
        <w:rPr>
          <w:sz w:val="20"/>
          <w:szCs w:val="20"/>
          <w:color w:val="auto"/>
        </w:rPr>
      </w:pPr>
    </w:p>
    <w:tbl>
      <w:tblPr>
        <w:tblLayout w:type="fixed"/>
        <w:tblInd w:w="560" w:type="dxa"/>
        <w:tblCellMar>
          <w:top w:w="0" w:type="dxa"/>
          <w:left w:w="0" w:type="dxa"/>
          <w:bottom w:w="0" w:type="dxa"/>
          <w:right w:w="0" w:type="dxa"/>
        </w:tblCellMar>
      </w:tblPr>
      <w:tr>
        <w:trPr>
          <w:trHeight w:val="264"/>
        </w:trPr>
        <w:tc>
          <w:tcPr>
            <w:tcW w:w="420" w:type="dxa"/>
            <w:vAlign w:val="bottom"/>
          </w:tcPr>
          <w:p>
            <w:pPr>
              <w:spacing w:after="0"/>
              <w:rPr>
                <w:sz w:val="22"/>
                <w:szCs w:val="22"/>
                <w:color w:val="auto"/>
              </w:rPr>
            </w:pPr>
          </w:p>
        </w:tc>
        <w:tc>
          <w:tcPr>
            <w:tcW w:w="580" w:type="dxa"/>
            <w:vAlign w:val="bottom"/>
          </w:tcPr>
          <w:p>
            <w:pPr>
              <w:ind w:left="160"/>
              <w:spacing w:after="0"/>
              <w:rPr>
                <w:sz w:val="20"/>
                <w:szCs w:val="20"/>
                <w:color w:val="auto"/>
              </w:rPr>
            </w:pPr>
            <w:r>
              <w:rPr>
                <w:rFonts w:ascii="Arial" w:cs="Arial" w:eastAsia="Arial" w:hAnsi="Arial"/>
                <w:sz w:val="19"/>
                <w:szCs w:val="19"/>
                <w:color w:val="auto"/>
              </w:rPr>
              <w:t>â€¢</w:t>
            </w:r>
          </w:p>
        </w:tc>
        <w:tc>
          <w:tcPr>
            <w:tcW w:w="10160" w:type="dxa"/>
            <w:vAlign w:val="bottom"/>
          </w:tcPr>
          <w:p>
            <w:pPr>
              <w:ind w:left="140"/>
              <w:spacing w:after="0"/>
              <w:rPr>
                <w:sz w:val="20"/>
                <w:szCs w:val="20"/>
                <w:color w:val="auto"/>
              </w:rPr>
            </w:pPr>
            <w:r>
              <w:rPr>
                <w:rFonts w:ascii="Arial" w:cs="Arial" w:eastAsia="Arial" w:hAnsi="Arial"/>
                <w:sz w:val="19"/>
                <w:szCs w:val="19"/>
                <w:color w:val="auto"/>
              </w:rPr>
              <w:t>requested the trustee to institute that action; and</w:t>
            </w:r>
          </w:p>
        </w:tc>
      </w:tr>
      <w:tr>
        <w:trPr>
          <w:trHeight w:val="471"/>
        </w:trPr>
        <w:tc>
          <w:tcPr>
            <w:tcW w:w="420" w:type="dxa"/>
            <w:vAlign w:val="bottom"/>
          </w:tcPr>
          <w:p>
            <w:pPr>
              <w:spacing w:after="0"/>
              <w:rPr>
                <w:sz w:val="24"/>
                <w:szCs w:val="24"/>
                <w:color w:val="auto"/>
              </w:rPr>
            </w:pPr>
          </w:p>
        </w:tc>
        <w:tc>
          <w:tcPr>
            <w:tcW w:w="580" w:type="dxa"/>
            <w:vAlign w:val="bottom"/>
          </w:tcPr>
          <w:p>
            <w:pPr>
              <w:ind w:left="160"/>
              <w:spacing w:after="0"/>
              <w:rPr>
                <w:sz w:val="20"/>
                <w:szCs w:val="20"/>
                <w:color w:val="auto"/>
              </w:rPr>
            </w:pPr>
            <w:r>
              <w:rPr>
                <w:rFonts w:ascii="Arial" w:cs="Arial" w:eastAsia="Arial" w:hAnsi="Arial"/>
                <w:sz w:val="19"/>
                <w:szCs w:val="19"/>
                <w:color w:val="auto"/>
              </w:rPr>
              <w:t>â€¢</w:t>
            </w:r>
          </w:p>
        </w:tc>
        <w:tc>
          <w:tcPr>
            <w:tcW w:w="10160" w:type="dxa"/>
            <w:vAlign w:val="bottom"/>
          </w:tcPr>
          <w:p>
            <w:pPr>
              <w:ind w:left="140"/>
              <w:spacing w:after="0"/>
              <w:rPr>
                <w:sz w:val="20"/>
                <w:szCs w:val="20"/>
                <w:color w:val="auto"/>
              </w:rPr>
            </w:pPr>
            <w:r>
              <w:rPr>
                <w:rFonts w:ascii="Arial" w:cs="Arial" w:eastAsia="Arial" w:hAnsi="Arial"/>
                <w:sz w:val="19"/>
                <w:szCs w:val="19"/>
                <w:color w:val="auto"/>
              </w:rPr>
              <w:t>offered the trustee indemnity satisfactory to it;</w:t>
            </w:r>
          </w:p>
        </w:tc>
      </w:tr>
      <w:tr>
        <w:trPr>
          <w:trHeight w:val="699"/>
        </w:trPr>
        <w:tc>
          <w:tcPr>
            <w:tcW w:w="420" w:type="dxa"/>
            <w:vAlign w:val="bottom"/>
          </w:tcPr>
          <w:p>
            <w:pPr>
              <w:spacing w:after="0"/>
              <w:rPr>
                <w:sz w:val="20"/>
                <w:szCs w:val="20"/>
                <w:color w:val="auto"/>
              </w:rPr>
            </w:pPr>
            <w:r>
              <w:rPr>
                <w:rFonts w:ascii="Arial" w:cs="Arial" w:eastAsia="Arial" w:hAnsi="Arial"/>
                <w:sz w:val="19"/>
                <w:szCs w:val="19"/>
                <w:color w:val="auto"/>
              </w:rPr>
              <w:t>â€¢</w:t>
            </w:r>
          </w:p>
        </w:tc>
        <w:tc>
          <w:tcPr>
            <w:tcW w:w="10740" w:type="dxa"/>
            <w:vAlign w:val="bottom"/>
            <w:gridSpan w:val="2"/>
          </w:tcPr>
          <w:p>
            <w:pPr>
              <w:ind w:left="160"/>
              <w:spacing w:after="0"/>
              <w:rPr>
                <w:sz w:val="20"/>
                <w:szCs w:val="20"/>
                <w:color w:val="auto"/>
              </w:rPr>
            </w:pPr>
            <w:r>
              <w:rPr>
                <w:rFonts w:ascii="Arial" w:cs="Arial" w:eastAsia="Arial" w:hAnsi="Arial"/>
                <w:sz w:val="19"/>
                <w:szCs w:val="19"/>
                <w:color w:val="auto"/>
              </w:rPr>
              <w:t>the trustee must have failed to institute that action within 60 days after receipt of the request referred to above; and</w:t>
            </w:r>
          </w:p>
        </w:tc>
      </w:tr>
      <w:tr>
        <w:trPr>
          <w:trHeight w:val="478"/>
        </w:trPr>
        <w:tc>
          <w:tcPr>
            <w:tcW w:w="420" w:type="dxa"/>
            <w:vAlign w:val="bottom"/>
          </w:tcPr>
          <w:p>
            <w:pPr>
              <w:spacing w:after="0"/>
              <w:rPr>
                <w:sz w:val="20"/>
                <w:szCs w:val="20"/>
                <w:color w:val="auto"/>
              </w:rPr>
            </w:pPr>
            <w:r>
              <w:rPr>
                <w:rFonts w:ascii="Arial" w:cs="Arial" w:eastAsia="Arial" w:hAnsi="Arial"/>
                <w:sz w:val="19"/>
                <w:szCs w:val="19"/>
                <w:color w:val="auto"/>
              </w:rPr>
              <w:t>â€¢</w:t>
            </w:r>
          </w:p>
        </w:tc>
        <w:tc>
          <w:tcPr>
            <w:tcW w:w="10740" w:type="dxa"/>
            <w:vAlign w:val="bottom"/>
            <w:gridSpan w:val="2"/>
          </w:tcPr>
          <w:p>
            <w:pPr>
              <w:ind w:left="160"/>
              <w:spacing w:after="0"/>
              <w:rPr>
                <w:sz w:val="20"/>
                <w:szCs w:val="20"/>
                <w:color w:val="auto"/>
              </w:rPr>
            </w:pPr>
            <w:r>
              <w:rPr>
                <w:rFonts w:ascii="Arial" w:cs="Arial" w:eastAsia="Arial" w:hAnsi="Arial"/>
                <w:sz w:val="19"/>
                <w:szCs w:val="19"/>
                <w:color w:val="auto"/>
                <w:w w:val="87"/>
              </w:rPr>
              <w:t>the holders of a majority in principal amount of the outstanding debt securities of each affected series, voting as one class, must not have given</w:t>
            </w:r>
          </w:p>
        </w:tc>
      </w:tr>
      <w:tr>
        <w:trPr>
          <w:trHeight w:val="235"/>
        </w:trPr>
        <w:tc>
          <w:tcPr>
            <w:tcW w:w="420" w:type="dxa"/>
            <w:vAlign w:val="bottom"/>
          </w:tcPr>
          <w:p>
            <w:pPr>
              <w:spacing w:after="0"/>
              <w:rPr>
                <w:sz w:val="20"/>
                <w:szCs w:val="20"/>
                <w:color w:val="auto"/>
              </w:rPr>
            </w:pPr>
          </w:p>
        </w:tc>
        <w:tc>
          <w:tcPr>
            <w:tcW w:w="10740" w:type="dxa"/>
            <w:vAlign w:val="bottom"/>
            <w:gridSpan w:val="2"/>
          </w:tcPr>
          <w:p>
            <w:pPr>
              <w:ind w:left="160"/>
              <w:spacing w:after="0"/>
              <w:rPr>
                <w:sz w:val="20"/>
                <w:szCs w:val="20"/>
                <w:color w:val="auto"/>
              </w:rPr>
            </w:pPr>
            <w:r>
              <w:rPr>
                <w:rFonts w:ascii="Arial" w:cs="Arial" w:eastAsia="Arial" w:hAnsi="Arial"/>
                <w:sz w:val="19"/>
                <w:szCs w:val="19"/>
                <w:color w:val="auto"/>
              </w:rPr>
              <w:t>directions to the trustee inconsistent with those of the holders referred to above.</w:t>
            </w:r>
          </w:p>
        </w:tc>
      </w:tr>
    </w:tbl>
    <w:p>
      <w:pPr>
        <w:spacing w:after="0" w:line="22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indenture contains a covenant that we will file annually with the trustee a certificate of no default or a certificate specifying any default that exists.</w:t>
      </w:r>
    </w:p>
    <w:p>
      <w:pPr>
        <w:spacing w:after="0" w:line="26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Discharge, Defeasance and Covenant Defeasance</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the ability to eliminate most or all of our obligations on any series of debt securities prior to maturity if we comply with the following provisions:</w:t>
      </w:r>
    </w:p>
    <w:p>
      <w:pPr>
        <w:spacing w:after="0" w:line="272" w:lineRule="exact"/>
        <w:rPr>
          <w:sz w:val="20"/>
          <w:szCs w:val="20"/>
          <w:color w:val="auto"/>
        </w:rPr>
      </w:pPr>
    </w:p>
    <w:p>
      <w:pPr>
        <w:ind w:left="360"/>
        <w:spacing w:after="0"/>
        <w:tabs>
          <w:tab w:leader="none" w:pos="2360" w:val="left"/>
        </w:tabs>
        <w:rPr>
          <w:sz w:val="20"/>
          <w:szCs w:val="20"/>
          <w:color w:val="auto"/>
        </w:rPr>
      </w:pPr>
      <w:r>
        <w:rPr>
          <w:rFonts w:ascii="Arial" w:cs="Arial" w:eastAsia="Arial" w:hAnsi="Arial"/>
          <w:sz w:val="19"/>
          <w:szCs w:val="19"/>
          <w:b w:val="1"/>
          <w:bCs w:val="1"/>
          <w:i w:val="1"/>
          <w:iCs w:val="1"/>
          <w:color w:val="auto"/>
        </w:rPr>
        <w:t>Discharge of Indenture.</w:t>
      </w:r>
      <w:r>
        <w:rPr>
          <w:sz w:val="20"/>
          <w:szCs w:val="20"/>
          <w:color w:val="auto"/>
        </w:rPr>
        <w:tab/>
      </w:r>
      <w:r>
        <w:rPr>
          <w:rFonts w:ascii="Arial" w:cs="Arial" w:eastAsia="Arial" w:hAnsi="Arial"/>
          <w:sz w:val="16"/>
          <w:szCs w:val="16"/>
          <w:color w:val="auto"/>
        </w:rPr>
        <w:t>We may discharge all of our obligations, other than as to transfers and exchanges, under the indenture after we have:</w:t>
      </w:r>
    </w:p>
    <w:p>
      <w:pPr>
        <w:sectPr>
          <w:pgSz w:w="12240" w:h="15840" w:orient="portrait"/>
          <w:cols w:equalWidth="0" w:num="1">
            <w:col w:w="11960"/>
          </w:cols>
          <w:pgMar w:left="120" w:top="0" w:right="160" w:bottom="1440" w:gutter="0" w:footer="0" w:header="0"/>
        </w:sectPr>
      </w:pPr>
    </w:p>
    <w:p>
      <w:pPr>
        <w:spacing w:after="0" w:line="23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paid or caused to be paid the principal of and interest on all of the outstanding debt securities in accordance with their terms;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delivered to the trustee for cancellation all of the outstanding debt securities; or</w:t>
      </w:r>
    </w:p>
    <w:p>
      <w:pPr>
        <w:spacing w:after="0" w:line="26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irrevocably deposited with the trustee cash or, in the case of a series of debt securities payable only in U.S. dollars, U.S. government obligations in trust for the benefit of the holders of any series of debt securities issued under the indenture that have either become due and payable, or are by their terms due and payable, or are scheduled for redemption, within one year, in an amount certified to be sufficient to pay on each date that they become due and payable, the principal of and interest on, and any mandatory sinking fund payments for, those debt securities. However, the deposit of cash or U.S. government obligations for the benefit of holders of a series of debt securities that are due and payable, or are scheduled for redemption, within one year will discharge obligations under the indenture relating only to that series of debt securities.</w:t>
      </w:r>
    </w:p>
    <w:p>
      <w:pPr>
        <w:spacing w:after="0" w:line="167" w:lineRule="exact"/>
        <w:rPr>
          <w:sz w:val="20"/>
          <w:szCs w:val="20"/>
          <w:color w:val="auto"/>
        </w:rPr>
      </w:pPr>
    </w:p>
    <w:p>
      <w:pPr>
        <w:sectPr>
          <w:pgSz w:w="12240" w:h="15840" w:orient="portrait"/>
          <w:cols w:equalWidth="0" w:num="2">
            <w:col w:w="840" w:space="300"/>
            <w:col w:w="10820"/>
          </w:cols>
          <w:pgMar w:left="120" w:top="0" w:right="160" w:bottom="1440" w:gutter="0" w:footer="0" w:header="0"/>
          <w:type w:val="continuous"/>
        </w:sectPr>
      </w:pPr>
    </w:p>
    <w:p>
      <w:pPr>
        <w:ind w:firstLine="371"/>
        <w:spacing w:after="0" w:line="256" w:lineRule="auto"/>
        <w:rPr>
          <w:sz w:val="20"/>
          <w:szCs w:val="20"/>
          <w:color w:val="auto"/>
        </w:rPr>
      </w:pPr>
      <w:r>
        <w:rPr>
          <w:rFonts w:ascii="Arial" w:cs="Arial" w:eastAsia="Arial" w:hAnsi="Arial"/>
          <w:sz w:val="19"/>
          <w:szCs w:val="19"/>
          <w:b w:val="1"/>
          <w:bCs w:val="1"/>
          <w:i w:val="1"/>
          <w:iCs w:val="1"/>
          <w:color w:val="auto"/>
        </w:rPr>
        <w:t xml:space="preserve">Defeasance of a Series of Securities at Any Time. </w:t>
      </w:r>
      <w:r>
        <w:rPr>
          <w:rFonts w:ascii="Arial" w:cs="Arial" w:eastAsia="Arial" w:hAnsi="Arial"/>
          <w:sz w:val="19"/>
          <w:szCs w:val="19"/>
          <w:color w:val="auto"/>
        </w:rPr>
        <w:t>We may also discharge all of our obligations, other than as to transfers and exchanges, under any series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of debt securities at any time, which we refer to as defeasance in this prospectus. We may be released with respect to any outstanding series of debt securities from the obligations imposed by any covenants and elect not to comply with those covenants without creating an event of default. Discharge under those procedures is called covenant defeasance.</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9"/>
          <w:szCs w:val="19"/>
          <w:color w:val="auto"/>
        </w:rPr>
        <w:t>Defeasance or covenant defeasance may be effected only if, among other things:</w:t>
      </w:r>
    </w:p>
    <w:p>
      <w:pPr>
        <w:spacing w:after="0" w:line="238" w:lineRule="exact"/>
        <w:rPr>
          <w:sz w:val="20"/>
          <w:szCs w:val="20"/>
          <w:color w:val="auto"/>
        </w:rPr>
      </w:pPr>
    </w:p>
    <w:p>
      <w:pPr>
        <w:ind w:left="1140" w:right="180" w:hanging="569"/>
        <w:spacing w:after="0" w:line="280" w:lineRule="auto"/>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8"/>
          <w:szCs w:val="18"/>
          <w:color w:val="auto"/>
        </w:rPr>
        <w:t>we irrevocably deposit with the trustee cash or, in the case of debt securities payable only in U. S. dollars, U.S. government obligations, as trust funds in an amount certified to be sufficient to pay on each date that they become due and payable, the principal of and interest on, and any mandatory sinking fund payments for, all outstanding debt securities of the series being defeased; and</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60"/>
          </w:cols>
          <w:pgMar w:left="120" w:top="0" w:right="160" w:bottom="1440" w:gutter="0" w:footer="0" w:header="0"/>
          <w:type w:val="continuous"/>
        </w:sectPr>
      </w:pPr>
    </w:p>
    <w:bookmarkStart w:id="19" w:name="page20"/>
    <w:bookmarkEnd w:id="19"/>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we deliver to the trustee an opinion of counsel to the effect that:</w:t>
      </w:r>
    </w:p>
    <w:p>
      <w:pPr>
        <w:sectPr>
          <w:pgSz w:w="12240" w:h="15840" w:orient="portrait"/>
          <w:cols w:equalWidth="0" w:num="1">
            <w:col w:w="12000"/>
          </w:cols>
          <w:pgMar w:left="120" w:top="0" w:right="120"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41"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â€¢</w:t>
      </w:r>
    </w:p>
    <w:p>
      <w:pPr>
        <w:spacing w:after="0" w:line="200" w:lineRule="exact"/>
        <w:rPr>
          <w:sz w:val="20"/>
          <w:szCs w:val="20"/>
          <w:color w:val="auto"/>
        </w:rPr>
      </w:pPr>
    </w:p>
    <w:p>
      <w:pPr>
        <w:spacing w:after="0" w:line="326" w:lineRule="exact"/>
        <w:rPr>
          <w:sz w:val="20"/>
          <w:szCs w:val="20"/>
          <w:color w:val="auto"/>
        </w:rPr>
      </w:pPr>
    </w:p>
    <w:p>
      <w:pPr>
        <w:ind w:left="1140"/>
        <w:spacing w:after="0"/>
        <w:rPr>
          <w:sz w:val="20"/>
          <w:szCs w:val="20"/>
          <w:color w:val="auto"/>
        </w:rPr>
      </w:pPr>
      <w:r>
        <w:rPr>
          <w:rFonts w:ascii="Arial" w:cs="Arial" w:eastAsia="Arial" w:hAnsi="Arial"/>
          <w:sz w:val="15"/>
          <w:szCs w:val="15"/>
          <w:color w:val="auto"/>
        </w:rPr>
        <w:t>â€¢</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9" w:lineRule="exact"/>
        <w:rPr>
          <w:sz w:val="20"/>
          <w:szCs w:val="20"/>
          <w:color w:val="auto"/>
        </w:rPr>
      </w:pPr>
    </w:p>
    <w:p>
      <w:pPr>
        <w:ind w:right="420"/>
        <w:spacing w:after="0" w:line="268" w:lineRule="auto"/>
        <w:rPr>
          <w:sz w:val="20"/>
          <w:szCs w:val="20"/>
          <w:color w:val="auto"/>
        </w:rPr>
      </w:pPr>
      <w:r>
        <w:rPr>
          <w:rFonts w:ascii="Arial" w:cs="Arial" w:eastAsia="Arial" w:hAnsi="Arial"/>
          <w:sz w:val="19"/>
          <w:szCs w:val="19"/>
          <w:color w:val="auto"/>
        </w:rPr>
        <w:t>the holders of the series of debt securities being defeased will not recognize income, gain or loss for United States federal income tax purposes as a result of the defeasance or covenant defeasance;</w:t>
      </w:r>
    </w:p>
    <w:p>
      <w:pPr>
        <w:spacing w:after="0" w:line="211" w:lineRule="exact"/>
        <w:rPr>
          <w:sz w:val="20"/>
          <w:szCs w:val="20"/>
          <w:color w:val="auto"/>
        </w:rPr>
      </w:pPr>
    </w:p>
    <w:p>
      <w:pPr>
        <w:ind w:right="180"/>
        <w:spacing w:after="0" w:line="268" w:lineRule="auto"/>
        <w:rPr>
          <w:sz w:val="20"/>
          <w:szCs w:val="20"/>
          <w:color w:val="auto"/>
        </w:rPr>
      </w:pPr>
      <w:r>
        <w:rPr>
          <w:rFonts w:ascii="Arial" w:cs="Arial" w:eastAsia="Arial" w:hAnsi="Arial"/>
          <w:sz w:val="19"/>
          <w:szCs w:val="19"/>
          <w:color w:val="auto"/>
        </w:rPr>
        <w:t>the defeasance or covenant defeasance will not otherwise alter those holders' United States federal income tax treatment of principal and interest payments on the series of debt securities being defeased; and</w:t>
      </w:r>
    </w:p>
    <w:p>
      <w:pPr>
        <w:spacing w:after="0" w:line="211" w:lineRule="exact"/>
        <w:rPr>
          <w:sz w:val="20"/>
          <w:szCs w:val="20"/>
          <w:color w:val="auto"/>
        </w:rPr>
      </w:pPr>
    </w:p>
    <w:p>
      <w:pPr>
        <w:ind w:right="320"/>
        <w:spacing w:after="0" w:line="364" w:lineRule="auto"/>
        <w:rPr>
          <w:sz w:val="20"/>
          <w:szCs w:val="20"/>
          <w:color w:val="auto"/>
        </w:rPr>
      </w:pPr>
      <w:r>
        <w:rPr>
          <w:rFonts w:ascii="Arial" w:cs="Arial" w:eastAsia="Arial" w:hAnsi="Arial"/>
          <w:sz w:val="16"/>
          <w:szCs w:val="16"/>
          <w:color w:val="auto"/>
        </w:rPr>
        <w:t>in the case of a defeasance, this opinion must be based on a ruling of the Internal Revenue Service or a change in United States federal income tax law occurring after the date of this prospectus, since that result would not occur under current tax law.</w:t>
      </w:r>
    </w:p>
    <w:p>
      <w:pPr>
        <w:spacing w:after="0" w:line="122" w:lineRule="exact"/>
        <w:rPr>
          <w:sz w:val="20"/>
          <w:szCs w:val="20"/>
          <w:color w:val="auto"/>
        </w:rPr>
      </w:pPr>
    </w:p>
    <w:p>
      <w:pPr>
        <w:sectPr>
          <w:pgSz w:w="12240" w:h="15840" w:orient="portrait"/>
          <w:cols w:equalWidth="0" w:num="2">
            <w:col w:w="1400" w:space="300"/>
            <w:col w:w="10300"/>
          </w:cols>
          <w:pgMar w:left="120" w:top="0" w:right="120" w:bottom="1440" w:gutter="0" w:footer="0" w:header="0"/>
          <w:type w:val="continuous"/>
        </w:sectPr>
      </w:pPr>
    </w:p>
    <w:p>
      <w:pPr>
        <w:spacing w:after="0"/>
        <w:rPr>
          <w:sz w:val="20"/>
          <w:szCs w:val="20"/>
          <w:color w:val="auto"/>
        </w:rPr>
      </w:pPr>
      <w:r>
        <w:rPr>
          <w:rFonts w:ascii="Arial" w:cs="Arial" w:eastAsia="Arial" w:hAnsi="Arial"/>
          <w:sz w:val="19"/>
          <w:szCs w:val="19"/>
          <w:b w:val="1"/>
          <w:bCs w:val="1"/>
          <w:color w:val="auto"/>
        </w:rPr>
        <w:t>Modification of the Indenture</w:t>
      </w:r>
    </w:p>
    <w:p>
      <w:pPr>
        <w:spacing w:after="0" w:line="242" w:lineRule="exact"/>
        <w:rPr>
          <w:sz w:val="20"/>
          <w:szCs w:val="20"/>
          <w:color w:val="auto"/>
        </w:rPr>
      </w:pPr>
    </w:p>
    <w:p>
      <w:pPr>
        <w:ind w:right="40" w:firstLine="371"/>
        <w:spacing w:after="0" w:line="268" w:lineRule="auto"/>
        <w:rPr>
          <w:sz w:val="20"/>
          <w:szCs w:val="20"/>
          <w:color w:val="auto"/>
        </w:rPr>
      </w:pPr>
      <w:r>
        <w:rPr>
          <w:rFonts w:ascii="Arial" w:cs="Arial" w:eastAsia="Arial" w:hAnsi="Arial"/>
          <w:sz w:val="19"/>
          <w:szCs w:val="19"/>
          <w:b w:val="1"/>
          <w:bCs w:val="1"/>
          <w:i w:val="1"/>
          <w:iCs w:val="1"/>
          <w:color w:val="auto"/>
        </w:rPr>
        <w:t xml:space="preserve">Modification without Consent of Holders. </w:t>
      </w:r>
      <w:r>
        <w:rPr>
          <w:rFonts w:ascii="Arial" w:cs="Arial" w:eastAsia="Arial" w:hAnsi="Arial"/>
          <w:sz w:val="19"/>
          <w:szCs w:val="19"/>
          <w:color w:val="auto"/>
        </w:rPr>
        <w:t>We and the trustee may enter into supplemental indentures without the consent of the holders of debt securities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issued under the indenture to:</w:t>
      </w:r>
    </w:p>
    <w:p>
      <w:pPr>
        <w:sectPr>
          <w:pgSz w:w="12240" w:h="15840" w:orient="portrait"/>
          <w:cols w:equalWidth="0" w:num="1">
            <w:col w:w="12000"/>
          </w:cols>
          <w:pgMar w:left="120" w:top="0" w:right="120" w:bottom="1440" w:gutter="0" w:footer="0" w:header="0"/>
          <w:type w:val="continuous"/>
        </w:sectPr>
      </w:pPr>
    </w:p>
    <w:p>
      <w:pPr>
        <w:spacing w:after="0" w:line="19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color w:val="auto"/>
        </w:rPr>
        <w:t>secure any debt securities;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evidence the assumption by a successor corporation of our obligations;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add covenants for the protection of the holders of debt securities;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cure any ambiguity or correct any inconsistency;</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establish the forms or terms of debt securities of any series;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evidence the acceptance of appointment by a successor trustee; or</w:t>
      </w:r>
    </w:p>
    <w:p>
      <w:pPr>
        <w:spacing w:after="0" w:line="266" w:lineRule="exact"/>
        <w:rPr>
          <w:sz w:val="20"/>
          <w:szCs w:val="20"/>
          <w:color w:val="auto"/>
        </w:rPr>
      </w:pPr>
    </w:p>
    <w:p>
      <w:pPr>
        <w:ind w:right="100"/>
        <w:spacing w:after="0" w:line="364" w:lineRule="auto"/>
        <w:rPr>
          <w:sz w:val="20"/>
          <w:szCs w:val="20"/>
          <w:color w:val="auto"/>
        </w:rPr>
      </w:pPr>
      <w:r>
        <w:rPr>
          <w:rFonts w:ascii="Arial" w:cs="Arial" w:eastAsia="Arial" w:hAnsi="Arial"/>
          <w:sz w:val="16"/>
          <w:szCs w:val="16"/>
          <w:color w:val="auto"/>
        </w:rPr>
        <w:t>make such other provisions in regard to matters or questions arising under the indenture or under any supplemental indenture as the board of directors may deem necessary or desirable and which shall not adversely affect the rights of the holders of debt securities in any material respect.</w:t>
      </w:r>
    </w:p>
    <w:p>
      <w:pPr>
        <w:spacing w:after="0" w:line="126"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ind w:right="80" w:firstLine="371"/>
        <w:spacing w:after="0" w:line="275" w:lineRule="auto"/>
        <w:rPr>
          <w:sz w:val="20"/>
          <w:szCs w:val="20"/>
          <w:color w:val="auto"/>
        </w:rPr>
      </w:pPr>
      <w:r>
        <w:rPr>
          <w:rFonts w:ascii="Arial" w:cs="Arial" w:eastAsia="Arial" w:hAnsi="Arial"/>
          <w:sz w:val="18"/>
          <w:szCs w:val="18"/>
          <w:b w:val="1"/>
          <w:bCs w:val="1"/>
          <w:i w:val="1"/>
          <w:iCs w:val="1"/>
          <w:color w:val="auto"/>
        </w:rPr>
        <w:t xml:space="preserve">Modification with Consent of Holders. </w:t>
      </w:r>
      <w:r>
        <w:rPr>
          <w:rFonts w:ascii="Arial" w:cs="Arial" w:eastAsia="Arial" w:hAnsi="Arial"/>
          <w:sz w:val="18"/>
          <w:szCs w:val="18"/>
          <w:color w:val="auto"/>
        </w:rPr>
        <w:t>We and the trustee, with the consent of the holders of not less than a majority in aggregate principal amount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affected series of outstanding debt securities, voting as one class, may add any provisions to, or change in any manner or eliminate any of the provisions of, the indenture or modify in any manner the rights of the holders of those debt securities. However, we and the trustee may not make any of the following changes to any outstanding debt security without the consent of each holder that would be affected by the change: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980" w:type="dxa"/>
            <w:vAlign w:val="bottom"/>
          </w:tcPr>
          <w:p>
            <w:pPr>
              <w:ind w:left="560"/>
              <w:spacing w:after="0"/>
              <w:rPr>
                <w:sz w:val="20"/>
                <w:szCs w:val="20"/>
                <w:color w:val="auto"/>
              </w:rPr>
            </w:pPr>
            <w:r>
              <w:rPr>
                <w:rFonts w:ascii="Arial" w:cs="Arial" w:eastAsia="Arial" w:hAnsi="Arial"/>
                <w:sz w:val="19"/>
                <w:szCs w:val="19"/>
                <w:color w:val="auto"/>
              </w:rPr>
              <w:t>â€¢</w:t>
            </w:r>
          </w:p>
        </w:tc>
        <w:tc>
          <w:tcPr>
            <w:tcW w:w="11020" w:type="dxa"/>
            <w:vAlign w:val="bottom"/>
          </w:tcPr>
          <w:p>
            <w:pPr>
              <w:ind w:left="160"/>
              <w:spacing w:after="0"/>
              <w:rPr>
                <w:sz w:val="20"/>
                <w:szCs w:val="20"/>
                <w:color w:val="auto"/>
              </w:rPr>
            </w:pPr>
            <w:r>
              <w:rPr>
                <w:rFonts w:ascii="Arial" w:cs="Arial" w:eastAsia="Arial" w:hAnsi="Arial"/>
                <w:sz w:val="19"/>
                <w:szCs w:val="19"/>
                <w:color w:val="auto"/>
              </w:rPr>
              <w:t>extend the final maturity of the security;</w:t>
            </w:r>
          </w:p>
        </w:tc>
      </w:tr>
      <w:tr>
        <w:trPr>
          <w:trHeight w:val="471"/>
        </w:trPr>
        <w:tc>
          <w:tcPr>
            <w:tcW w:w="980" w:type="dxa"/>
            <w:vAlign w:val="bottom"/>
          </w:tcPr>
          <w:p>
            <w:pPr>
              <w:ind w:left="560"/>
              <w:spacing w:after="0"/>
              <w:rPr>
                <w:sz w:val="20"/>
                <w:szCs w:val="20"/>
                <w:color w:val="auto"/>
              </w:rPr>
            </w:pPr>
            <w:r>
              <w:rPr>
                <w:rFonts w:ascii="Arial" w:cs="Arial" w:eastAsia="Arial" w:hAnsi="Arial"/>
                <w:sz w:val="19"/>
                <w:szCs w:val="19"/>
                <w:color w:val="auto"/>
              </w:rPr>
              <w:t>â€¢</w:t>
            </w:r>
          </w:p>
        </w:tc>
        <w:tc>
          <w:tcPr>
            <w:tcW w:w="11020" w:type="dxa"/>
            <w:vAlign w:val="bottom"/>
          </w:tcPr>
          <w:p>
            <w:pPr>
              <w:ind w:left="160"/>
              <w:spacing w:after="0"/>
              <w:rPr>
                <w:sz w:val="20"/>
                <w:szCs w:val="20"/>
                <w:color w:val="auto"/>
              </w:rPr>
            </w:pPr>
            <w:r>
              <w:rPr>
                <w:rFonts w:ascii="Arial" w:cs="Arial" w:eastAsia="Arial" w:hAnsi="Arial"/>
                <w:sz w:val="19"/>
                <w:szCs w:val="19"/>
                <w:color w:val="auto"/>
              </w:rPr>
              <w:t>reduce the principal amount;</w:t>
            </w:r>
          </w:p>
        </w:tc>
      </w:tr>
      <w:tr>
        <w:trPr>
          <w:trHeight w:val="485"/>
        </w:trPr>
        <w:tc>
          <w:tcPr>
            <w:tcW w:w="980" w:type="dxa"/>
            <w:vAlign w:val="bottom"/>
          </w:tcPr>
          <w:p>
            <w:pPr>
              <w:ind w:left="560"/>
              <w:spacing w:after="0"/>
              <w:rPr>
                <w:sz w:val="20"/>
                <w:szCs w:val="20"/>
                <w:color w:val="auto"/>
              </w:rPr>
            </w:pPr>
            <w:r>
              <w:rPr>
                <w:rFonts w:ascii="Arial" w:cs="Arial" w:eastAsia="Arial" w:hAnsi="Arial"/>
                <w:sz w:val="19"/>
                <w:szCs w:val="19"/>
                <w:color w:val="auto"/>
              </w:rPr>
              <w:t>â€¢</w:t>
            </w:r>
          </w:p>
        </w:tc>
        <w:tc>
          <w:tcPr>
            <w:tcW w:w="11020" w:type="dxa"/>
            <w:vAlign w:val="bottom"/>
          </w:tcPr>
          <w:p>
            <w:pPr>
              <w:ind w:left="160"/>
              <w:spacing w:after="0"/>
              <w:rPr>
                <w:sz w:val="20"/>
                <w:szCs w:val="20"/>
                <w:color w:val="auto"/>
              </w:rPr>
            </w:pPr>
            <w:r>
              <w:rPr>
                <w:rFonts w:ascii="Arial" w:cs="Arial" w:eastAsia="Arial" w:hAnsi="Arial"/>
                <w:sz w:val="19"/>
                <w:szCs w:val="19"/>
                <w:color w:val="auto"/>
              </w:rPr>
              <w:t>reduce the rate or extend the time of payment of interest;</w:t>
            </w:r>
          </w:p>
        </w:tc>
      </w:tr>
      <w:tr>
        <w:trPr>
          <w:trHeight w:val="471"/>
        </w:trPr>
        <w:tc>
          <w:tcPr>
            <w:tcW w:w="980" w:type="dxa"/>
            <w:vAlign w:val="bottom"/>
          </w:tcPr>
          <w:p>
            <w:pPr>
              <w:ind w:left="560"/>
              <w:spacing w:after="0"/>
              <w:rPr>
                <w:sz w:val="20"/>
                <w:szCs w:val="20"/>
                <w:color w:val="auto"/>
              </w:rPr>
            </w:pPr>
            <w:r>
              <w:rPr>
                <w:rFonts w:ascii="Arial" w:cs="Arial" w:eastAsia="Arial" w:hAnsi="Arial"/>
                <w:sz w:val="19"/>
                <w:szCs w:val="19"/>
                <w:color w:val="auto"/>
              </w:rPr>
              <w:t>â€¢</w:t>
            </w:r>
          </w:p>
        </w:tc>
        <w:tc>
          <w:tcPr>
            <w:tcW w:w="11020" w:type="dxa"/>
            <w:vAlign w:val="bottom"/>
          </w:tcPr>
          <w:p>
            <w:pPr>
              <w:ind w:left="160"/>
              <w:spacing w:after="0"/>
              <w:rPr>
                <w:sz w:val="20"/>
                <w:szCs w:val="20"/>
                <w:color w:val="auto"/>
              </w:rPr>
            </w:pPr>
            <w:r>
              <w:rPr>
                <w:rFonts w:ascii="Arial" w:cs="Arial" w:eastAsia="Arial" w:hAnsi="Arial"/>
                <w:sz w:val="19"/>
                <w:szCs w:val="19"/>
                <w:color w:val="auto"/>
              </w:rPr>
              <w:t>reduce any amount payable on redemption;</w:t>
            </w:r>
          </w:p>
        </w:tc>
      </w:tr>
      <w:tr>
        <w:trPr>
          <w:trHeight w:val="485"/>
        </w:trPr>
        <w:tc>
          <w:tcPr>
            <w:tcW w:w="980" w:type="dxa"/>
            <w:vAlign w:val="bottom"/>
          </w:tcPr>
          <w:p>
            <w:pPr>
              <w:ind w:left="560"/>
              <w:spacing w:after="0"/>
              <w:rPr>
                <w:sz w:val="20"/>
                <w:szCs w:val="20"/>
                <w:color w:val="auto"/>
              </w:rPr>
            </w:pPr>
            <w:r>
              <w:rPr>
                <w:rFonts w:ascii="Arial" w:cs="Arial" w:eastAsia="Arial" w:hAnsi="Arial"/>
                <w:sz w:val="19"/>
                <w:szCs w:val="19"/>
                <w:color w:val="auto"/>
              </w:rPr>
              <w:t>â€¢</w:t>
            </w:r>
          </w:p>
        </w:tc>
        <w:tc>
          <w:tcPr>
            <w:tcW w:w="11020" w:type="dxa"/>
            <w:vAlign w:val="bottom"/>
          </w:tcPr>
          <w:p>
            <w:pPr>
              <w:ind w:left="160"/>
              <w:spacing w:after="0"/>
              <w:rPr>
                <w:sz w:val="20"/>
                <w:szCs w:val="20"/>
                <w:color w:val="auto"/>
              </w:rPr>
            </w:pPr>
            <w:r>
              <w:rPr>
                <w:rFonts w:ascii="Arial" w:cs="Arial" w:eastAsia="Arial" w:hAnsi="Arial"/>
                <w:sz w:val="19"/>
                <w:szCs w:val="19"/>
                <w:color w:val="auto"/>
                <w:w w:val="93"/>
              </w:rPr>
              <w:t>change the currency in which the principal, including any amount of original issue discount, premium or interest on the security is payable;</w:t>
            </w:r>
          </w:p>
        </w:tc>
      </w:tr>
      <w:tr>
        <w:trPr>
          <w:trHeight w:val="471"/>
        </w:trPr>
        <w:tc>
          <w:tcPr>
            <w:tcW w:w="980" w:type="dxa"/>
            <w:vAlign w:val="bottom"/>
          </w:tcPr>
          <w:p>
            <w:pPr>
              <w:ind w:left="560"/>
              <w:spacing w:after="0"/>
              <w:rPr>
                <w:sz w:val="20"/>
                <w:szCs w:val="20"/>
                <w:color w:val="auto"/>
              </w:rPr>
            </w:pPr>
            <w:r>
              <w:rPr>
                <w:rFonts w:ascii="Arial" w:cs="Arial" w:eastAsia="Arial" w:hAnsi="Arial"/>
                <w:sz w:val="19"/>
                <w:szCs w:val="19"/>
                <w:color w:val="auto"/>
              </w:rPr>
              <w:t>â€¢</w:t>
            </w:r>
          </w:p>
        </w:tc>
        <w:tc>
          <w:tcPr>
            <w:tcW w:w="11020" w:type="dxa"/>
            <w:vAlign w:val="bottom"/>
          </w:tcPr>
          <w:p>
            <w:pPr>
              <w:ind w:left="160"/>
              <w:spacing w:after="0"/>
              <w:rPr>
                <w:sz w:val="20"/>
                <w:szCs w:val="20"/>
                <w:color w:val="auto"/>
              </w:rPr>
            </w:pPr>
            <w:r>
              <w:rPr>
                <w:rFonts w:ascii="Arial" w:cs="Arial" w:eastAsia="Arial" w:hAnsi="Arial"/>
                <w:sz w:val="19"/>
                <w:szCs w:val="19"/>
                <w:color w:val="auto"/>
              </w:rPr>
              <w:t>modify or amend the provisions for conversion of any currency into another currency;</w:t>
            </w:r>
          </w:p>
        </w:tc>
      </w:tr>
      <w:tr>
        <w:trPr>
          <w:trHeight w:val="471"/>
        </w:trPr>
        <w:tc>
          <w:tcPr>
            <w:tcW w:w="980" w:type="dxa"/>
            <w:vAlign w:val="bottom"/>
          </w:tcPr>
          <w:p>
            <w:pPr>
              <w:ind w:left="560"/>
              <w:spacing w:after="0"/>
              <w:rPr>
                <w:sz w:val="20"/>
                <w:szCs w:val="20"/>
                <w:color w:val="auto"/>
              </w:rPr>
            </w:pPr>
            <w:r>
              <w:rPr>
                <w:rFonts w:ascii="Arial" w:cs="Arial" w:eastAsia="Arial" w:hAnsi="Arial"/>
                <w:sz w:val="19"/>
                <w:szCs w:val="19"/>
                <w:color w:val="auto"/>
              </w:rPr>
              <w:t>â€¢</w:t>
            </w:r>
          </w:p>
        </w:tc>
        <w:tc>
          <w:tcPr>
            <w:tcW w:w="11020" w:type="dxa"/>
            <w:vAlign w:val="bottom"/>
          </w:tcPr>
          <w:p>
            <w:pPr>
              <w:ind w:left="160"/>
              <w:spacing w:after="0"/>
              <w:rPr>
                <w:sz w:val="20"/>
                <w:szCs w:val="20"/>
                <w:color w:val="auto"/>
              </w:rPr>
            </w:pPr>
            <w:r>
              <w:rPr>
                <w:rFonts w:ascii="Arial" w:cs="Arial" w:eastAsia="Arial" w:hAnsi="Arial"/>
                <w:sz w:val="19"/>
                <w:szCs w:val="19"/>
                <w:color w:val="auto"/>
              </w:rPr>
              <w:t>reduce the amount of any original issue discount security payable upon acceleration or provable in bankruptcy;</w:t>
            </w:r>
          </w:p>
        </w:tc>
      </w:tr>
      <w:tr>
        <w:trPr>
          <w:trHeight w:val="456"/>
        </w:trPr>
        <w:tc>
          <w:tcPr>
            <w:tcW w:w="980" w:type="dxa"/>
            <w:vAlign w:val="bottom"/>
          </w:tcPr>
          <w:p>
            <w:pPr>
              <w:spacing w:after="0"/>
              <w:rPr>
                <w:sz w:val="24"/>
                <w:szCs w:val="24"/>
                <w:color w:val="auto"/>
              </w:rPr>
            </w:pPr>
          </w:p>
        </w:tc>
        <w:tc>
          <w:tcPr>
            <w:tcW w:w="11020" w:type="dxa"/>
            <w:vAlign w:val="bottom"/>
          </w:tcPr>
          <w:p>
            <w:pPr>
              <w:ind w:left="4920"/>
              <w:spacing w:after="0"/>
              <w:rPr>
                <w:sz w:val="20"/>
                <w:szCs w:val="20"/>
                <w:color w:val="auto"/>
              </w:rPr>
            </w:pPr>
            <w:r>
              <w:rPr>
                <w:rFonts w:ascii="Arial" w:cs="Arial" w:eastAsia="Arial" w:hAnsi="Arial"/>
                <w:sz w:val="19"/>
                <w:szCs w:val="19"/>
                <w:color w:val="auto"/>
              </w:rPr>
              <w:t>16</w:t>
            </w:r>
          </w:p>
        </w:tc>
      </w:tr>
      <w:tr>
        <w:trPr>
          <w:trHeight w:val="243"/>
        </w:trPr>
        <w:tc>
          <w:tcPr>
            <w:tcW w:w="980" w:type="dxa"/>
            <w:vAlign w:val="bottom"/>
            <w:tcBorders>
              <w:bottom w:val="single" w:sz="8" w:color="808080"/>
            </w:tcBorders>
          </w:tcPr>
          <w:p>
            <w:pPr>
              <w:spacing w:after="0"/>
              <w:rPr>
                <w:sz w:val="21"/>
                <w:szCs w:val="21"/>
                <w:color w:val="auto"/>
              </w:rPr>
            </w:pPr>
          </w:p>
        </w:tc>
        <w:tc>
          <w:tcPr>
            <w:tcW w:w="11020" w:type="dxa"/>
            <w:vAlign w:val="bottom"/>
            <w:tcBorders>
              <w:bottom w:val="single" w:sz="8" w:color="808080"/>
            </w:tcBorders>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7610475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127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20" w:name="page21"/>
    <w:bookmarkEnd w:id="20"/>
    <w:p>
      <w:pPr>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ectPr>
          <w:pgSz w:w="12240" w:h="15840" w:orient="portrait"/>
          <w:cols w:equalWidth="0" w:num="1">
            <w:col w:w="11980"/>
          </w:cols>
          <w:pgMar w:left="120" w:top="0" w:right="140" w:bottom="1440" w:gutter="0" w:footer="0" w:header="0"/>
        </w:sectPr>
      </w:pPr>
    </w:p>
    <w:p>
      <w:pPr>
        <w:spacing w:after="0" w:line="2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7" w:lineRule="exact"/>
        <w:rPr>
          <w:sz w:val="20"/>
          <w:szCs w:val="20"/>
          <w:color w:val="auto"/>
        </w:rPr>
      </w:pPr>
    </w:p>
    <w:p>
      <w:pPr>
        <w:ind w:right="160"/>
        <w:spacing w:after="0" w:line="364" w:lineRule="auto"/>
        <w:rPr>
          <w:sz w:val="20"/>
          <w:szCs w:val="20"/>
          <w:color w:val="auto"/>
        </w:rPr>
      </w:pPr>
      <w:r>
        <w:rPr>
          <w:rFonts w:ascii="Arial" w:cs="Arial" w:eastAsia="Arial" w:hAnsi="Arial"/>
          <w:sz w:val="16"/>
          <w:szCs w:val="16"/>
          <w:color w:val="auto"/>
        </w:rPr>
        <w:t>alter the terms on which holders of the debt securities may convert or exchange debt securities for common shares or other securities, other than in accordance with the antidilution provisions or other similar adjustment provisions included in the terms of the debt securities;</w:t>
      </w:r>
    </w:p>
    <w:p>
      <w:pPr>
        <w:spacing w:after="0" w:line="155" w:lineRule="exact"/>
        <w:rPr>
          <w:sz w:val="20"/>
          <w:szCs w:val="20"/>
          <w:color w:val="auto"/>
        </w:rPr>
      </w:pPr>
    </w:p>
    <w:p>
      <w:pPr>
        <w:spacing w:after="0"/>
        <w:rPr>
          <w:sz w:val="20"/>
          <w:szCs w:val="20"/>
          <w:color w:val="auto"/>
        </w:rPr>
      </w:pPr>
      <w:r>
        <w:rPr>
          <w:rFonts w:ascii="Arial" w:cs="Arial" w:eastAsia="Arial" w:hAnsi="Arial"/>
          <w:sz w:val="19"/>
          <w:szCs w:val="19"/>
          <w:color w:val="auto"/>
        </w:rPr>
        <w:t>impair the right of any holder to institute suit for the enforcement of any payment on any debt security when due; or</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reduce the percentage of debt securities the consent of whose holders is required for modification of the indenture.</w:t>
      </w:r>
    </w:p>
    <w:p>
      <w:pPr>
        <w:spacing w:after="0" w:line="200"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Form of Debt Security</w:t>
      </w:r>
    </w:p>
    <w:p>
      <w:pPr>
        <w:spacing w:after="0" w:line="242" w:lineRule="exact"/>
        <w:rPr>
          <w:sz w:val="20"/>
          <w:szCs w:val="20"/>
          <w:color w:val="auto"/>
        </w:rPr>
      </w:pPr>
    </w:p>
    <w:p>
      <w:pPr>
        <w:ind w:firstLine="371"/>
        <w:spacing w:after="0" w:line="297" w:lineRule="auto"/>
        <w:rPr>
          <w:sz w:val="20"/>
          <w:szCs w:val="20"/>
          <w:color w:val="auto"/>
        </w:rPr>
      </w:pPr>
      <w:r>
        <w:rPr>
          <w:rFonts w:ascii="Arial" w:cs="Arial" w:eastAsia="Arial" w:hAnsi="Arial"/>
          <w:sz w:val="18"/>
          <w:szCs w:val="18"/>
          <w:color w:val="auto"/>
        </w:rPr>
        <w:t>Each debt security will be represented either by a certificate issued in definitive form to a particular investor or by one or more global securities representing the entire issuance of securities. Both certificated securities in definitive form and global securities may be issued either:</w:t>
      </w:r>
    </w:p>
    <w:p>
      <w:pPr>
        <w:spacing w:after="0" w:line="17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in registered form, where our obligation runs to the holder of the security named on the face of the security; or</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in bearer form, where our obligation runs to the bearer of the security.</w:t>
      </w:r>
    </w:p>
    <w:p>
      <w:pPr>
        <w:spacing w:after="0" w:line="266" w:lineRule="exact"/>
        <w:rPr>
          <w:sz w:val="20"/>
          <w:szCs w:val="20"/>
          <w:color w:val="auto"/>
        </w:rPr>
      </w:pPr>
    </w:p>
    <w:p>
      <w:pPr>
        <w:jc w:val="both"/>
        <w:ind w:right="120" w:firstLine="371"/>
        <w:spacing w:after="0" w:line="259" w:lineRule="auto"/>
        <w:rPr>
          <w:sz w:val="20"/>
          <w:szCs w:val="20"/>
          <w:color w:val="auto"/>
        </w:rPr>
      </w:pPr>
      <w:r>
        <w:rPr>
          <w:rFonts w:ascii="Arial" w:cs="Arial" w:eastAsia="Arial" w:hAnsi="Arial"/>
          <w:sz w:val="19"/>
          <w:szCs w:val="19"/>
          <w:color w:val="auto"/>
        </w:rPr>
        <w:t>Definitive securities name you or your nominee as the owner of the security, other than definitive bearer securities, which name the bearer as owner, and in order to transfer or exchange these securities or to receive payments other than interest or other interim payments, you or your nominee must physically deliver the securities to the trustee, registrar, paying agent or other agent, as applicable.</w:t>
      </w:r>
    </w:p>
    <w:p>
      <w:pPr>
        <w:spacing w:after="0" w:line="205" w:lineRule="exact"/>
        <w:rPr>
          <w:sz w:val="20"/>
          <w:szCs w:val="20"/>
          <w:color w:val="auto"/>
        </w:rPr>
      </w:pPr>
    </w:p>
    <w:p>
      <w:pPr>
        <w:ind w:right="400" w:firstLine="371"/>
        <w:spacing w:after="0" w:line="331" w:lineRule="auto"/>
        <w:rPr>
          <w:sz w:val="20"/>
          <w:szCs w:val="20"/>
          <w:color w:val="auto"/>
        </w:rPr>
      </w:pPr>
      <w:r>
        <w:rPr>
          <w:rFonts w:ascii="Arial" w:cs="Arial" w:eastAsia="Arial" w:hAnsi="Arial"/>
          <w:sz w:val="16"/>
          <w:szCs w:val="16"/>
          <w:color w:val="auto"/>
        </w:rPr>
        <w:t>Global securities name a depositary or its nominee as the owner of the debt securities represented by these global securities, other than global bearer securities, which name the bearer as owner. The depositary maintains a computerized system that will reflect each investor's beneficial ownership of the securities through an account maintained by the investor with its broker/dealer, bank, trust company or other representative, as we explain more fully below.</w:t>
      </w: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Global Securities</w:t>
      </w:r>
    </w:p>
    <w:p>
      <w:pPr>
        <w:spacing w:after="0" w:line="242" w:lineRule="exact"/>
        <w:rPr>
          <w:sz w:val="20"/>
          <w:szCs w:val="20"/>
          <w:color w:val="auto"/>
        </w:rPr>
      </w:pPr>
    </w:p>
    <w:p>
      <w:pPr>
        <w:ind w:firstLine="371"/>
        <w:spacing w:after="0" w:line="269" w:lineRule="auto"/>
        <w:rPr>
          <w:sz w:val="20"/>
          <w:szCs w:val="20"/>
          <w:color w:val="auto"/>
        </w:rPr>
      </w:pPr>
      <w:r>
        <w:rPr>
          <w:rFonts w:ascii="Arial" w:cs="Arial" w:eastAsia="Arial" w:hAnsi="Arial"/>
          <w:sz w:val="18"/>
          <w:szCs w:val="18"/>
          <w:b w:val="1"/>
          <w:bCs w:val="1"/>
          <w:i w:val="1"/>
          <w:iCs w:val="1"/>
          <w:color w:val="auto"/>
        </w:rPr>
        <w:t xml:space="preserve">Registered Global Securities. </w:t>
      </w:r>
      <w:r>
        <w:rPr>
          <w:rFonts w:ascii="Arial" w:cs="Arial" w:eastAsia="Arial" w:hAnsi="Arial"/>
          <w:sz w:val="18"/>
          <w:szCs w:val="18"/>
          <w:color w:val="auto"/>
        </w:rPr>
        <w:t>We may issue the debt securities in the form of one or more fully registered global securities that will be deposited with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depositary or its nominee identified in the applicable prospectus supplement and registered in the name of that depositary or nominee. In those cases, one or more registered global securities will be issued in a denomination or aggregate denominations equal to the portion of the aggregate principal or face amount of the securities to be represented by registered global securities. Unless and until it is exchanged in whole for securities in definitive registered form, a registered global security may not be transferred except as a whole by and among the depositary for the registered global security, the nominees of the depositary or any successors of the depositary or those nominees. If not described below, any specific terms of the depositary arrangement with respect to any securities to be represented by a registered global security will be described in the prospectus supplement relating to those securities. We anticipate that the following provisions will apply to all depositary arrangements: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type w:val="continuous"/>
        </w:sectPr>
      </w:pPr>
    </w:p>
    <w:bookmarkStart w:id="21" w:name="page22"/>
    <w:bookmarkEnd w:id="21"/>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100" w:firstLine="371"/>
        <w:spacing w:after="0" w:line="268" w:lineRule="auto"/>
        <w:rPr>
          <w:sz w:val="20"/>
          <w:szCs w:val="20"/>
          <w:color w:val="auto"/>
        </w:rPr>
      </w:pPr>
      <w:r>
        <w:rPr>
          <w:rFonts w:ascii="Arial" w:cs="Arial" w:eastAsia="Arial" w:hAnsi="Arial"/>
          <w:sz w:val="18"/>
          <w:szCs w:val="18"/>
          <w:color w:val="auto"/>
        </w:rPr>
        <w:t>Ownership of beneficial interests in a registered global security will be limited to persons, called participants, that have accounts with the depositary or persons that may hold interests through participants. Upon the issuance of a registered global security, the depositary will credit, on its book-entry registration and transfer system, the participants' accounts with the respective principal or face amounts of the securities beneficially owned by the participants. Any dealers, underwriters or selling agents participating in the distribution of the securities will designate the accounts to be credited. Ownership of beneficial interests in a registered global security will be shown on, and the transfer of ownership interests will be effected only through, records maintained by the depositary, with respect to interests of participants, and on the records of participants, with respect to interests of persons holding through participants. The laws of some jurisdictions may require that some purchasers of securities take physical delivery of these securities in definitive form. These laws may impair your ability to own, transfer or pledge beneficial interests in registered global securities. So long as the depositary, or its nominee, is the registered owner of a registered global security, that depositary or its nominee, as the case may be, will be considered the sole owner or holder of the securities represented by the registered global security for all purposes under the indenture.</w:t>
      </w:r>
    </w:p>
    <w:p>
      <w:pPr>
        <w:spacing w:after="0" w:line="199" w:lineRule="exact"/>
        <w:rPr>
          <w:sz w:val="20"/>
          <w:szCs w:val="20"/>
          <w:color w:val="auto"/>
        </w:rPr>
      </w:pPr>
    </w:p>
    <w:p>
      <w:pPr>
        <w:ind w:right="120" w:firstLine="371"/>
        <w:spacing w:after="0" w:line="268" w:lineRule="auto"/>
        <w:rPr>
          <w:sz w:val="20"/>
          <w:szCs w:val="20"/>
          <w:color w:val="auto"/>
        </w:rPr>
      </w:pPr>
      <w:r>
        <w:rPr>
          <w:rFonts w:ascii="Arial" w:cs="Arial" w:eastAsia="Arial" w:hAnsi="Arial"/>
          <w:sz w:val="18"/>
          <w:szCs w:val="18"/>
          <w:color w:val="auto"/>
        </w:rPr>
        <w:t>Except as described below, owners of beneficial interests in a registered global security will not be entitled to have the securities represented by the registered global security registered in their names, will not receive or be entitled to receive physical delivery of the securities in definitive form and will not be considered the owners or holders of the securities under the indenture. Accordingly, each person owning a beneficial interest in a registered global security must rely on the procedures of the depositary for that registered global security and, if that person is not a participant, on the procedures of the participant through which the person owns its interest, to exercise any rights of a holder under the indenture. We understand that under existing industry practices, if we request any action of holders or if an owner of a beneficial interest in a registered global security desires to give or take any action that a holder is entitled to give or take under the indenture, the depositary for the registered global security would authorize the participants holding the relevant beneficial interests to give or take that action, and the participants would authorize beneficial owners owning through them to give or take that action or would otherwise act upon the instructions of beneficial owners holding through them.</w:t>
      </w:r>
    </w:p>
    <w:p>
      <w:pPr>
        <w:spacing w:after="0" w:line="202" w:lineRule="exact"/>
        <w:rPr>
          <w:sz w:val="20"/>
          <w:szCs w:val="20"/>
          <w:color w:val="auto"/>
        </w:rPr>
      </w:pPr>
    </w:p>
    <w:p>
      <w:pPr>
        <w:ind w:right="40" w:firstLine="371"/>
        <w:spacing w:after="0" w:line="268" w:lineRule="auto"/>
        <w:rPr>
          <w:sz w:val="20"/>
          <w:szCs w:val="20"/>
          <w:color w:val="auto"/>
        </w:rPr>
      </w:pPr>
      <w:r>
        <w:rPr>
          <w:rFonts w:ascii="Arial" w:cs="Arial" w:eastAsia="Arial" w:hAnsi="Arial"/>
          <w:sz w:val="18"/>
          <w:szCs w:val="18"/>
          <w:color w:val="auto"/>
        </w:rPr>
        <w:t>Principal, premium, if any, and interest payments on debt securities represented by a registered global security registered in the name of a depositary or its nominee will be made to the depositary or its nominee, as the case may be, as the registered owner of the registered global security. None of us, the trustee or any other agent of us or agent of the trustee will have any responsibility or liability for any aspect of the records relating to payments made on account of beneficial ownership interests in the registered global security or for maintaining, supervising or reviewing any records relating to those beneficial ownership interests. We expect that the depositary for any of the securities represented by a registered global security, upon receipt of any payment of principal, premium, interest or other distribution of underlying securities or other property to holders on that registered global security, will immediately credit participants' accounts in amounts proportionate to their respective beneficial interests in that registered global security as shown on the records of the depositary. We also expect that payments by participants to owners of beneficial interests in a registered global security held through participants will be governed by standing customer instructions and customary practices, as is now the case with the securities held for the accounts of customers in bearer form or registered in "street name", and will be the responsibility of those participants.</w:t>
      </w:r>
    </w:p>
    <w:p>
      <w:pPr>
        <w:spacing w:after="0" w:line="199" w:lineRule="exact"/>
        <w:rPr>
          <w:sz w:val="20"/>
          <w:szCs w:val="20"/>
          <w:color w:val="auto"/>
        </w:rPr>
      </w:pPr>
    </w:p>
    <w:p>
      <w:pPr>
        <w:ind w:firstLine="371"/>
        <w:spacing w:after="0" w:line="319" w:lineRule="auto"/>
        <w:rPr>
          <w:sz w:val="20"/>
          <w:szCs w:val="20"/>
          <w:color w:val="auto"/>
        </w:rPr>
      </w:pPr>
      <w:r>
        <w:rPr>
          <w:rFonts w:ascii="Arial" w:cs="Arial" w:eastAsia="Arial" w:hAnsi="Arial"/>
          <w:sz w:val="16"/>
          <w:szCs w:val="16"/>
          <w:color w:val="auto"/>
        </w:rPr>
        <w:t>If the depositary for any of these securities represented by a registered global security is at any time unwilling or unable to continue as depositary or ceases to be a clearing agency registered under the Exchange Act, and a successor depositary registered as a clearing agency under the Exchange Act is not appointed by us within 90 days, we will issue securities in definitive form in exchange for the registered global security that had been held by the depositary. In addition, we may, at any time and in our sole discretion, decide not to have any of the securities represented by one or more registered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2" w:name="page23"/>
    <w:bookmarkEnd w:id="22"/>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40"/>
        <w:spacing w:after="0" w:line="255" w:lineRule="auto"/>
        <w:rPr>
          <w:sz w:val="20"/>
          <w:szCs w:val="20"/>
          <w:color w:val="auto"/>
        </w:rPr>
      </w:pPr>
      <w:r>
        <w:rPr>
          <w:rFonts w:ascii="Arial" w:cs="Arial" w:eastAsia="Arial" w:hAnsi="Arial"/>
          <w:sz w:val="19"/>
          <w:szCs w:val="19"/>
          <w:color w:val="auto"/>
        </w:rPr>
        <w:t>global securities. If we make that decision, we will issue securities in definitive form in exchange for all of the registered global security or securities representing those securities. Any securities issued in definitive form in exchange for a registered global security will be registered in the name or names that the depositary gives to the relevant trustee or other relevant agent of ours or theirs. It is expected that the depositary's instructions will be based upon directions received by the depositary from participants with respect to ownership of beneficial interests in the registered global security that had been held by the depositary.</w:t>
      </w:r>
    </w:p>
    <w:p>
      <w:pPr>
        <w:spacing w:after="0" w:line="208" w:lineRule="exact"/>
        <w:rPr>
          <w:sz w:val="20"/>
          <w:szCs w:val="20"/>
          <w:color w:val="auto"/>
        </w:rPr>
      </w:pPr>
    </w:p>
    <w:p>
      <w:pPr>
        <w:ind w:firstLine="371"/>
        <w:spacing w:after="0" w:line="275" w:lineRule="auto"/>
        <w:rPr>
          <w:sz w:val="20"/>
          <w:szCs w:val="20"/>
          <w:color w:val="auto"/>
        </w:rPr>
      </w:pPr>
      <w:r>
        <w:rPr>
          <w:rFonts w:ascii="Arial" w:cs="Arial" w:eastAsia="Arial" w:hAnsi="Arial"/>
          <w:sz w:val="18"/>
          <w:szCs w:val="18"/>
          <w:b w:val="1"/>
          <w:bCs w:val="1"/>
          <w:i w:val="1"/>
          <w:iCs w:val="1"/>
          <w:color w:val="auto"/>
        </w:rPr>
        <w:t xml:space="preserve">Bearer Global Securities. </w:t>
      </w:r>
      <w:r>
        <w:rPr>
          <w:rFonts w:ascii="Arial" w:cs="Arial" w:eastAsia="Arial" w:hAnsi="Arial"/>
          <w:sz w:val="18"/>
          <w:szCs w:val="18"/>
          <w:color w:val="auto"/>
        </w:rPr>
        <w:t>The securities may also be issued in the form of one or more bearer global securities that will be deposited with a common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depositary for the Euroclear System and Clearstream Banking, </w:t>
      </w:r>
      <w:r>
        <w:rPr>
          <w:rFonts w:ascii="Arial" w:cs="Arial" w:eastAsia="Arial" w:hAnsi="Arial"/>
          <w:sz w:val="18"/>
          <w:szCs w:val="18"/>
          <w:i w:val="1"/>
          <w:iCs w:val="1"/>
          <w:color w:val="auto"/>
        </w:rPr>
        <w:t>sociÃ©tÃ© anonyme</w:t>
      </w:r>
      <w:r>
        <w:rPr>
          <w:rFonts w:ascii="Arial" w:cs="Arial" w:eastAsia="Arial" w:hAnsi="Arial"/>
          <w:sz w:val="18"/>
          <w:szCs w:val="18"/>
          <w:color w:val="auto"/>
        </w:rPr>
        <w:t xml:space="preserve"> or with a nominee for the depositary identified in the prospectus supplement relating to those securities. The specific terms and procedures, including the specific terms of the depositary arrangement, with respect to any securities to be represented by a bearer global security will be described in the prospectus supplement relating to those securities.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New York Law to Govern</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indenture and the debt securities will be governed by the laws of the State of New York.</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DESCRIPTION OF WARRANTS</w:t>
      </w:r>
    </w:p>
    <w:p>
      <w:pPr>
        <w:spacing w:after="0" w:line="242" w:lineRule="exact"/>
        <w:rPr>
          <w:sz w:val="20"/>
          <w:szCs w:val="20"/>
          <w:color w:val="auto"/>
        </w:rPr>
      </w:pPr>
    </w:p>
    <w:p>
      <w:pPr>
        <w:ind w:firstLine="368"/>
        <w:spacing w:after="0" w:line="314" w:lineRule="auto"/>
        <w:rPr>
          <w:sz w:val="20"/>
          <w:szCs w:val="20"/>
          <w:color w:val="auto"/>
        </w:rPr>
      </w:pPr>
      <w:r>
        <w:rPr>
          <w:rFonts w:ascii="Arial" w:cs="Arial" w:eastAsia="Arial" w:hAnsi="Arial"/>
          <w:sz w:val="16"/>
          <w:szCs w:val="16"/>
          <w:color w:val="auto"/>
        </w:rPr>
        <w:t>We may issue warrants to purchase our equity securities or securities of third parties or other rights, including rights to receive payment in cash or securities based on the value, rate or price of one or more specified commodities, currencies, securities or indices, or any combination of the foregoing. Warrants may be issued independently or together with any other securities and may be attached to, or separate from, such securities. A series of warrants may be issued under a separate warrant agreement to be entered into between us and a warrant agent. The terms of any warrants to be issued and a description of the material provisions of any applicable warrant agreement will be set forth in the applicable prospectus supplement.</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applicable prospectus supplement will describe the following terms of any warrants in respect of which this prospectus is being delivered:</w:t>
      </w:r>
    </w:p>
    <w:p>
      <w:pPr>
        <w:sectPr>
          <w:pgSz w:w="12240" w:h="15840" w:orient="portrait"/>
          <w:cols w:equalWidth="0" w:num="1">
            <w:col w:w="11960"/>
          </w:cols>
          <w:pgMar w:left="120" w:top="0" w:right="160" w:bottom="1440" w:gutter="0" w:footer="0" w:header="0"/>
        </w:sect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the title of such warrants;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aggregate number of such warrants;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price or prices at which such warrants will be issued;</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currency or currencies in which the price of such warrants will be payable;</w:t>
      </w:r>
    </w:p>
    <w:p>
      <w:pPr>
        <w:spacing w:after="0" w:line="266" w:lineRule="exact"/>
        <w:rPr>
          <w:sz w:val="20"/>
          <w:szCs w:val="20"/>
          <w:color w:val="auto"/>
        </w:rPr>
      </w:pPr>
    </w:p>
    <w:p>
      <w:pPr>
        <w:ind w:right="260"/>
        <w:spacing w:after="0" w:line="364" w:lineRule="auto"/>
        <w:rPr>
          <w:sz w:val="20"/>
          <w:szCs w:val="20"/>
          <w:color w:val="auto"/>
        </w:rPr>
      </w:pPr>
      <w:r>
        <w:rPr>
          <w:rFonts w:ascii="Arial" w:cs="Arial" w:eastAsia="Arial" w:hAnsi="Arial"/>
          <w:sz w:val="16"/>
          <w:szCs w:val="16"/>
          <w:color w:val="auto"/>
        </w:rPr>
        <w:t>the securities or other rights, including rights to receive payment in cash or securities based on the value, rate or price of one or more specified commodities, currencies, securities or indices, or any combination of the foregoing, purchasable upon exercise of such warrants;</w:t>
      </w:r>
    </w:p>
    <w:p>
      <w:pPr>
        <w:spacing w:after="0" w:line="141" w:lineRule="exact"/>
        <w:rPr>
          <w:sz w:val="20"/>
          <w:szCs w:val="20"/>
          <w:color w:val="auto"/>
        </w:rPr>
      </w:pPr>
    </w:p>
    <w:p>
      <w:pPr>
        <w:ind w:right="540"/>
        <w:spacing w:after="0" w:line="268" w:lineRule="auto"/>
        <w:rPr>
          <w:sz w:val="20"/>
          <w:szCs w:val="20"/>
          <w:color w:val="auto"/>
        </w:rPr>
      </w:pPr>
      <w:r>
        <w:rPr>
          <w:rFonts w:ascii="Arial" w:cs="Arial" w:eastAsia="Arial" w:hAnsi="Arial"/>
          <w:sz w:val="19"/>
          <w:szCs w:val="19"/>
          <w:color w:val="auto"/>
        </w:rPr>
        <w:t>the price at which and the currency or currencies in which the securities or other rights purchasable upon exercise of such warrants may be purchased;</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the date on which the right to exercise such warrants shall commence and the date on which such right shall expire;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the amount of warrants outstanding;</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if applicable, the minimum or maximum amount of such warrants which may be exercised at any one time;</w:t>
      </w:r>
    </w:p>
    <w:p>
      <w:pPr>
        <w:spacing w:after="0" w:line="252" w:lineRule="exact"/>
        <w:rPr>
          <w:sz w:val="20"/>
          <w:szCs w:val="20"/>
          <w:color w:val="auto"/>
        </w:rPr>
      </w:pPr>
    </w:p>
    <w:p>
      <w:pPr>
        <w:ind w:right="220"/>
        <w:spacing w:after="0" w:line="268" w:lineRule="auto"/>
        <w:rPr>
          <w:sz w:val="20"/>
          <w:szCs w:val="20"/>
          <w:color w:val="auto"/>
        </w:rPr>
      </w:pPr>
      <w:r>
        <w:rPr>
          <w:rFonts w:ascii="Arial" w:cs="Arial" w:eastAsia="Arial" w:hAnsi="Arial"/>
          <w:sz w:val="19"/>
          <w:szCs w:val="19"/>
          <w:color w:val="auto"/>
        </w:rPr>
        <w:t>if applicable, the designation and terms of the securities with which such warrants are issued and the number of such warrants issued with each such security;</w:t>
      </w:r>
    </w:p>
    <w:p>
      <w:pPr>
        <w:spacing w:after="0" w:line="197"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-728980</wp:posOffset>
            </wp:positionH>
            <wp:positionV relativeFrom="paragraph">
              <wp:posOffset>155575</wp:posOffset>
            </wp:positionV>
            <wp:extent cx="762889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840" w:space="300"/>
            <w:col w:w="10820"/>
          </w:cols>
          <w:pgMar w:left="120" w:top="0" w:right="160" w:bottom="1440" w:gutter="0" w:footer="0" w:header="0"/>
          <w:type w:val="continuous"/>
        </w:sectPr>
      </w:pPr>
    </w:p>
    <w:bookmarkStart w:id="23" w:name="page24"/>
    <w:bookmarkEnd w:id="23"/>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if applicable, the date on and after which such warrants and the related securities will be separately transferable;</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information with respect to book-entry procedures, if any;</w:t>
      </w:r>
    </w:p>
    <w:p>
      <w:pPr>
        <w:spacing w:after="0" w:line="266"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if applicable, a discussion of any material United States federal income tax considerations; and</w:t>
      </w:r>
    </w:p>
    <w:p>
      <w:pPr>
        <w:spacing w:after="0" w:line="25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any other terms of such warrants, including terms, procedures and limitations relating to the exchange and exercise of such warrants.</w:t>
      </w:r>
    </w:p>
    <w:p>
      <w:pPr>
        <w:spacing w:after="0" w:line="252" w:lineRule="exact"/>
        <w:rPr>
          <w:sz w:val="20"/>
          <w:szCs w:val="20"/>
          <w:color w:val="auto"/>
        </w:rPr>
      </w:pPr>
    </w:p>
    <w:p>
      <w:pPr>
        <w:ind w:right="20" w:firstLine="368"/>
        <w:spacing w:after="0" w:line="319" w:lineRule="auto"/>
        <w:rPr>
          <w:sz w:val="20"/>
          <w:szCs w:val="20"/>
          <w:color w:val="auto"/>
        </w:rPr>
      </w:pPr>
      <w:r>
        <w:rPr>
          <w:rFonts w:ascii="Arial" w:cs="Arial" w:eastAsia="Arial" w:hAnsi="Arial"/>
          <w:sz w:val="16"/>
          <w:szCs w:val="16"/>
          <w:color w:val="auto"/>
        </w:rPr>
        <w:t>The description in the applicable prospectus supplement of any warrants we offer will not necessarily be complete and will be qualified in its entirety by reference to the applicable warrant certificate or warrant agreement, which will be filed with the SEC if we offer warrants. For more information on how you can obtain copies of any warrant certificate or warrant agreement if we offer warrants, see "Where You Can Find Additional Information" beginning on page 4 of this prospectus. We urge you to read the applicable warrant certificate, the applicable warrant agreement and any applicable prospectus supplement in their entirety.</w:t>
      </w:r>
    </w:p>
    <w:p>
      <w:pPr>
        <w:spacing w:after="0" w:line="387" w:lineRule="exact"/>
        <w:rPr>
          <w:sz w:val="20"/>
          <w:szCs w:val="20"/>
          <w:color w:val="auto"/>
        </w:rPr>
      </w:pPr>
    </w:p>
    <w:p>
      <w:pPr>
        <w:jc w:val="center"/>
        <w:ind w:right="40"/>
        <w:spacing w:after="0"/>
        <w:rPr>
          <w:sz w:val="20"/>
          <w:szCs w:val="20"/>
          <w:color w:val="auto"/>
        </w:rPr>
      </w:pPr>
      <w:r>
        <w:rPr>
          <w:rFonts w:ascii="Arial" w:cs="Arial" w:eastAsia="Arial" w:hAnsi="Arial"/>
          <w:sz w:val="19"/>
          <w:szCs w:val="19"/>
          <w:b w:val="1"/>
          <w:bCs w:val="1"/>
          <w:color w:val="auto"/>
        </w:rPr>
        <w:t>DESCRIPTION OF RIGHTS</w:t>
      </w:r>
    </w:p>
    <w:p>
      <w:pPr>
        <w:spacing w:after="0" w:line="242" w:lineRule="exact"/>
        <w:rPr>
          <w:sz w:val="20"/>
          <w:szCs w:val="20"/>
          <w:color w:val="auto"/>
        </w:rPr>
      </w:pPr>
    </w:p>
    <w:p>
      <w:pPr>
        <w:ind w:firstLine="368"/>
        <w:spacing w:after="0" w:line="256" w:lineRule="auto"/>
        <w:rPr>
          <w:sz w:val="20"/>
          <w:szCs w:val="20"/>
          <w:color w:val="auto"/>
        </w:rPr>
      </w:pPr>
      <w:r>
        <w:rPr>
          <w:rFonts w:ascii="Arial" w:cs="Arial" w:eastAsia="Arial" w:hAnsi="Arial"/>
          <w:sz w:val="19"/>
          <w:szCs w:val="19"/>
          <w:color w:val="auto"/>
        </w:rPr>
        <w:t>We may issue rights to purchase our equity securities. These rights may be issued independently or together with any other security offered by this prospectus and may or may not be transferable by the shareholder receiving the rights in the rights offering. In connection with any rights offering, we may enter into a standby underwriting agreement with one or more underwriters pursuant to which the underwriter will purchase any securities that remain unsubscribed for upon completion of the rights offering.</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applicable prospectus supplement relating to any rights will describe the terms of the offered rights, including, where applicable, the following:</w:t>
      </w:r>
    </w:p>
    <w:p>
      <w:pPr>
        <w:sectPr>
          <w:pgSz w:w="12240" w:h="15840" w:orient="portrait"/>
          <w:cols w:equalWidth="0" w:num="1">
            <w:col w:w="12000"/>
          </w:cols>
          <w:pgMar w:left="120" w:top="0" w:right="120" w:bottom="1440" w:gutter="0" w:footer="0" w:header="0"/>
        </w:sectPr>
      </w:pPr>
    </w:p>
    <w:p>
      <w:pPr>
        <w:spacing w:after="0" w:line="2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58" w:lineRule="exact"/>
        <w:rPr>
          <w:sz w:val="20"/>
          <w:szCs w:val="20"/>
          <w:color w:val="auto"/>
        </w:rPr>
      </w:pPr>
    </w:p>
    <w:p>
      <w:pPr>
        <w:spacing w:after="0"/>
        <w:rPr>
          <w:sz w:val="20"/>
          <w:szCs w:val="20"/>
          <w:color w:val="auto"/>
        </w:rPr>
      </w:pPr>
      <w:r>
        <w:rPr>
          <w:rFonts w:ascii="Arial" w:cs="Arial" w:eastAsia="Arial" w:hAnsi="Arial"/>
          <w:sz w:val="19"/>
          <w:szCs w:val="19"/>
          <w:color w:val="auto"/>
        </w:rPr>
        <w:t>the exercise price for the rights;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number of rights issued to each shareholder;</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extent to which the rights are transferable;</w:t>
      </w:r>
    </w:p>
    <w:p>
      <w:pPr>
        <w:spacing w:after="0" w:line="266" w:lineRule="exact"/>
        <w:rPr>
          <w:sz w:val="20"/>
          <w:szCs w:val="20"/>
          <w:color w:val="auto"/>
        </w:rPr>
      </w:pPr>
    </w:p>
    <w:p>
      <w:pPr>
        <w:spacing w:after="0"/>
        <w:rPr>
          <w:sz w:val="20"/>
          <w:szCs w:val="20"/>
          <w:color w:val="auto"/>
        </w:rPr>
      </w:pPr>
      <w:r>
        <w:rPr>
          <w:rFonts w:ascii="Arial" w:cs="Arial" w:eastAsia="Arial" w:hAnsi="Arial"/>
          <w:sz w:val="16"/>
          <w:szCs w:val="16"/>
          <w:color w:val="auto"/>
        </w:rPr>
        <w:t>any other terms of the rights, including terms, procedures and limitations relating to the exchange and exercise of the rights;</w:t>
      </w:r>
    </w:p>
    <w:p>
      <w:pPr>
        <w:spacing w:after="0" w:line="287" w:lineRule="exact"/>
        <w:rPr>
          <w:sz w:val="20"/>
          <w:szCs w:val="20"/>
          <w:color w:val="auto"/>
        </w:rPr>
      </w:pPr>
    </w:p>
    <w:p>
      <w:pPr>
        <w:spacing w:after="0"/>
        <w:rPr>
          <w:sz w:val="20"/>
          <w:szCs w:val="20"/>
          <w:color w:val="auto"/>
        </w:rPr>
      </w:pPr>
      <w:r>
        <w:rPr>
          <w:rFonts w:ascii="Arial" w:cs="Arial" w:eastAsia="Arial" w:hAnsi="Arial"/>
          <w:sz w:val="19"/>
          <w:szCs w:val="19"/>
          <w:color w:val="auto"/>
        </w:rPr>
        <w:t>the date on which the right to exercise the rights will commence and the date on which the right will expire;</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the amount of rights outstanding;</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the extent to which the rights include an over-subscription privilege with respect to unsubscribed securities; and</w:t>
      </w: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the material terms of any standby underwriting arrangement entered into by us in connection with the rights offering.</w:t>
      </w:r>
    </w:p>
    <w:p>
      <w:pPr>
        <w:spacing w:after="0" w:line="200" w:lineRule="exact"/>
        <w:rPr>
          <w:sz w:val="20"/>
          <w:szCs w:val="20"/>
          <w:color w:val="auto"/>
        </w:rPr>
      </w:pPr>
    </w:p>
    <w:p>
      <w:pPr>
        <w:sectPr>
          <w:pgSz w:w="12240" w:h="15840" w:orient="portrait"/>
          <w:cols w:equalWidth="0" w:num="2">
            <w:col w:w="840" w:space="300"/>
            <w:col w:w="10860"/>
          </w:cols>
          <w:pgMar w:left="120" w:top="0" w:right="120" w:bottom="1440" w:gutter="0" w:footer="0" w:header="0"/>
          <w:type w:val="continuous"/>
        </w:sectPr>
      </w:pPr>
    </w:p>
    <w:p>
      <w:pPr>
        <w:spacing w:after="0" w:line="72" w:lineRule="exact"/>
        <w:rPr>
          <w:sz w:val="20"/>
          <w:szCs w:val="20"/>
          <w:color w:val="auto"/>
        </w:rPr>
      </w:pPr>
    </w:p>
    <w:p>
      <w:pPr>
        <w:ind w:right="40" w:firstLine="368"/>
        <w:spacing w:after="0" w:line="319" w:lineRule="auto"/>
        <w:rPr>
          <w:sz w:val="20"/>
          <w:szCs w:val="20"/>
          <w:color w:val="auto"/>
        </w:rPr>
      </w:pPr>
      <w:r>
        <w:rPr>
          <w:rFonts w:ascii="Arial" w:cs="Arial" w:eastAsia="Arial" w:hAnsi="Arial"/>
          <w:sz w:val="16"/>
          <w:szCs w:val="16"/>
          <w:color w:val="auto"/>
        </w:rPr>
        <w:t>The description in the applicable prospectus supplement of any rights we offer will not necessarily be complete and will be qualified in its entirety by reference to the applicable rights certificate or rights agreement, which will be filed with the SEC if we offer rights. For more information on how you can obtain copies of any rights certificate or rights agreement if we offer rights, see "Where You Can Find Additional Information" beginning on page 4 of this prospectus. We urge you to read the applicable rights certificate, the applicable rights agreement and any applicable prospectus supplement in their entirety.</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type w:val="continuous"/>
        </w:sectPr>
      </w:pPr>
    </w:p>
    <w:bookmarkStart w:id="24" w:name="page25"/>
    <w:bookmarkEnd w:id="24"/>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DESCRIPTION OF THE UNITS</w:t>
      </w:r>
    </w:p>
    <w:p>
      <w:pPr>
        <w:spacing w:after="0" w:line="242" w:lineRule="exact"/>
        <w:rPr>
          <w:sz w:val="20"/>
          <w:szCs w:val="20"/>
          <w:color w:val="auto"/>
        </w:rPr>
      </w:pPr>
    </w:p>
    <w:p>
      <w:pPr>
        <w:ind w:right="40" w:firstLine="368"/>
        <w:spacing w:after="0" w:line="256" w:lineRule="auto"/>
        <w:rPr>
          <w:sz w:val="20"/>
          <w:szCs w:val="20"/>
          <w:color w:val="auto"/>
        </w:rPr>
      </w:pPr>
      <w:r>
        <w:rPr>
          <w:rFonts w:ascii="Arial" w:cs="Arial" w:eastAsia="Arial" w:hAnsi="Arial"/>
          <w:sz w:val="19"/>
          <w:szCs w:val="19"/>
          <w:color w:val="auto"/>
        </w:rPr>
        <w:t>We may issue units consisting of any combination of common shares, preference shares, Series A Preference Shares, debt securities, warrants and rights. Each unit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w:t>
      </w:r>
    </w:p>
    <w:p>
      <w:pPr>
        <w:spacing w:after="0" w:line="20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applicable prospectus supplement relating to any series of units will describe the terms of the units, including, where applicable, the following:</w:t>
      </w:r>
    </w:p>
    <w:p>
      <w:pPr>
        <w:sectPr>
          <w:pgSz w:w="12240" w:h="15840" w:orient="portrait"/>
          <w:cols w:equalWidth="0" w:num="1">
            <w:col w:w="11920"/>
          </w:cols>
          <w:pgMar w:left="120" w:top="0" w:right="200" w:bottom="1440" w:gutter="0" w:footer="0" w:header="0"/>
        </w:sect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the designation and terms of the units and of the securities comprising the units, including whether and under what circumstances those securities may be held or transferred separately;</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any provisions of the governing unit agreement; and</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any provisions for the issuance, payment, settlement, transfer, or exchange of the units or of the securities comprising the units.</w:t>
      </w:r>
    </w:p>
    <w:p>
      <w:pPr>
        <w:spacing w:after="0" w:line="200" w:lineRule="exact"/>
        <w:rPr>
          <w:sz w:val="20"/>
          <w:szCs w:val="20"/>
          <w:color w:val="auto"/>
        </w:rPr>
      </w:pPr>
    </w:p>
    <w:p>
      <w:pPr>
        <w:sectPr>
          <w:pgSz w:w="12240" w:h="15840" w:orient="portrait"/>
          <w:cols w:equalWidth="0" w:num="2">
            <w:col w:w="840" w:space="300"/>
            <w:col w:w="10780"/>
          </w:cols>
          <w:pgMar w:left="120" w:top="0" w:right="200" w:bottom="1440" w:gutter="0" w:footer="0" w:header="0"/>
          <w:type w:val="continuous"/>
        </w:sectPr>
      </w:pPr>
    </w:p>
    <w:p>
      <w:pPr>
        <w:spacing w:after="0" w:line="38" w:lineRule="exact"/>
        <w:rPr>
          <w:sz w:val="20"/>
          <w:szCs w:val="20"/>
          <w:color w:val="auto"/>
        </w:rPr>
      </w:pPr>
    </w:p>
    <w:p>
      <w:pPr>
        <w:ind w:right="120" w:firstLine="368"/>
        <w:spacing w:after="0" w:line="319" w:lineRule="auto"/>
        <w:rPr>
          <w:sz w:val="20"/>
          <w:szCs w:val="20"/>
          <w:color w:val="auto"/>
        </w:rPr>
      </w:pPr>
      <w:r>
        <w:rPr>
          <w:rFonts w:ascii="Arial" w:cs="Arial" w:eastAsia="Arial" w:hAnsi="Arial"/>
          <w:sz w:val="16"/>
          <w:szCs w:val="16"/>
          <w:color w:val="auto"/>
        </w:rPr>
        <w:t>The description in the applicable prospectus supplement of any units we offer will not necessarily be complete and will be qualified in its entirety by reference to the applicable unit certificate or unit agreement, which will be filed with the SEC if we offer units. For more information on how you can obtain copies of any unit certificate or unit agreement if we offer units, see "Where You Can Find Additional Information" beginning on page 4 of this prospectus. We urge you to read the applicable unit certificate, the applicable unit agreement and any applicable prospectus supplement in their entirety.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MATERIAL U.S. FEDERAL INCOME TAX CONSIDERATIONS</w:t>
      </w:r>
    </w:p>
    <w:p>
      <w:pPr>
        <w:spacing w:after="0" w:line="242" w:lineRule="exact"/>
        <w:rPr>
          <w:sz w:val="20"/>
          <w:szCs w:val="20"/>
          <w:color w:val="auto"/>
        </w:rPr>
      </w:pPr>
    </w:p>
    <w:p>
      <w:pPr>
        <w:ind w:right="340" w:firstLine="371"/>
        <w:spacing w:after="0" w:line="259" w:lineRule="auto"/>
        <w:rPr>
          <w:sz w:val="20"/>
          <w:szCs w:val="20"/>
          <w:color w:val="auto"/>
        </w:rPr>
      </w:pPr>
      <w:r>
        <w:rPr>
          <w:rFonts w:ascii="Arial" w:cs="Arial" w:eastAsia="Arial" w:hAnsi="Arial"/>
          <w:sz w:val="19"/>
          <w:szCs w:val="19"/>
          <w:color w:val="auto"/>
        </w:rPr>
        <w:t>Our Annual Report filed on Form 20-F provides a discussion of the material U.S. federal income tax considerations that may be relevant to prospective investors in our securities. The applicable prospectus supplement may also contain information about any material U.S. federal income tax considerations relating to the securities covered by such prospectus supplement.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NON-UNITED STATES TAX CONSIDERATIONS</w:t>
      </w:r>
    </w:p>
    <w:p>
      <w:pPr>
        <w:spacing w:after="0" w:line="242" w:lineRule="exact"/>
        <w:rPr>
          <w:sz w:val="20"/>
          <w:szCs w:val="20"/>
          <w:color w:val="auto"/>
        </w:rPr>
      </w:pPr>
    </w:p>
    <w:p>
      <w:pPr>
        <w:jc w:val="both"/>
        <w:ind w:right="80" w:firstLine="371"/>
        <w:spacing w:after="0" w:line="259" w:lineRule="auto"/>
        <w:rPr>
          <w:sz w:val="20"/>
          <w:szCs w:val="20"/>
          <w:color w:val="auto"/>
        </w:rPr>
      </w:pPr>
      <w:r>
        <w:rPr>
          <w:rFonts w:ascii="Arial" w:cs="Arial" w:eastAsia="Arial" w:hAnsi="Arial"/>
          <w:sz w:val="19"/>
          <w:szCs w:val="19"/>
          <w:color w:val="auto"/>
        </w:rPr>
        <w:t>Our Annual Report filed on Form 20-F provides a discussion of Bermuda tax consequences that may be relevant to prospective investors in our securities. The applicable prospectus supplement may also contain information about any non-U.S. tax considerations relating to the securities covered by such prospectus supplement.</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9"/>
          <w:szCs w:val="19"/>
          <w:b w:val="1"/>
          <w:bCs w:val="1"/>
          <w:color w:val="auto"/>
        </w:rPr>
        <w:t>PLAN OF DISTRIBUTION</w:t>
      </w:r>
    </w:p>
    <w:p>
      <w:pPr>
        <w:spacing w:after="0" w:line="242" w:lineRule="exact"/>
        <w:rPr>
          <w:sz w:val="20"/>
          <w:szCs w:val="20"/>
          <w:color w:val="auto"/>
        </w:rPr>
      </w:pPr>
    </w:p>
    <w:p>
      <w:pPr>
        <w:ind w:right="380" w:firstLine="368"/>
        <w:spacing w:after="0" w:line="280" w:lineRule="auto"/>
        <w:rPr>
          <w:sz w:val="20"/>
          <w:szCs w:val="20"/>
          <w:color w:val="auto"/>
        </w:rPr>
      </w:pPr>
      <w:r>
        <w:rPr>
          <w:rFonts w:ascii="Arial" w:cs="Arial" w:eastAsia="Arial" w:hAnsi="Arial"/>
          <w:sz w:val="18"/>
          <w:szCs w:val="18"/>
          <w:color w:val="auto"/>
        </w:rPr>
        <w:t>We may offer and sell, from time to time, the securities covered by this prospectus and the applicable prospectus supplement. We have registered the securities covered by this prospectus for offer and sale so that those securities may be freely sold to the public. Registration of the securities covered by this prospectus does not mean, however, that those securities necessarily will be offered or sold.</w:t>
      </w:r>
    </w:p>
    <w:p>
      <w:pPr>
        <w:spacing w:after="0" w:line="188" w:lineRule="exact"/>
        <w:rPr>
          <w:sz w:val="20"/>
          <w:szCs w:val="20"/>
          <w:color w:val="auto"/>
        </w:rPr>
      </w:pPr>
    </w:p>
    <w:p>
      <w:pPr>
        <w:ind w:right="240" w:firstLine="371"/>
        <w:spacing w:after="0" w:line="268" w:lineRule="auto"/>
        <w:rPr>
          <w:sz w:val="20"/>
          <w:szCs w:val="20"/>
          <w:color w:val="auto"/>
        </w:rPr>
      </w:pPr>
      <w:r>
        <w:rPr>
          <w:rFonts w:ascii="Arial" w:cs="Arial" w:eastAsia="Arial" w:hAnsi="Arial"/>
          <w:sz w:val="19"/>
          <w:szCs w:val="19"/>
          <w:color w:val="auto"/>
        </w:rPr>
        <w:t>Securities covered by this prospectus may be sold from time to time, in one or more transactions, at market prices prevailing at the time of sale, at prices related to market prices, at a fixed price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20"/>
          </w:cols>
          <w:pgMar w:left="120" w:top="0" w:right="200" w:bottom="1440" w:gutter="0" w:footer="0" w:header="0"/>
          <w:type w:val="continuous"/>
        </w:sectPr>
      </w:pPr>
    </w:p>
    <w:bookmarkStart w:id="25" w:name="page26"/>
    <w:bookmarkEnd w:id="25"/>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prices subject to change, at varying prices determined at the time of sale or at negotiated prices, by a variety of methods including the following:</w:t>
      </w:r>
    </w:p>
    <w:p>
      <w:pPr>
        <w:sectPr>
          <w:pgSz w:w="12240" w:h="15840" w:orient="portrait"/>
          <w:cols w:equalWidth="0" w:num="1">
            <w:col w:w="11980"/>
          </w:cols>
          <w:pgMar w:left="120" w:top="0" w:right="140" w:bottom="1440" w:gutter="0" w:footer="0" w:header="0"/>
        </w:sect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30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360"/>
        <w:spacing w:after="0" w:line="268" w:lineRule="auto"/>
        <w:rPr>
          <w:sz w:val="20"/>
          <w:szCs w:val="20"/>
          <w:color w:val="auto"/>
        </w:rPr>
      </w:pPr>
      <w:r>
        <w:rPr>
          <w:rFonts w:ascii="Arial" w:cs="Arial" w:eastAsia="Arial" w:hAnsi="Arial"/>
          <w:sz w:val="19"/>
          <w:szCs w:val="19"/>
          <w:color w:val="auto"/>
        </w:rPr>
        <w:t>on the NYSE or any other national securities exchange or U.S. inter-dealer system of a registered national securities association on which our common shares may be listed or quoted at the time of sale;</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in the over-the-counter market;</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in privately negotiated transactions;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in an exchange distribution in accordance with the rules of the applicable exchange;</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as settlement of short sales entered into after the date of the prospectus;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264" w:lineRule="exact"/>
        <w:rPr>
          <w:sz w:val="20"/>
          <w:szCs w:val="20"/>
          <w:color w:val="auto"/>
        </w:rPr>
      </w:pPr>
    </w:p>
    <w:p>
      <w:pPr>
        <w:spacing w:after="0"/>
        <w:rPr>
          <w:sz w:val="20"/>
          <w:szCs w:val="20"/>
          <w:color w:val="auto"/>
        </w:rPr>
      </w:pPr>
      <w:r>
        <w:rPr>
          <w:rFonts w:ascii="Arial" w:cs="Arial" w:eastAsia="Arial" w:hAnsi="Arial"/>
          <w:sz w:val="19"/>
          <w:szCs w:val="19"/>
          <w:color w:val="auto"/>
        </w:rPr>
        <w:t>through broker-dealers, who may act as agents or principals;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through sales "at the market" to or through a market-maker;</w:t>
      </w:r>
    </w:p>
    <w:p>
      <w:pPr>
        <w:spacing w:after="0" w:line="252" w:lineRule="exact"/>
        <w:rPr>
          <w:sz w:val="20"/>
          <w:szCs w:val="20"/>
          <w:color w:val="auto"/>
        </w:rPr>
      </w:pPr>
    </w:p>
    <w:p>
      <w:pPr>
        <w:ind w:right="320"/>
        <w:spacing w:after="0" w:line="268" w:lineRule="auto"/>
        <w:rPr>
          <w:sz w:val="20"/>
          <w:szCs w:val="20"/>
          <w:color w:val="auto"/>
        </w:rPr>
      </w:pPr>
      <w:r>
        <w:rPr>
          <w:rFonts w:ascii="Arial" w:cs="Arial" w:eastAsia="Arial" w:hAnsi="Arial"/>
          <w:sz w:val="19"/>
          <w:szCs w:val="19"/>
          <w:color w:val="auto"/>
        </w:rPr>
        <w:t>in a block trade, in which a broker-dealer will attempt to sell a block as agent but may position and resell a portion of the block as principal to facilitate the transaction;</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through one or more underwriters on a firm commitment or best-efforts basis;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directly to one or more purchasers;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through agents;</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in options transactions;</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over the Internet;</w:t>
      </w: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any other method permitted pursuant to applicable law; or</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in any combination of the above.</w:t>
      </w:r>
    </w:p>
    <w:p>
      <w:pPr>
        <w:spacing w:after="0" w:line="200"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line="3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effecting sales, brokers or dealers engaged by us may arrange for other brokers or dealers to participate. Broker-dealer transactions may include:</w:t>
      </w:r>
    </w:p>
    <w:p>
      <w:pPr>
        <w:sectPr>
          <w:pgSz w:w="12240" w:h="15840" w:orient="portrait"/>
          <w:cols w:equalWidth="0" w:num="1">
            <w:col w:w="11980"/>
          </w:cols>
          <w:pgMar w:left="120" w:top="0" w:right="140" w:bottom="1440" w:gutter="0" w:footer="0" w:header="0"/>
          <w:type w:val="continuous"/>
        </w:sectPr>
      </w:pPr>
    </w:p>
    <w:p>
      <w:pPr>
        <w:spacing w:after="0" w:line="2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0" w:lineRule="exact"/>
        <w:rPr>
          <w:sz w:val="20"/>
          <w:szCs w:val="20"/>
          <w:color w:val="auto"/>
        </w:rPr>
      </w:pPr>
    </w:p>
    <w:p>
      <w:pPr>
        <w:spacing w:after="0" w:line="3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â€¢</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ind w:right="660"/>
        <w:spacing w:after="0" w:line="268" w:lineRule="auto"/>
        <w:rPr>
          <w:sz w:val="20"/>
          <w:szCs w:val="20"/>
          <w:color w:val="auto"/>
        </w:rPr>
      </w:pPr>
      <w:r>
        <w:rPr>
          <w:rFonts w:ascii="Arial" w:cs="Arial" w:eastAsia="Arial" w:hAnsi="Arial"/>
          <w:sz w:val="19"/>
          <w:szCs w:val="19"/>
          <w:color w:val="auto"/>
        </w:rPr>
        <w:t>purchases of the securities by a broker-dealer as principal and resales of the securities by the broker-dealer for its account pursuant to this prospectus;</w:t>
      </w:r>
    </w:p>
    <w:p>
      <w:pPr>
        <w:spacing w:after="0" w:line="211" w:lineRule="exact"/>
        <w:rPr>
          <w:sz w:val="20"/>
          <w:szCs w:val="20"/>
          <w:color w:val="auto"/>
        </w:rPr>
      </w:pPr>
    </w:p>
    <w:p>
      <w:pPr>
        <w:spacing w:after="0"/>
        <w:rPr>
          <w:sz w:val="20"/>
          <w:szCs w:val="20"/>
          <w:color w:val="auto"/>
        </w:rPr>
      </w:pPr>
      <w:r>
        <w:rPr>
          <w:rFonts w:ascii="Arial" w:cs="Arial" w:eastAsia="Arial" w:hAnsi="Arial"/>
          <w:sz w:val="19"/>
          <w:szCs w:val="19"/>
          <w:color w:val="auto"/>
        </w:rPr>
        <w:t>ordinary brokerage transactions; or</w:t>
      </w:r>
    </w:p>
    <w:p>
      <w:pPr>
        <w:spacing w:after="0" w:line="266" w:lineRule="exact"/>
        <w:rPr>
          <w:sz w:val="20"/>
          <w:szCs w:val="20"/>
          <w:color w:val="auto"/>
        </w:rPr>
      </w:pPr>
    </w:p>
    <w:p>
      <w:pPr>
        <w:spacing w:after="0"/>
        <w:rPr>
          <w:sz w:val="20"/>
          <w:szCs w:val="20"/>
          <w:color w:val="auto"/>
        </w:rPr>
      </w:pPr>
      <w:r>
        <w:rPr>
          <w:rFonts w:ascii="Arial" w:cs="Arial" w:eastAsia="Arial" w:hAnsi="Arial"/>
          <w:sz w:val="19"/>
          <w:szCs w:val="19"/>
          <w:color w:val="auto"/>
        </w:rPr>
        <w:t>transactions in which the broker-dealer solicits purchasers.</w:t>
      </w:r>
    </w:p>
    <w:p>
      <w:pPr>
        <w:spacing w:after="0" w:line="200" w:lineRule="exact"/>
        <w:rPr>
          <w:sz w:val="20"/>
          <w:szCs w:val="20"/>
          <w:color w:val="auto"/>
        </w:rPr>
      </w:pPr>
    </w:p>
    <w:p>
      <w:pPr>
        <w:sectPr>
          <w:pgSz w:w="12240" w:h="15840" w:orient="portrait"/>
          <w:cols w:equalWidth="0" w:num="2">
            <w:col w:w="840" w:space="300"/>
            <w:col w:w="10840"/>
          </w:cols>
          <w:pgMar w:left="120" w:top="0" w:right="140" w:bottom="1440" w:gutter="0" w:footer="0" w:header="0"/>
          <w:type w:val="continuous"/>
        </w:sectPr>
      </w:pPr>
    </w:p>
    <w:p>
      <w:pPr>
        <w:spacing w:after="0" w:line="38" w:lineRule="exact"/>
        <w:rPr>
          <w:sz w:val="20"/>
          <w:szCs w:val="20"/>
          <w:color w:val="auto"/>
        </w:rPr>
      </w:pPr>
    </w:p>
    <w:p>
      <w:pPr>
        <w:ind w:firstLine="371"/>
        <w:spacing w:after="0" w:line="268" w:lineRule="auto"/>
        <w:rPr>
          <w:sz w:val="20"/>
          <w:szCs w:val="20"/>
          <w:color w:val="auto"/>
        </w:rPr>
      </w:pPr>
      <w:r>
        <w:rPr>
          <w:rFonts w:ascii="Arial" w:cs="Arial" w:eastAsia="Arial" w:hAnsi="Arial"/>
          <w:sz w:val="19"/>
          <w:szCs w:val="19"/>
          <w:color w:val="auto"/>
        </w:rPr>
        <w:t>In addition, we may sell any securities covered by this prospectus in private transactions or under Rule 144 of the Securities Act of 1933, as amended, rather than pursuant to this prospectus.</w:t>
      </w:r>
    </w:p>
    <w:p>
      <w:pPr>
        <w:spacing w:after="0" w:line="197" w:lineRule="exact"/>
        <w:rPr>
          <w:sz w:val="20"/>
          <w:szCs w:val="20"/>
          <w:color w:val="auto"/>
        </w:rPr>
      </w:pPr>
    </w:p>
    <w:p>
      <w:pPr>
        <w:ind w:right="40" w:firstLine="371"/>
        <w:spacing w:after="0" w:line="270" w:lineRule="auto"/>
        <w:rPr>
          <w:sz w:val="20"/>
          <w:szCs w:val="20"/>
          <w:color w:val="auto"/>
        </w:rPr>
      </w:pPr>
      <w:r>
        <w:rPr>
          <w:rFonts w:ascii="Arial" w:cs="Arial" w:eastAsia="Arial" w:hAnsi="Arial"/>
          <w:sz w:val="18"/>
          <w:szCs w:val="18"/>
          <w:color w:val="auto"/>
        </w:rPr>
        <w:t>In connection with the sale of securities covered by this prospectus, broker-dealers may receive commissions or other compensation from us in the form of commissions, discounts or concessions. Broker-dealers may also receive compensation from purchasers of the securities for whom they act as agents or to whom they sell as principals or both. Compensation as to a particular broker-dealer may be in excess of customary commissions or in amounts to be negotiated. In connection with any underwritten offering, underwriters may receive compensation in the form of discounts, concessions or commissions from us or from purchasers of the securities for whom they act as agents. Underwriters may sell the securities to or through dealers, and such dealers may receive compensation in the form of discounts, concessions or commissions from the underwriters and/or commissions from the purchasers for whom they may act as agents. Any underwriters, broker-dealers or agents that participate in the</w:t>
      </w:r>
    </w:p>
    <w:p>
      <w:pPr>
        <w:sectPr>
          <w:pgSz w:w="12240" w:h="15840" w:orient="portrait"/>
          <w:cols w:equalWidth="0" w:num="1">
            <w:col w:w="11980"/>
          </w:cols>
          <w:pgMar w:left="120" w:top="0" w:right="140" w:bottom="1440" w:gutter="0" w:footer="0" w:header="0"/>
          <w:type w:val="continuous"/>
        </w:sectPr>
      </w:pP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62889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type w:val="continuous"/>
        </w:sectPr>
      </w:pPr>
    </w:p>
    <w:bookmarkStart w:id="26" w:name="page27"/>
    <w:bookmarkEnd w:id="26"/>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distribution of the securities may be deemed to be "underwriters" within the meaning of the Securities Act of 1933, as amended, and any profit on the sale of the securities by them and any discounts, commissions or concessions received by any of those underwriters, broker-dealers or agents may be deemed to be underwriting discounts and commissions under the Securities Act of 1933, as amended.</w:t>
      </w:r>
    </w:p>
    <w:p>
      <w:pPr>
        <w:spacing w:after="0" w:line="205" w:lineRule="exact"/>
        <w:rPr>
          <w:sz w:val="20"/>
          <w:szCs w:val="20"/>
          <w:color w:val="auto"/>
        </w:rPr>
      </w:pPr>
    </w:p>
    <w:p>
      <w:pPr>
        <w:ind w:right="120" w:firstLine="371"/>
        <w:spacing w:after="0" w:line="269" w:lineRule="auto"/>
        <w:rPr>
          <w:sz w:val="20"/>
          <w:szCs w:val="20"/>
          <w:color w:val="auto"/>
        </w:rPr>
      </w:pPr>
      <w:r>
        <w:rPr>
          <w:rFonts w:ascii="Arial" w:cs="Arial" w:eastAsia="Arial" w:hAnsi="Arial"/>
          <w:sz w:val="18"/>
          <w:szCs w:val="18"/>
          <w:color w:val="auto"/>
        </w:rPr>
        <w:t>In connection with the distribution of the securities covered by this prospectus or otherwise, we may enter into hedging transactions with broker-dealers or other financial institutions. In connection with such transactions, broker-dealers or other financial institutions may engage in short sales of our securities in the course of hedging the positions they assume with us. We may also sell securities short and deliver the securities offered by this prospectus to close out our short positions. We may also enter into option or other transactions with broker-dealers or other financial institutions,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 We may also from time to time pledge securities pursuant to the margin provisions of any customer agreements with brokers. Upon default, the broker may offer and sell such pledged securities from time to time pursuant to this prospectus, as supplemented or amended to reflect such transaction.</w:t>
      </w:r>
    </w:p>
    <w:p>
      <w:pPr>
        <w:spacing w:after="0" w:line="198" w:lineRule="exact"/>
        <w:rPr>
          <w:sz w:val="20"/>
          <w:szCs w:val="20"/>
          <w:color w:val="auto"/>
        </w:rPr>
      </w:pPr>
    </w:p>
    <w:p>
      <w:pPr>
        <w:ind w:right="80" w:firstLine="361"/>
        <w:spacing w:after="0" w:line="305" w:lineRule="auto"/>
        <w:rPr>
          <w:sz w:val="20"/>
          <w:szCs w:val="20"/>
          <w:color w:val="auto"/>
        </w:rPr>
      </w:pPr>
      <w:r>
        <w:rPr>
          <w:rFonts w:ascii="Arial" w:cs="Arial" w:eastAsia="Arial" w:hAnsi="Arial"/>
          <w:sz w:val="16"/>
          <w:szCs w:val="16"/>
          <w:color w:val="auto"/>
        </w:rPr>
        <w:t>At any time a particular offer of the securities covered by this prospectus is made, a revised prospectus or prospectus supplement, if required, will be distributed which will set forth the aggregate amount of securities covered by this prospectus being offered and the terms of the offering, including the expected issue price or method of determining the price, the time period during which the offer will be open and whether the purchase period may be extended or shortened, the method and time limits for paying up and delivering securities, name or names of any underwriters, dealers, brokers or agents, any discounts, commissions, concessions and other items constituting compensation from us, and any discounts, commissions or concessions allowed or reallowed or paid to dealers. Such prospectus supplement, and, if necessary, a post-effective amendment to the registration statement of which this prospectus is a part, will be filed with the SEC to reflect the disclosure of additional information with respect to the distribution of the securities covered by this prospectus. In order to comply with the securities laws of certain states, if applicable, the securities sold under this prospectus may only be sold through registered or licensed broker-dealers. In addition, in some states the securities may not be sold unless they have been registered or qualified for sale in the applicable state or an exemption from registration or qualification requirements is available and is complied with.</w:t>
      </w:r>
    </w:p>
    <w:p>
      <w:pPr>
        <w:spacing w:after="0" w:line="200" w:lineRule="exact"/>
        <w:rPr>
          <w:sz w:val="20"/>
          <w:szCs w:val="20"/>
          <w:color w:val="auto"/>
        </w:rPr>
      </w:pPr>
    </w:p>
    <w:p>
      <w:pPr>
        <w:spacing w:after="0" w:line="206" w:lineRule="exact"/>
        <w:rPr>
          <w:sz w:val="20"/>
          <w:szCs w:val="20"/>
          <w:color w:val="auto"/>
        </w:rPr>
      </w:pPr>
    </w:p>
    <w:p>
      <w:pPr>
        <w:ind w:firstLine="371"/>
        <w:spacing w:after="0" w:line="311" w:lineRule="auto"/>
        <w:rPr>
          <w:sz w:val="20"/>
          <w:szCs w:val="20"/>
          <w:color w:val="auto"/>
        </w:rPr>
      </w:pPr>
      <w:r>
        <w:rPr>
          <w:rFonts w:ascii="Arial" w:cs="Arial" w:eastAsia="Arial" w:hAnsi="Arial"/>
          <w:sz w:val="16"/>
          <w:szCs w:val="16"/>
          <w:color w:val="auto"/>
        </w:rPr>
        <w:t>In connection with an underwritten offering, we would execute an underwriting agreement with an underwriter or underwriters. Unless otherwise indicated in the revised prospectus or applicable prospectus supplement, such underwriting agreement would provide that the obligations of the underwriter or underwriters are subject to certain conditions precedent and that the underwriter or underwriters with respect to a sale of the covered securities will be obligated to purchase all of the covered securities if any such securities are purchased. We may grant to the underwriter or underwriters an option to purchase additional securities at the public offering price, as may be set forth in the revised prospectus or applicable prospectus supplement. If we grant any such option, the terms of the option will be set forth in the revised prospectus or applicable prospectus supplement.</w:t>
      </w:r>
    </w:p>
    <w:p>
      <w:pPr>
        <w:spacing w:after="0" w:line="167" w:lineRule="exact"/>
        <w:rPr>
          <w:sz w:val="20"/>
          <w:szCs w:val="20"/>
          <w:color w:val="auto"/>
        </w:rPr>
      </w:pPr>
    </w:p>
    <w:p>
      <w:pPr>
        <w:ind w:right="180" w:firstLine="371"/>
        <w:spacing w:after="0" w:line="256" w:lineRule="auto"/>
        <w:rPr>
          <w:sz w:val="20"/>
          <w:szCs w:val="20"/>
          <w:color w:val="auto"/>
        </w:rPr>
      </w:pPr>
      <w:r>
        <w:rPr>
          <w:rFonts w:ascii="Arial" w:cs="Arial" w:eastAsia="Arial" w:hAnsi="Arial"/>
          <w:sz w:val="19"/>
          <w:szCs w:val="19"/>
          <w:color w:val="auto"/>
        </w:rPr>
        <w:t>Pursuant to a requirement by the Financial Industry Regulatory Authority, or "FINRA", if more than five percent of the net proceeds of any offering of securities made under this prospectus will be received by any FINRA member participating in the offering or by affiliates or associated persons of such FINRA member or any participating member who otherwise would have a "conflict of interest" under FINRA Rules, the offering will be conducted in accordance with FINRA Rule 5121.</w:t>
      </w:r>
    </w:p>
    <w:p>
      <w:pPr>
        <w:spacing w:after="0" w:line="209" w:lineRule="exact"/>
        <w:rPr>
          <w:sz w:val="20"/>
          <w:szCs w:val="20"/>
          <w:color w:val="auto"/>
        </w:rPr>
      </w:pPr>
    </w:p>
    <w:p>
      <w:pPr>
        <w:ind w:right="120" w:firstLine="371"/>
        <w:spacing w:after="0" w:line="297" w:lineRule="auto"/>
        <w:rPr>
          <w:sz w:val="20"/>
          <w:szCs w:val="20"/>
          <w:color w:val="auto"/>
        </w:rPr>
      </w:pPr>
      <w:r>
        <w:rPr>
          <w:rFonts w:ascii="Arial" w:cs="Arial" w:eastAsia="Arial" w:hAnsi="Arial"/>
          <w:sz w:val="18"/>
          <w:szCs w:val="18"/>
          <w:color w:val="auto"/>
        </w:rPr>
        <w:t>Underwriters, agents, brokers or dealers may be entitled, pursuant to relevant agreements entered into with us, to indemnification by us against certain civil liabilities, including liabilities under the Securities Act of 1933, as amended, that may arise from any untrue statement or alleged untrue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27" w:name="page28"/>
    <w:bookmarkEnd w:id="27"/>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right="180"/>
        <w:spacing w:after="0" w:line="259" w:lineRule="auto"/>
        <w:rPr>
          <w:sz w:val="20"/>
          <w:szCs w:val="20"/>
          <w:color w:val="auto"/>
        </w:rPr>
      </w:pPr>
      <w:r>
        <w:rPr>
          <w:rFonts w:ascii="Arial" w:cs="Arial" w:eastAsia="Arial" w:hAnsi="Arial"/>
          <w:sz w:val="19"/>
          <w:szCs w:val="19"/>
          <w:color w:val="auto"/>
        </w:rPr>
        <w:t>statement of a material fact, or any omission or alleged omission to state a material fact in this prospectus, any supplement or amendment hereto, or in the registration statement of which this prospectus forms a part, or to contribution with respect to payments which the underwriters, agents, brokers or dealers may be required to make.</w:t>
      </w:r>
    </w:p>
    <w:p>
      <w:pPr>
        <w:spacing w:after="0" w:line="20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We will bear all costs relating to all of the securities being registered under the registration statement of which this prospectus is a part.</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EXPENSES</w:t>
      </w:r>
    </w:p>
    <w:p>
      <w:pPr>
        <w:spacing w:after="0" w:line="242" w:lineRule="exact"/>
        <w:rPr>
          <w:sz w:val="20"/>
          <w:szCs w:val="20"/>
          <w:color w:val="auto"/>
        </w:rPr>
      </w:pPr>
    </w:p>
    <w:p>
      <w:pPr>
        <w:ind w:right="480" w:firstLine="368"/>
        <w:spacing w:after="0" w:line="268" w:lineRule="auto"/>
        <w:rPr>
          <w:sz w:val="20"/>
          <w:szCs w:val="20"/>
          <w:color w:val="auto"/>
        </w:rPr>
      </w:pPr>
      <w:r>
        <w:rPr>
          <w:rFonts w:ascii="Arial" w:cs="Arial" w:eastAsia="Arial" w:hAnsi="Arial"/>
          <w:sz w:val="19"/>
          <w:szCs w:val="19"/>
          <w:color w:val="auto"/>
        </w:rPr>
        <w:t>The following are the expenses estimated to be incurred by us in connection with a possible offering of the securities registered under this registration statement.</w:t>
      </w:r>
    </w:p>
    <w:p>
      <w:pPr>
        <w:spacing w:after="0" w:line="207" w:lineRule="exact"/>
        <w:rPr>
          <w:sz w:val="20"/>
          <w:szCs w:val="20"/>
          <w:color w:val="auto"/>
        </w:rPr>
      </w:pPr>
    </w:p>
    <w:tbl>
      <w:tblPr>
        <w:tblLayout w:type="fixed"/>
        <w:tblInd w:w="1800" w:type="dxa"/>
        <w:tblCellMar>
          <w:top w:w="0" w:type="dxa"/>
          <w:left w:w="0" w:type="dxa"/>
          <w:bottom w:w="0" w:type="dxa"/>
          <w:right w:w="0" w:type="dxa"/>
        </w:tblCellMar>
      </w:tblPr>
      <w:tr>
        <w:trPr>
          <w:trHeight w:val="228"/>
        </w:trPr>
        <w:tc>
          <w:tcPr>
            <w:tcW w:w="4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SEC Registration Fee</w:t>
            </w:r>
          </w:p>
        </w:tc>
        <w:tc>
          <w:tcPr>
            <w:tcW w:w="2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9"/>
                <w:szCs w:val="19"/>
                <w:color w:val="auto"/>
              </w:rPr>
              <w:t>$</w:t>
            </w:r>
          </w:p>
        </w:tc>
        <w:tc>
          <w:tcPr>
            <w:tcW w:w="760" w:type="dxa"/>
            <w:vAlign w:val="bottom"/>
            <w:shd w:val="clear" w:color="auto" w:fill="CCEEFF"/>
          </w:tcPr>
          <w:p>
            <w:pPr>
              <w:jc w:val="right"/>
              <w:ind w:right="111"/>
              <w:spacing w:after="0"/>
              <w:rPr>
                <w:sz w:val="20"/>
                <w:szCs w:val="20"/>
                <w:color w:val="auto"/>
              </w:rPr>
            </w:pPr>
            <w:r>
              <w:rPr>
                <w:rFonts w:ascii="Arial" w:cs="Arial" w:eastAsia="Arial" w:hAnsi="Arial"/>
                <w:sz w:val="19"/>
                <w:szCs w:val="19"/>
                <w:color w:val="auto"/>
                <w:w w:val="96"/>
              </w:rPr>
              <w:t>30,300</w:t>
            </w:r>
          </w:p>
        </w:tc>
        <w:tc>
          <w:tcPr>
            <w:tcW w:w="0" w:type="dxa"/>
            <w:vAlign w:val="bottom"/>
          </w:tcPr>
          <w:p>
            <w:pPr>
              <w:spacing w:after="0"/>
              <w:rPr>
                <w:sz w:val="1"/>
                <w:szCs w:val="1"/>
                <w:color w:val="auto"/>
              </w:rPr>
            </w:pPr>
          </w:p>
        </w:tc>
      </w:tr>
      <w:tr>
        <w:trPr>
          <w:trHeight w:val="228"/>
        </w:trPr>
        <w:tc>
          <w:tcPr>
            <w:tcW w:w="4860" w:type="dxa"/>
            <w:vAlign w:val="bottom"/>
            <w:gridSpan w:val="2"/>
          </w:tcPr>
          <w:p>
            <w:pPr>
              <w:spacing w:after="0"/>
              <w:rPr>
                <w:sz w:val="20"/>
                <w:szCs w:val="20"/>
                <w:color w:val="auto"/>
              </w:rPr>
            </w:pPr>
            <w:r>
              <w:rPr>
                <w:rFonts w:ascii="Arial" w:cs="Arial" w:eastAsia="Arial" w:hAnsi="Arial"/>
                <w:sz w:val="19"/>
                <w:szCs w:val="19"/>
                <w:color w:val="auto"/>
              </w:rPr>
              <w:t>Printing</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Legal Fees and Expenses.</w:t>
            </w:r>
          </w:p>
        </w:tc>
        <w:tc>
          <w:tcPr>
            <w:tcW w:w="2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860" w:type="dxa"/>
            <w:vAlign w:val="bottom"/>
            <w:gridSpan w:val="2"/>
          </w:tcPr>
          <w:p>
            <w:pPr>
              <w:spacing w:after="0"/>
              <w:rPr>
                <w:sz w:val="20"/>
                <w:szCs w:val="20"/>
                <w:color w:val="auto"/>
              </w:rPr>
            </w:pPr>
            <w:r>
              <w:rPr>
                <w:rFonts w:ascii="Arial" w:cs="Arial" w:eastAsia="Arial" w:hAnsi="Arial"/>
                <w:sz w:val="19"/>
                <w:szCs w:val="19"/>
                <w:color w:val="auto"/>
              </w:rPr>
              <w:t>Accountants' Fees and Expenses</w:t>
            </w:r>
          </w:p>
        </w:tc>
        <w:tc>
          <w:tcPr>
            <w:tcW w:w="2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right"/>
              <w:ind w:right="11"/>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28"/>
        </w:trPr>
        <w:tc>
          <w:tcPr>
            <w:tcW w:w="4860" w:type="dxa"/>
            <w:vAlign w:val="bottom"/>
            <w:gridSpan w:val="2"/>
            <w:shd w:val="clear" w:color="auto" w:fill="CCEEFF"/>
          </w:tcPr>
          <w:p>
            <w:pPr>
              <w:spacing w:after="0"/>
              <w:rPr>
                <w:sz w:val="20"/>
                <w:szCs w:val="20"/>
                <w:color w:val="auto"/>
              </w:rPr>
            </w:pPr>
            <w:r>
              <w:rPr>
                <w:rFonts w:ascii="Arial" w:cs="Arial" w:eastAsia="Arial" w:hAnsi="Arial"/>
                <w:sz w:val="19"/>
                <w:szCs w:val="19"/>
                <w:color w:val="auto"/>
              </w:rPr>
              <w:t>NYSE Fees</w:t>
            </w:r>
          </w:p>
        </w:tc>
        <w:tc>
          <w:tcPr>
            <w:tcW w:w="2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60" w:type="dxa"/>
            <w:vAlign w:val="bottom"/>
            <w:shd w:val="clear" w:color="auto" w:fill="CCEEFF"/>
          </w:tcPr>
          <w:p>
            <w:pPr>
              <w:jc w:val="right"/>
              <w:ind w:right="11"/>
              <w:spacing w:after="0"/>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215"/>
        </w:trPr>
        <w:tc>
          <w:tcPr>
            <w:tcW w:w="4860" w:type="dxa"/>
            <w:vAlign w:val="bottom"/>
            <w:gridSpan w:val="2"/>
          </w:tcPr>
          <w:p>
            <w:pPr>
              <w:spacing w:after="0" w:line="215" w:lineRule="exact"/>
              <w:rPr>
                <w:sz w:val="20"/>
                <w:szCs w:val="20"/>
                <w:color w:val="auto"/>
              </w:rPr>
            </w:pPr>
            <w:r>
              <w:rPr>
                <w:rFonts w:ascii="Arial" w:cs="Arial" w:eastAsia="Arial" w:hAnsi="Arial"/>
                <w:sz w:val="19"/>
                <w:szCs w:val="19"/>
                <w:color w:val="auto"/>
              </w:rPr>
              <w:t>Miscellaneous Costs</w:t>
            </w:r>
          </w:p>
        </w:tc>
        <w:tc>
          <w:tcPr>
            <w:tcW w:w="2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jc w:val="right"/>
              <w:ind w:right="11"/>
              <w:spacing w:after="0" w:line="215"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5"/>
        </w:trPr>
        <w:tc>
          <w:tcPr>
            <w:tcW w:w="4860" w:type="dxa"/>
            <w:vAlign w:val="bottom"/>
            <w:gridSpan w:val="2"/>
          </w:tcPr>
          <w:p>
            <w:pPr>
              <w:spacing w:after="0"/>
              <w:rPr>
                <w:sz w:val="20"/>
                <w:szCs w:val="20"/>
                <w:color w:val="auto"/>
              </w:rPr>
            </w:pPr>
            <w:r>
              <w:rPr>
                <w:rFonts w:ascii="Arial" w:cs="Arial" w:eastAsia="Arial" w:hAnsi="Arial"/>
                <w:sz w:val="3"/>
                <w:szCs w:val="3"/>
                <w:color w:val="auto"/>
              </w:rPr>
              <w:t>â€‹</w:t>
            </w:r>
          </w:p>
        </w:tc>
        <w:tc>
          <w:tcPr>
            <w:tcW w:w="2620" w:type="dxa"/>
            <w:vAlign w:val="bottom"/>
          </w:tcPr>
          <w:p>
            <w:pPr>
              <w:ind w:left="24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line="28" w:lineRule="exact"/>
              <w:rPr>
                <w:sz w:val="20"/>
                <w:szCs w:val="20"/>
                <w:color w:val="auto"/>
              </w:rPr>
            </w:pPr>
            <w:r>
              <w:rPr>
                <w:rFonts w:ascii="Arial" w:cs="Arial" w:eastAsia="Arial" w:hAnsi="Arial"/>
                <w:sz w:val="3"/>
                <w:szCs w:val="3"/>
                <w:color w:val="auto"/>
              </w:rPr>
              <w:t>â€‹</w:t>
            </w:r>
          </w:p>
        </w:tc>
        <w:tc>
          <w:tcPr>
            <w:tcW w:w="760" w:type="dxa"/>
            <w:vAlign w:val="bottom"/>
          </w:tcPr>
          <w:p>
            <w:pPr>
              <w:jc w:val="right"/>
              <w:ind w:right="71"/>
              <w:spacing w:after="0" w:line="35" w:lineRule="exact"/>
              <w:rPr>
                <w:sz w:val="20"/>
                <w:szCs w:val="20"/>
                <w:color w:val="auto"/>
              </w:rPr>
            </w:pPr>
            <w:r>
              <w:rPr>
                <w:rFonts w:ascii="Arial" w:cs="Arial" w:eastAsia="Arial" w:hAnsi="Arial"/>
                <w:sz w:val="2"/>
                <w:szCs w:val="2"/>
                <w:color w:val="auto"/>
              </w:rPr>
              <w:t>â€‹</w:t>
            </w:r>
            <w:r>
              <w:rPr>
                <w:rFonts w:ascii="Arial" w:cs="Arial" w:eastAsia="Arial" w:hAnsi="Arial"/>
                <w:sz w:val="4"/>
                <w:szCs w:val="4"/>
                <w:color w:val="auto"/>
                <w:vertAlign w:val="subscript"/>
              </w:rPr>
              <w:t>â€‹</w:t>
            </w:r>
          </w:p>
        </w:tc>
        <w:tc>
          <w:tcPr>
            <w:tcW w:w="0" w:type="dxa"/>
            <w:vAlign w:val="bottom"/>
          </w:tcPr>
          <w:p>
            <w:pPr>
              <w:spacing w:after="0" w:line="20" w:lineRule="exact"/>
              <w:rPr>
                <w:sz w:val="1"/>
                <w:szCs w:val="1"/>
                <w:color w:val="auto"/>
              </w:rPr>
            </w:pPr>
          </w:p>
        </w:tc>
      </w:tr>
      <w:tr>
        <w:trPr>
          <w:trHeight w:val="208"/>
        </w:trPr>
        <w:tc>
          <w:tcPr>
            <w:tcW w:w="4860" w:type="dxa"/>
            <w:vAlign w:val="bottom"/>
            <w:gridSpan w:val="2"/>
          </w:tcPr>
          <w:p>
            <w:pPr>
              <w:spacing w:after="0" w:line="208" w:lineRule="exact"/>
              <w:rPr>
                <w:sz w:val="20"/>
                <w:szCs w:val="20"/>
                <w:color w:val="auto"/>
              </w:rPr>
            </w:pPr>
            <w:r>
              <w:rPr>
                <w:rFonts w:ascii="Arial" w:cs="Arial" w:eastAsia="Arial" w:hAnsi="Arial"/>
                <w:sz w:val="19"/>
                <w:szCs w:val="19"/>
                <w:color w:val="auto"/>
              </w:rPr>
              <w:t>Total</w:t>
            </w:r>
          </w:p>
        </w:tc>
        <w:tc>
          <w:tcPr>
            <w:tcW w:w="2620" w:type="dxa"/>
            <w:vAlign w:val="bottom"/>
          </w:tcPr>
          <w:p>
            <w:pPr>
              <w:spacing w:after="0"/>
              <w:rPr>
                <w:sz w:val="18"/>
                <w:szCs w:val="18"/>
                <w:color w:val="auto"/>
              </w:rPr>
            </w:pPr>
          </w:p>
        </w:tc>
        <w:tc>
          <w:tcPr>
            <w:tcW w:w="160" w:type="dxa"/>
            <w:vAlign w:val="bottom"/>
          </w:tcPr>
          <w:p>
            <w:pPr>
              <w:spacing w:after="0" w:line="208" w:lineRule="exact"/>
              <w:rPr>
                <w:sz w:val="20"/>
                <w:szCs w:val="20"/>
                <w:color w:val="auto"/>
              </w:rPr>
            </w:pPr>
            <w:r>
              <w:rPr>
                <w:rFonts w:ascii="Arial" w:cs="Arial" w:eastAsia="Arial" w:hAnsi="Arial"/>
                <w:sz w:val="19"/>
                <w:szCs w:val="19"/>
                <w:color w:val="auto"/>
              </w:rPr>
              <w:t>$</w:t>
            </w:r>
          </w:p>
        </w:tc>
        <w:tc>
          <w:tcPr>
            <w:tcW w:w="760" w:type="dxa"/>
            <w:vAlign w:val="bottom"/>
          </w:tcPr>
          <w:p>
            <w:pPr>
              <w:jc w:val="right"/>
              <w:ind w:right="11"/>
              <w:spacing w:after="0" w:line="208" w:lineRule="exact"/>
              <w:rPr>
                <w:sz w:val="20"/>
                <w:szCs w:val="20"/>
                <w:color w:val="auto"/>
              </w:rPr>
            </w:pPr>
            <w:r>
              <w:rPr>
                <w:rFonts w:ascii="Arial" w:cs="Arial" w:eastAsia="Arial" w:hAnsi="Arial"/>
                <w:sz w:val="19"/>
                <w:szCs w:val="19"/>
                <w:color w:val="auto"/>
              </w:rPr>
              <w:t>*</w:t>
            </w:r>
          </w:p>
        </w:tc>
        <w:tc>
          <w:tcPr>
            <w:tcW w:w="0" w:type="dxa"/>
            <w:vAlign w:val="bottom"/>
          </w:tcPr>
          <w:p>
            <w:pPr>
              <w:spacing w:after="0"/>
              <w:rPr>
                <w:sz w:val="1"/>
                <w:szCs w:val="1"/>
                <w:color w:val="auto"/>
              </w:rPr>
            </w:pPr>
          </w:p>
        </w:tc>
      </w:tr>
      <w:tr>
        <w:trPr>
          <w:trHeight w:val="35"/>
        </w:trPr>
        <w:tc>
          <w:tcPr>
            <w:tcW w:w="4860" w:type="dxa"/>
            <w:vAlign w:val="bottom"/>
            <w:gridSpan w:val="2"/>
          </w:tcPr>
          <w:p>
            <w:pPr>
              <w:spacing w:after="0"/>
              <w:rPr>
                <w:sz w:val="20"/>
                <w:szCs w:val="20"/>
                <w:color w:val="auto"/>
              </w:rPr>
            </w:pPr>
            <w:r>
              <w:rPr>
                <w:rFonts w:ascii="Arial" w:cs="Arial" w:eastAsia="Arial" w:hAnsi="Arial"/>
                <w:sz w:val="3"/>
                <w:szCs w:val="3"/>
                <w:color w:val="auto"/>
              </w:rPr>
              <w:t>â€‹</w:t>
            </w:r>
          </w:p>
        </w:tc>
        <w:tc>
          <w:tcPr>
            <w:tcW w:w="2620" w:type="dxa"/>
            <w:vAlign w:val="bottom"/>
          </w:tcPr>
          <w:p>
            <w:pPr>
              <w:ind w:left="24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line="29" w:lineRule="exact"/>
              <w:rPr>
                <w:sz w:val="20"/>
                <w:szCs w:val="20"/>
                <w:color w:val="auto"/>
              </w:rPr>
            </w:pPr>
            <w:r>
              <w:rPr>
                <w:rFonts w:ascii="Arial" w:cs="Arial" w:eastAsia="Arial" w:hAnsi="Arial"/>
                <w:sz w:val="3"/>
                <w:szCs w:val="3"/>
                <w:color w:val="auto"/>
              </w:rPr>
              <w:t>â€‹</w:t>
            </w:r>
          </w:p>
        </w:tc>
        <w:tc>
          <w:tcPr>
            <w:tcW w:w="760" w:type="dxa"/>
            <w:vAlign w:val="bottom"/>
          </w:tcPr>
          <w:p>
            <w:pPr>
              <w:jc w:val="right"/>
              <w:ind w:right="71"/>
              <w:spacing w:after="0" w:line="36" w:lineRule="exact"/>
              <w:rPr>
                <w:sz w:val="20"/>
                <w:szCs w:val="20"/>
                <w:color w:val="auto"/>
              </w:rPr>
            </w:pPr>
            <w:r>
              <w:rPr>
                <w:rFonts w:ascii="Arial" w:cs="Arial" w:eastAsia="Arial" w:hAnsi="Arial"/>
                <w:sz w:val="4"/>
                <w:szCs w:val="4"/>
                <w:color w:val="auto"/>
                <w:vertAlign w:val="superscript"/>
              </w:rPr>
              <w:t>â€‹</w:t>
            </w:r>
            <w:r>
              <w:rPr>
                <w:rFonts w:ascii="Arial" w:cs="Arial" w:eastAsia="Arial" w:hAnsi="Arial"/>
                <w:sz w:val="2"/>
                <w:szCs w:val="2"/>
                <w:color w:val="auto"/>
              </w:rPr>
              <w:t>â€‹</w:t>
            </w:r>
          </w:p>
        </w:tc>
        <w:tc>
          <w:tcPr>
            <w:tcW w:w="0" w:type="dxa"/>
            <w:vAlign w:val="bottom"/>
          </w:tcPr>
          <w:p>
            <w:pPr>
              <w:spacing w:after="0" w:line="20" w:lineRule="exact"/>
              <w:rPr>
                <w:sz w:val="1"/>
                <w:szCs w:val="1"/>
                <w:color w:val="auto"/>
              </w:rPr>
            </w:pPr>
          </w:p>
        </w:tc>
      </w:tr>
      <w:tr>
        <w:trPr>
          <w:trHeight w:val="29"/>
        </w:trPr>
        <w:tc>
          <w:tcPr>
            <w:tcW w:w="4860" w:type="dxa"/>
            <w:vAlign w:val="bottom"/>
            <w:gridSpan w:val="2"/>
            <w:vMerge w:val="restart"/>
          </w:tcPr>
          <w:p>
            <w:pPr>
              <w:spacing w:after="0"/>
              <w:rPr>
                <w:sz w:val="20"/>
                <w:szCs w:val="20"/>
                <w:color w:val="auto"/>
              </w:rPr>
            </w:pPr>
            <w:r>
              <w:rPr>
                <w:rFonts w:ascii="Arial" w:cs="Arial" w:eastAsia="Arial" w:hAnsi="Arial"/>
                <w:sz w:val="3"/>
                <w:szCs w:val="3"/>
                <w:color w:val="auto"/>
              </w:rPr>
              <w:t>â€‹</w:t>
            </w:r>
          </w:p>
        </w:tc>
        <w:tc>
          <w:tcPr>
            <w:tcW w:w="2620" w:type="dxa"/>
            <w:vAlign w:val="bottom"/>
            <w:vMerge w:val="restart"/>
          </w:tcPr>
          <w:p>
            <w:pPr>
              <w:ind w:left="2460"/>
              <w:spacing w:after="0"/>
              <w:rPr>
                <w:sz w:val="20"/>
                <w:szCs w:val="20"/>
                <w:color w:val="auto"/>
              </w:rPr>
            </w:pPr>
            <w:r>
              <w:rPr>
                <w:rFonts w:ascii="Arial" w:cs="Arial" w:eastAsia="Arial" w:hAnsi="Arial"/>
                <w:sz w:val="3"/>
                <w:szCs w:val="3"/>
                <w:color w:val="auto"/>
              </w:rPr>
              <w:t>â€‹</w:t>
            </w:r>
          </w:p>
        </w:tc>
        <w:tc>
          <w:tcPr>
            <w:tcW w:w="160" w:type="dxa"/>
            <w:vAlign w:val="bottom"/>
          </w:tcPr>
          <w:p>
            <w:pPr>
              <w:spacing w:after="0" w:line="29" w:lineRule="exact"/>
              <w:rPr>
                <w:sz w:val="20"/>
                <w:szCs w:val="20"/>
                <w:color w:val="auto"/>
              </w:rPr>
            </w:pPr>
            <w:r>
              <w:rPr>
                <w:rFonts w:ascii="Arial" w:cs="Arial" w:eastAsia="Arial" w:hAnsi="Arial"/>
                <w:sz w:val="3"/>
                <w:szCs w:val="3"/>
                <w:color w:val="auto"/>
              </w:rPr>
              <w:t>â€‹</w:t>
            </w:r>
          </w:p>
        </w:tc>
        <w:tc>
          <w:tcPr>
            <w:tcW w:w="760" w:type="dxa"/>
            <w:vAlign w:val="bottom"/>
            <w:vMerge w:val="restart"/>
          </w:tcPr>
          <w:p>
            <w:pPr>
              <w:jc w:val="right"/>
              <w:ind w:right="71"/>
              <w:spacing w:after="0"/>
              <w:rPr>
                <w:sz w:val="20"/>
                <w:szCs w:val="20"/>
                <w:color w:val="auto"/>
              </w:rPr>
            </w:pPr>
            <w:r>
              <w:rPr>
                <w:rFonts w:ascii="Arial" w:cs="Arial" w:eastAsia="Arial" w:hAnsi="Arial"/>
                <w:sz w:val="3"/>
                <w:szCs w:val="3"/>
                <w:color w:val="auto"/>
              </w:rPr>
              <w:t>â€‹</w:t>
            </w:r>
            <w:r>
              <w:rPr>
                <w:rFonts w:ascii="Arial" w:cs="Arial" w:eastAsia="Arial" w:hAnsi="Arial"/>
                <w:sz w:val="5"/>
                <w:szCs w:val="5"/>
                <w:color w:val="auto"/>
                <w:vertAlign w:val="subscript"/>
              </w:rPr>
              <w:t>â€‹</w:t>
            </w:r>
          </w:p>
        </w:tc>
        <w:tc>
          <w:tcPr>
            <w:tcW w:w="0" w:type="dxa"/>
            <w:vAlign w:val="bottom"/>
          </w:tcPr>
          <w:p>
            <w:pPr>
              <w:spacing w:after="0" w:line="20" w:lineRule="exact"/>
              <w:rPr>
                <w:sz w:val="1"/>
                <w:szCs w:val="1"/>
                <w:color w:val="auto"/>
              </w:rPr>
            </w:pPr>
          </w:p>
        </w:tc>
      </w:tr>
      <w:tr>
        <w:trPr>
          <w:trHeight w:val="51"/>
        </w:trPr>
        <w:tc>
          <w:tcPr>
            <w:tcW w:w="4860" w:type="dxa"/>
            <w:vAlign w:val="bottom"/>
            <w:gridSpan w:val="2"/>
            <w:vMerge w:val="continue"/>
          </w:tcPr>
          <w:p>
            <w:pPr>
              <w:spacing w:after="0"/>
              <w:rPr>
                <w:sz w:val="4"/>
                <w:szCs w:val="4"/>
                <w:color w:val="auto"/>
              </w:rPr>
            </w:pPr>
          </w:p>
        </w:tc>
        <w:tc>
          <w:tcPr>
            <w:tcW w:w="2620" w:type="dxa"/>
            <w:vAlign w:val="bottom"/>
            <w:vMerge w:val="continue"/>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5"/>
        </w:trPr>
        <w:tc>
          <w:tcPr>
            <w:tcW w:w="2220" w:type="dxa"/>
            <w:vAlign w:val="bottom"/>
            <w:tcBorders>
              <w:bottom w:val="single" w:sz="8" w:color="auto"/>
            </w:tcBorders>
          </w:tcPr>
          <w:p>
            <w:pPr>
              <w:spacing w:after="0"/>
              <w:rPr>
                <w:sz w:val="4"/>
                <w:szCs w:val="4"/>
                <w:color w:val="auto"/>
              </w:rPr>
            </w:pPr>
          </w:p>
        </w:tc>
        <w:tc>
          <w:tcPr>
            <w:tcW w:w="2640" w:type="dxa"/>
            <w:vAlign w:val="bottom"/>
          </w:tcPr>
          <w:p>
            <w:pPr>
              <w:spacing w:after="0"/>
              <w:rPr>
                <w:sz w:val="4"/>
                <w:szCs w:val="4"/>
                <w:color w:val="auto"/>
              </w:rPr>
            </w:pPr>
          </w:p>
        </w:tc>
        <w:tc>
          <w:tcPr>
            <w:tcW w:w="26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-262255</wp:posOffset>
            </wp:positionV>
            <wp:extent cx="5334000" cy="1809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34000" cy="180975"/>
                    </a:xfrm>
                    <a:prstGeom prst="rect">
                      <a:avLst/>
                    </a:prstGeom>
                    <a:noFill/>
                  </pic:spPr>
                </pic:pic>
              </a:graphicData>
            </a:graphic>
          </wp:anchor>
        </w:drawing>
      </w:r>
    </w:p>
    <w:p>
      <w:pPr>
        <w:spacing w:after="0" w:line="212" w:lineRule="exact"/>
        <w:rPr>
          <w:sz w:val="20"/>
          <w:szCs w:val="20"/>
          <w:color w:val="auto"/>
        </w:rPr>
      </w:pPr>
    </w:p>
    <w:p>
      <w:pPr>
        <w:ind w:left="2360" w:right="220" w:hanging="565"/>
        <w:spacing w:after="0" w:line="268" w:lineRule="auto"/>
        <w:tabs>
          <w:tab w:leader="none" w:pos="2360" w:val="left"/>
        </w:tabs>
        <w:numPr>
          <w:ilvl w:val="0"/>
          <w:numId w:val="2"/>
        </w:numPr>
        <w:rPr>
          <w:rFonts w:ascii="Arial" w:cs="Arial" w:eastAsia="Arial" w:hAnsi="Arial"/>
          <w:sz w:val="19"/>
          <w:szCs w:val="19"/>
          <w:color w:val="auto"/>
        </w:rPr>
      </w:pPr>
      <w:r>
        <w:rPr>
          <w:rFonts w:ascii="Arial" w:cs="Arial" w:eastAsia="Arial" w:hAnsi="Arial"/>
          <w:sz w:val="19"/>
          <w:szCs w:val="19"/>
          <w:color w:val="auto"/>
        </w:rPr>
        <w:t>To be provided by a prospectus supplement or as an exhibit to a Report on Form 6-K that is incorporated by reference into this prospectus.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LEGAL MATTERS</w:t>
      </w:r>
    </w:p>
    <w:p>
      <w:pPr>
        <w:spacing w:after="0" w:line="242" w:lineRule="exact"/>
        <w:rPr>
          <w:sz w:val="20"/>
          <w:szCs w:val="20"/>
          <w:color w:val="auto"/>
        </w:rPr>
      </w:pPr>
    </w:p>
    <w:p>
      <w:pPr>
        <w:ind w:firstLine="368"/>
        <w:spacing w:after="0" w:line="259" w:lineRule="auto"/>
        <w:rPr>
          <w:sz w:val="20"/>
          <w:szCs w:val="20"/>
          <w:color w:val="auto"/>
        </w:rPr>
      </w:pPr>
      <w:r>
        <w:rPr>
          <w:rFonts w:ascii="Arial" w:cs="Arial" w:eastAsia="Arial" w:hAnsi="Arial"/>
          <w:sz w:val="19"/>
          <w:szCs w:val="19"/>
          <w:color w:val="auto"/>
        </w:rPr>
        <w:t>The validity of the securities that may be offered by this prospectus and certain other matters relating to Bermuda law will be passed upon for us by Conyers Dill &amp; Pearman Limited, Bermuda. Certain other legal matters relating to United States law will be passed upon for us by Cravath, Swaine &amp; Moore LLP, New York, New York.</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EXPERTS</w:t>
      </w:r>
    </w:p>
    <w:p>
      <w:pPr>
        <w:spacing w:after="0" w:line="242" w:lineRule="exact"/>
        <w:rPr>
          <w:sz w:val="20"/>
          <w:szCs w:val="20"/>
          <w:color w:val="auto"/>
        </w:rPr>
      </w:pPr>
    </w:p>
    <w:p>
      <w:pPr>
        <w:ind w:right="20" w:firstLine="368"/>
        <w:spacing w:after="0" w:line="314" w:lineRule="auto"/>
        <w:rPr>
          <w:sz w:val="20"/>
          <w:szCs w:val="20"/>
          <w:color w:val="auto"/>
        </w:rPr>
      </w:pPr>
      <w:r>
        <w:rPr>
          <w:rFonts w:ascii="Arial" w:cs="Arial" w:eastAsia="Arial" w:hAnsi="Arial"/>
          <w:sz w:val="16"/>
          <w:szCs w:val="16"/>
          <w:color w:val="auto"/>
        </w:rPr>
        <w:t>The consolidated financial statements of GasLog Ltd. as of December 31, 2018 and December 31, 2017, and for each of the years in the three-year period ended December 31, 2018, incorporated in this prospectus by reference from the Company's Annual Report on Form 20-F for the year ended December 31, 2018 and the effectiveness of GasLog Ltd.'s internal control over financial reporting as of December 31, 2018, have been audited by Deloitte LLP, an independent registered public accounting firm, as stated in their reports, which are incorporated herein by reference. Such consolidated financial statements have been so incorporated in reliance upon the report of such firm, given upon their authority as experts in accounting and auditing.</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offices of Deloitte LLP are located at 2 New Street Square, London, EC4A 3BZ, United Kingdom.</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60"/>
          </w:cols>
          <w:pgMar w:left="120" w:top="0" w:right="160" w:bottom="1440" w:gutter="0" w:footer="0" w:header="0"/>
        </w:sectPr>
      </w:pPr>
    </w:p>
    <w:bookmarkStart w:id="28" w:name="page29"/>
    <w:bookmarkEnd w:id="28"/>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9"/>
          <w:szCs w:val="19"/>
          <w:b w:val="1"/>
          <w:bCs w:val="1"/>
          <w:color w:val="auto"/>
        </w:rPr>
        <w:t>PART II</w:t>
      </w:r>
    </w:p>
    <w:p>
      <w:pPr>
        <w:spacing w:after="0" w:line="238" w:lineRule="exact"/>
        <w:rPr>
          <w:sz w:val="20"/>
          <w:szCs w:val="20"/>
          <w:color w:val="auto"/>
        </w:rPr>
      </w:pPr>
    </w:p>
    <w:p>
      <w:pPr>
        <w:ind w:left="3780"/>
        <w:spacing w:after="0"/>
        <w:rPr>
          <w:sz w:val="20"/>
          <w:szCs w:val="20"/>
          <w:color w:val="auto"/>
        </w:rPr>
      </w:pPr>
      <w:r>
        <w:rPr>
          <w:rFonts w:ascii="Arial" w:cs="Arial" w:eastAsia="Arial" w:hAnsi="Arial"/>
          <w:sz w:val="19"/>
          <w:szCs w:val="19"/>
          <w:b w:val="1"/>
          <w:bCs w:val="1"/>
          <w:color w:val="auto"/>
        </w:rPr>
        <w:t>INFORMATION NOT REQUIRED IN PROSPECTUS</w:t>
      </w:r>
    </w:p>
    <w:p>
      <w:pPr>
        <w:spacing w:after="0" w:line="238"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b w:val="1"/>
          <w:bCs w:val="1"/>
          <w:color w:val="auto"/>
        </w:rPr>
        <w:t>Item 8.</w:t>
      </w:r>
      <w:r>
        <w:rPr>
          <w:sz w:val="20"/>
          <w:szCs w:val="20"/>
          <w:color w:val="auto"/>
        </w:rPr>
        <w:tab/>
      </w:r>
      <w:r>
        <w:rPr>
          <w:rFonts w:ascii="Arial" w:cs="Arial" w:eastAsia="Arial" w:hAnsi="Arial"/>
          <w:sz w:val="16"/>
          <w:szCs w:val="16"/>
          <w:b w:val="1"/>
          <w:bCs w:val="1"/>
          <w:i w:val="1"/>
          <w:iCs w:val="1"/>
          <w:color w:val="auto"/>
        </w:rPr>
        <w:t>Indemnification of Directors and Officers</w:t>
      </w:r>
    </w:p>
    <w:p>
      <w:pPr>
        <w:spacing w:after="0" w:line="242" w:lineRule="exact"/>
        <w:rPr>
          <w:sz w:val="20"/>
          <w:szCs w:val="20"/>
          <w:color w:val="auto"/>
        </w:rPr>
      </w:pPr>
    </w:p>
    <w:p>
      <w:pPr>
        <w:ind w:right="20" w:firstLine="371"/>
        <w:spacing w:after="0" w:line="268" w:lineRule="auto"/>
        <w:rPr>
          <w:sz w:val="20"/>
          <w:szCs w:val="20"/>
          <w:color w:val="auto"/>
        </w:rPr>
      </w:pPr>
      <w:r>
        <w:rPr>
          <w:rFonts w:ascii="Arial" w:cs="Arial" w:eastAsia="Arial" w:hAnsi="Arial"/>
          <w:sz w:val="18"/>
          <w:szCs w:val="18"/>
          <w:color w:val="auto"/>
        </w:rPr>
        <w:t>Section 98 of the Bermuda Companies Act 1981 (the "Companies Act") provides generally that a Bermuda company may indemnify its directors and officers against any liability which by virtue of any rule of law would otherwise be imposed on them in respect of any negligence, default, breach of duty or breach of trust, except in cases where such liability arises from fraud or dishonesty of which such director or officer may be guilty in relation to the company. Section 98 further provides that a Bermuda company may indemnify its directors and officers against any liability incurred by them in defending any proceedings, whether civil or criminal, in which judgment is awarded in their favor or in which they are acquitted or granted relief by the Supreme Court of Bermuda pursuant to section 281 of the Companies Act. The Company's bye-laws provide that we shall indemnify our officers and directors in respect of their actions and omissions, except in respect of their fraud or dishonesty. Our bye-laws also provide that the shareholders waive all claims or rights of action that they might have, individually or in right of the Company, against any of the Company's directors or officers for any act or failure to act in the performance of such director's or officer's duties, except in respect of any fraud or dishonesty of such director or officer.</w:t>
      </w:r>
    </w:p>
    <w:p>
      <w:pPr>
        <w:spacing w:after="0" w:line="202" w:lineRule="exact"/>
        <w:rPr>
          <w:sz w:val="20"/>
          <w:szCs w:val="20"/>
          <w:color w:val="auto"/>
        </w:rPr>
      </w:pPr>
    </w:p>
    <w:p>
      <w:pPr>
        <w:ind w:right="300" w:firstLine="371"/>
        <w:spacing w:after="0" w:line="280" w:lineRule="auto"/>
        <w:rPr>
          <w:sz w:val="20"/>
          <w:szCs w:val="20"/>
          <w:color w:val="auto"/>
        </w:rPr>
      </w:pPr>
      <w:r>
        <w:rPr>
          <w:rFonts w:ascii="Arial" w:cs="Arial" w:eastAsia="Arial" w:hAnsi="Arial"/>
          <w:sz w:val="18"/>
          <w:szCs w:val="18"/>
          <w:color w:val="auto"/>
        </w:rPr>
        <w:t>Section 98A of the Companies Act and the Company's bye-laws permit us to purchase and maintain insurance for the benefit of any officer or director in respect of any loss or liability attaching to him in respect of any negligence, default, breach of duty or breach of trust, whether or not we may otherwise indemnify such officer or director. We have purchased and maintain a directors' and officers' liability policy for such a purpose.</w:t>
      </w:r>
    </w:p>
    <w:p>
      <w:pPr>
        <w:spacing w:after="0" w:line="188" w:lineRule="exact"/>
        <w:rPr>
          <w:sz w:val="20"/>
          <w:szCs w:val="20"/>
          <w:color w:val="auto"/>
        </w:rPr>
      </w:pPr>
    </w:p>
    <w:p>
      <w:pPr>
        <w:ind w:firstLine="368"/>
        <w:spacing w:after="0" w:line="311" w:lineRule="auto"/>
        <w:rPr>
          <w:sz w:val="20"/>
          <w:szCs w:val="20"/>
          <w:color w:val="auto"/>
        </w:rPr>
      </w:pPr>
      <w:r>
        <w:rPr>
          <w:rFonts w:ascii="Arial" w:cs="Arial" w:eastAsia="Arial" w:hAnsi="Arial"/>
          <w:sz w:val="16"/>
          <w:szCs w:val="16"/>
          <w:color w:val="auto"/>
        </w:rPr>
        <w:t>We have also entered into indemnification agreements with our directors and officers which provide, among other things, that we will indemnify our directors and officers, under the circumstances and to the extent provided for therein, for expenses, damages, judgments, fines, settlements and fees that they may be required to pay in actions or proceedings to which they are or may be made a party by reason of such person's position as a director, officer, employee or other agent of the Company, subject to, and to the maximum extent permitted by, applicable law. Reference is also made to the Underwriting Agreement filed as Exhibit 1.1 to this registration statement in which GasLog Ltd. and certain of its affiliates will agree to indemnify the underwriters against certain liabilities, including liabilities under the Securities Act of 1933, as amended, and to contribute to payments that may be required to be made in respect of these liabilities.</w:t>
      </w:r>
    </w:p>
    <w:p>
      <w:pPr>
        <w:spacing w:after="0" w:line="163" w:lineRule="exact"/>
        <w:rPr>
          <w:sz w:val="20"/>
          <w:szCs w:val="20"/>
          <w:color w:val="auto"/>
        </w:rPr>
      </w:pPr>
    </w:p>
    <w:p>
      <w:pPr>
        <w:spacing w:after="0"/>
        <w:tabs>
          <w:tab w:leader="none" w:pos="720" w:val="left"/>
        </w:tabs>
        <w:rPr>
          <w:sz w:val="20"/>
          <w:szCs w:val="20"/>
          <w:color w:val="auto"/>
        </w:rPr>
      </w:pPr>
      <w:r>
        <w:rPr>
          <w:rFonts w:ascii="Arial" w:cs="Arial" w:eastAsia="Arial" w:hAnsi="Arial"/>
          <w:sz w:val="19"/>
          <w:szCs w:val="19"/>
          <w:b w:val="1"/>
          <w:bCs w:val="1"/>
          <w:color w:val="auto"/>
        </w:rPr>
        <w:t>Item 9.</w:t>
      </w:r>
      <w:r>
        <w:rPr>
          <w:sz w:val="20"/>
          <w:szCs w:val="20"/>
          <w:color w:val="auto"/>
        </w:rPr>
        <w:tab/>
      </w:r>
      <w:r>
        <w:rPr>
          <w:rFonts w:ascii="Arial" w:cs="Arial" w:eastAsia="Arial" w:hAnsi="Arial"/>
          <w:sz w:val="16"/>
          <w:szCs w:val="16"/>
          <w:b w:val="1"/>
          <w:bCs w:val="1"/>
          <w:i w:val="1"/>
          <w:iCs w:val="1"/>
          <w:color w:val="auto"/>
        </w:rPr>
        <w:t>Exhibits</w:t>
      </w:r>
    </w:p>
    <w:p>
      <w:pPr>
        <w:spacing w:after="0" w:line="237"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Exhibit No.</w:t>
            </w:r>
          </w:p>
        </w:tc>
        <w:tc>
          <w:tcPr>
            <w:tcW w:w="8540" w:type="dxa"/>
            <w:vAlign w:val="bottom"/>
          </w:tcPr>
          <w:p>
            <w:pPr>
              <w:ind w:left="3940"/>
              <w:spacing w:after="0"/>
              <w:rPr>
                <w:sz w:val="20"/>
                <w:szCs w:val="20"/>
                <w:color w:val="auto"/>
              </w:rPr>
            </w:pPr>
            <w:r>
              <w:rPr>
                <w:rFonts w:ascii="Arial" w:cs="Arial" w:eastAsia="Arial" w:hAnsi="Arial"/>
                <w:sz w:val="14"/>
                <w:szCs w:val="14"/>
                <w:b w:val="1"/>
                <w:bCs w:val="1"/>
                <w:color w:val="auto"/>
              </w:rPr>
              <w:t>Description</w:t>
            </w:r>
          </w:p>
        </w:tc>
      </w:tr>
      <w:tr>
        <w:trPr>
          <w:trHeight w:val="396"/>
        </w:trPr>
        <w:tc>
          <w:tcPr>
            <w:tcW w:w="88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160" w:type="dxa"/>
            <w:vAlign w:val="bottom"/>
          </w:tcPr>
          <w:p>
            <w:pPr>
              <w:spacing w:after="0"/>
              <w:rPr>
                <w:sz w:val="24"/>
                <w:szCs w:val="24"/>
                <w:color w:val="auto"/>
              </w:rPr>
            </w:pPr>
          </w:p>
        </w:tc>
        <w:tc>
          <w:tcPr>
            <w:tcW w:w="8540" w:type="dxa"/>
            <w:vAlign w:val="bottom"/>
            <w:tcBorders>
              <w:top w:val="single" w:sz="8" w:color="auto"/>
            </w:tcBorders>
          </w:tcPr>
          <w:p>
            <w:pPr>
              <w:ind w:left="20"/>
              <w:spacing w:after="0"/>
              <w:rPr>
                <w:sz w:val="20"/>
                <w:szCs w:val="20"/>
                <w:color w:val="auto"/>
              </w:rPr>
            </w:pPr>
            <w:r>
              <w:rPr>
                <w:rFonts w:ascii="Arial" w:cs="Arial" w:eastAsia="Arial" w:hAnsi="Arial"/>
                <w:sz w:val="19"/>
                <w:szCs w:val="19"/>
                <w:color w:val="auto"/>
              </w:rPr>
              <w:t>Form of Underwriting Agreement</w:t>
            </w:r>
            <w:r>
              <w:rPr>
                <w:rFonts w:ascii="Arial" w:cs="Arial" w:eastAsia="Arial" w:hAnsi="Arial"/>
                <w:sz w:val="30"/>
                <w:szCs w:val="30"/>
                <w:color w:val="auto"/>
                <w:vertAlign w:val="superscript"/>
              </w:rPr>
              <w:t>(1)</w:t>
            </w:r>
          </w:p>
        </w:tc>
      </w:tr>
      <w:tr>
        <w:trPr>
          <w:trHeight w:val="521"/>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4.1</w:t>
            </w:r>
          </w:p>
        </w:tc>
        <w:tc>
          <w:tcPr>
            <w:tcW w:w="8540" w:type="dxa"/>
            <w:vAlign w:val="bottom"/>
          </w:tcPr>
          <w:p>
            <w:pPr>
              <w:ind w:left="20"/>
              <w:spacing w:after="0"/>
              <w:rPr>
                <w:sz w:val="20"/>
                <w:szCs w:val="20"/>
                <w:color w:val="auto"/>
              </w:rPr>
            </w:pPr>
            <w:r>
              <w:rPr>
                <w:rFonts w:ascii="Arial" w:cs="Arial" w:eastAsia="Arial" w:hAnsi="Arial"/>
                <w:sz w:val="19"/>
                <w:szCs w:val="19"/>
                <w:color w:val="auto"/>
              </w:rPr>
              <w:t>Amended Memorandum of Association of GasLog Ltd.</w:t>
            </w:r>
            <w:r>
              <w:rPr>
                <w:rFonts w:ascii="Arial" w:cs="Arial" w:eastAsia="Arial" w:hAnsi="Arial"/>
                <w:sz w:val="30"/>
                <w:szCs w:val="30"/>
                <w:color w:val="auto"/>
                <w:vertAlign w:val="superscript"/>
              </w:rPr>
              <w:t>(2)</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4.2</w:t>
            </w:r>
          </w:p>
        </w:tc>
        <w:tc>
          <w:tcPr>
            <w:tcW w:w="8540" w:type="dxa"/>
            <w:vAlign w:val="bottom"/>
          </w:tcPr>
          <w:p>
            <w:pPr>
              <w:ind w:left="20"/>
              <w:spacing w:after="0"/>
              <w:rPr>
                <w:sz w:val="20"/>
                <w:szCs w:val="20"/>
                <w:color w:val="auto"/>
              </w:rPr>
            </w:pPr>
            <w:r>
              <w:rPr>
                <w:rFonts w:ascii="Arial" w:cs="Arial" w:eastAsia="Arial" w:hAnsi="Arial"/>
                <w:sz w:val="19"/>
                <w:szCs w:val="19"/>
                <w:color w:val="auto"/>
              </w:rPr>
              <w:t>Form of Bye-laws of GasLog Ltd.</w:t>
            </w:r>
            <w:r>
              <w:rPr>
                <w:rFonts w:ascii="Arial" w:cs="Arial" w:eastAsia="Arial" w:hAnsi="Arial"/>
                <w:sz w:val="30"/>
                <w:szCs w:val="30"/>
                <w:color w:val="auto"/>
                <w:vertAlign w:val="superscript"/>
              </w:rPr>
              <w:t>(2)</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4.3</w:t>
            </w:r>
          </w:p>
        </w:tc>
        <w:tc>
          <w:tcPr>
            <w:tcW w:w="8540" w:type="dxa"/>
            <w:vAlign w:val="bottom"/>
          </w:tcPr>
          <w:p>
            <w:pPr>
              <w:ind w:left="20"/>
              <w:spacing w:after="0"/>
              <w:rPr>
                <w:sz w:val="20"/>
                <w:szCs w:val="20"/>
                <w:color w:val="auto"/>
              </w:rPr>
            </w:pPr>
            <w:r>
              <w:rPr>
                <w:rFonts w:ascii="Arial" w:cs="Arial" w:eastAsia="Arial" w:hAnsi="Arial"/>
                <w:sz w:val="19"/>
                <w:szCs w:val="19"/>
                <w:color w:val="auto"/>
              </w:rPr>
              <w:t>Specimen Share Certificate</w:t>
            </w:r>
            <w:r>
              <w:rPr>
                <w:rFonts w:ascii="Arial" w:cs="Arial" w:eastAsia="Arial" w:hAnsi="Arial"/>
                <w:sz w:val="30"/>
                <w:szCs w:val="30"/>
                <w:color w:val="auto"/>
                <w:vertAlign w:val="superscript"/>
              </w:rPr>
              <w:t>(2)</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4.4</w:t>
            </w:r>
          </w:p>
        </w:tc>
        <w:tc>
          <w:tcPr>
            <w:tcW w:w="8540" w:type="dxa"/>
            <w:vAlign w:val="bottom"/>
          </w:tcPr>
          <w:p>
            <w:pPr>
              <w:ind w:left="20"/>
              <w:spacing w:after="0"/>
              <w:rPr>
                <w:sz w:val="20"/>
                <w:szCs w:val="20"/>
                <w:color w:val="auto"/>
              </w:rPr>
            </w:pPr>
            <w:r>
              <w:rPr>
                <w:rFonts w:ascii="Arial" w:cs="Arial" w:eastAsia="Arial" w:hAnsi="Arial"/>
                <w:sz w:val="19"/>
                <w:szCs w:val="19"/>
                <w:color w:val="auto"/>
              </w:rPr>
              <w:t>Form of Registration Rights Agreement</w:t>
            </w:r>
            <w:r>
              <w:rPr>
                <w:rFonts w:ascii="Arial" w:cs="Arial" w:eastAsia="Arial" w:hAnsi="Arial"/>
                <w:sz w:val="30"/>
                <w:szCs w:val="30"/>
                <w:color w:val="auto"/>
                <w:vertAlign w:val="superscript"/>
              </w:rPr>
              <w:t>(2)</w:t>
            </w:r>
          </w:p>
        </w:tc>
      </w:tr>
      <w:tr>
        <w:trPr>
          <w:trHeight w:val="354"/>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4.5</w:t>
            </w:r>
          </w:p>
        </w:tc>
        <w:tc>
          <w:tcPr>
            <w:tcW w:w="8540" w:type="dxa"/>
            <w:vAlign w:val="bottom"/>
          </w:tcPr>
          <w:p>
            <w:pPr>
              <w:ind w:left="20"/>
              <w:spacing w:after="0"/>
              <w:rPr>
                <w:sz w:val="20"/>
                <w:szCs w:val="20"/>
                <w:color w:val="auto"/>
              </w:rPr>
            </w:pPr>
            <w:r>
              <w:rPr>
                <w:rFonts w:ascii="Arial" w:cs="Arial" w:eastAsia="Arial" w:hAnsi="Arial"/>
                <w:sz w:val="19"/>
                <w:szCs w:val="19"/>
                <w:color w:val="auto"/>
              </w:rPr>
              <w:t>Indenture, dated March 22, 2017 by and between GasLog Ltd. and American Stock Transfer &amp; Trust</w:t>
            </w:r>
          </w:p>
        </w:tc>
      </w:tr>
      <w:tr>
        <w:trPr>
          <w:trHeight w:val="402"/>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40" w:type="dxa"/>
            <w:vAlign w:val="bottom"/>
          </w:tcPr>
          <w:p>
            <w:pPr>
              <w:ind w:left="20"/>
              <w:spacing w:after="0"/>
              <w:rPr>
                <w:sz w:val="20"/>
                <w:szCs w:val="20"/>
                <w:color w:val="auto"/>
              </w:rPr>
            </w:pPr>
            <w:r>
              <w:rPr>
                <w:rFonts w:ascii="Arial" w:cs="Arial" w:eastAsia="Arial" w:hAnsi="Arial"/>
                <w:sz w:val="19"/>
                <w:szCs w:val="19"/>
                <w:color w:val="auto"/>
              </w:rPr>
              <w:t>Company, LLC</w:t>
            </w:r>
            <w:r>
              <w:rPr>
                <w:rFonts w:ascii="Arial" w:cs="Arial" w:eastAsia="Arial" w:hAnsi="Arial"/>
                <w:sz w:val="30"/>
                <w:szCs w:val="30"/>
                <w:color w:val="auto"/>
                <w:vertAlign w:val="superscript"/>
              </w:rPr>
              <w:t>(3)</w:t>
            </w:r>
          </w:p>
        </w:tc>
      </w:tr>
    </w:tbl>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29" w:name="page30"/>
    <w:bookmarkEnd w:id="29"/>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3" w:lineRule="exact"/>
        <w:rPr>
          <w:sz w:val="20"/>
          <w:szCs w:val="20"/>
          <w:color w:val="auto"/>
        </w:rPr>
      </w:pPr>
    </w:p>
    <w:tbl>
      <w:tblPr>
        <w:tblLayout w:type="fixed"/>
        <w:tblInd w:w="1200" w:type="dxa"/>
        <w:tblCellMar>
          <w:top w:w="0" w:type="dxa"/>
          <w:left w:w="0" w:type="dxa"/>
          <w:bottom w:w="0" w:type="dxa"/>
          <w:right w:w="0" w:type="dxa"/>
        </w:tblCellMar>
      </w:tblPr>
      <w:tr>
        <w:trPr>
          <w:trHeight w:val="172"/>
        </w:trPr>
        <w:tc>
          <w:tcPr>
            <w:tcW w:w="10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Exhibit No.</w:t>
            </w:r>
          </w:p>
        </w:tc>
        <w:tc>
          <w:tcPr>
            <w:tcW w:w="1480" w:type="dxa"/>
            <w:vAlign w:val="bottom"/>
          </w:tcPr>
          <w:p>
            <w:pPr>
              <w:spacing w:after="0"/>
              <w:rPr>
                <w:sz w:val="14"/>
                <w:szCs w:val="14"/>
                <w:color w:val="auto"/>
              </w:rPr>
            </w:pPr>
          </w:p>
        </w:tc>
        <w:tc>
          <w:tcPr>
            <w:tcW w:w="7060" w:type="dxa"/>
            <w:vAlign w:val="bottom"/>
          </w:tcPr>
          <w:p>
            <w:pPr>
              <w:ind w:left="2460"/>
              <w:spacing w:after="0"/>
              <w:rPr>
                <w:sz w:val="20"/>
                <w:szCs w:val="20"/>
                <w:color w:val="auto"/>
              </w:rPr>
            </w:pPr>
            <w:r>
              <w:rPr>
                <w:rFonts w:ascii="Arial" w:cs="Arial" w:eastAsia="Arial" w:hAnsi="Arial"/>
                <w:sz w:val="14"/>
                <w:szCs w:val="14"/>
                <w:b w:val="1"/>
                <w:bCs w:val="1"/>
                <w:color w:val="auto"/>
              </w:rPr>
              <w:t>Description</w:t>
            </w:r>
          </w:p>
        </w:tc>
      </w:tr>
      <w:tr>
        <w:trPr>
          <w:trHeight w:val="212"/>
        </w:trPr>
        <w:tc>
          <w:tcPr>
            <w:tcW w:w="880" w:type="dxa"/>
            <w:vAlign w:val="bottom"/>
            <w:tcBorders>
              <w:top w:val="single" w:sz="8" w:color="auto"/>
            </w:tcBorders>
          </w:tcPr>
          <w:p>
            <w:pPr>
              <w:jc w:val="right"/>
              <w:spacing w:after="0" w:line="213" w:lineRule="exact"/>
              <w:rPr>
                <w:sz w:val="20"/>
                <w:szCs w:val="20"/>
                <w:color w:val="auto"/>
              </w:rPr>
            </w:pPr>
            <w:r>
              <w:rPr>
                <w:rFonts w:ascii="Arial" w:cs="Arial" w:eastAsia="Arial" w:hAnsi="Arial"/>
                <w:sz w:val="19"/>
                <w:szCs w:val="19"/>
                <w:color w:val="auto"/>
              </w:rPr>
              <w:t>4.6</w:t>
            </w:r>
          </w:p>
        </w:tc>
        <w:tc>
          <w:tcPr>
            <w:tcW w:w="160" w:type="dxa"/>
            <w:vAlign w:val="bottom"/>
          </w:tcPr>
          <w:p>
            <w:pPr>
              <w:spacing w:after="0"/>
              <w:rPr>
                <w:sz w:val="18"/>
                <w:szCs w:val="18"/>
                <w:color w:val="auto"/>
              </w:rPr>
            </w:pPr>
          </w:p>
        </w:tc>
        <w:tc>
          <w:tcPr>
            <w:tcW w:w="8540" w:type="dxa"/>
            <w:vAlign w:val="bottom"/>
            <w:tcBorders>
              <w:top w:val="single" w:sz="8" w:color="auto"/>
            </w:tcBorders>
            <w:gridSpan w:val="2"/>
          </w:tcPr>
          <w:p>
            <w:pPr>
              <w:ind w:left="20"/>
              <w:spacing w:after="0" w:line="213" w:lineRule="exact"/>
              <w:rPr>
                <w:sz w:val="20"/>
                <w:szCs w:val="20"/>
                <w:color w:val="auto"/>
              </w:rPr>
            </w:pPr>
            <w:r>
              <w:rPr>
                <w:rFonts w:ascii="Arial" w:cs="Arial" w:eastAsia="Arial" w:hAnsi="Arial"/>
                <w:sz w:val="19"/>
                <w:szCs w:val="19"/>
                <w:color w:val="auto"/>
                <w:w w:val="92"/>
              </w:rPr>
              <w:t>First Supplemental Indenture to the Base Indenture, dated March 22, 2017, by and between GasLog Ltd. and</w:t>
            </w:r>
          </w:p>
        </w:tc>
      </w:tr>
      <w:tr>
        <w:trPr>
          <w:trHeight w:val="231"/>
        </w:trPr>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540" w:type="dxa"/>
            <w:vAlign w:val="bottom"/>
            <w:gridSpan w:val="2"/>
          </w:tcPr>
          <w:p>
            <w:pPr>
              <w:ind w:left="20"/>
              <w:spacing w:after="0"/>
              <w:rPr>
                <w:sz w:val="20"/>
                <w:szCs w:val="20"/>
                <w:color w:val="auto"/>
              </w:rPr>
            </w:pPr>
            <w:r>
              <w:rPr>
                <w:rFonts w:ascii="Arial" w:cs="Arial" w:eastAsia="Arial" w:hAnsi="Arial"/>
                <w:sz w:val="19"/>
                <w:szCs w:val="19"/>
                <w:color w:val="auto"/>
                <w:w w:val="89"/>
              </w:rPr>
              <w:t>American Stock Transfer &amp; Trust Company, LLC, as trustee, relating to the Registrant's 8.875% Senior Notes due</w:t>
            </w:r>
          </w:p>
        </w:tc>
      </w:tr>
      <w:tr>
        <w:trPr>
          <w:trHeight w:val="402"/>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80" w:type="dxa"/>
            <w:vAlign w:val="bottom"/>
          </w:tcPr>
          <w:p>
            <w:pPr>
              <w:ind w:left="20"/>
              <w:spacing w:after="0"/>
              <w:rPr>
                <w:sz w:val="20"/>
                <w:szCs w:val="20"/>
                <w:color w:val="auto"/>
              </w:rPr>
            </w:pPr>
            <w:r>
              <w:rPr>
                <w:rFonts w:ascii="Arial" w:cs="Arial" w:eastAsia="Arial" w:hAnsi="Arial"/>
                <w:sz w:val="19"/>
                <w:szCs w:val="19"/>
                <w:color w:val="auto"/>
              </w:rPr>
              <w:t>2022</w:t>
            </w:r>
            <w:r>
              <w:rPr>
                <w:rFonts w:ascii="Arial" w:cs="Arial" w:eastAsia="Arial" w:hAnsi="Arial"/>
                <w:sz w:val="30"/>
                <w:szCs w:val="30"/>
                <w:color w:val="auto"/>
                <w:vertAlign w:val="superscript"/>
              </w:rPr>
              <w:t>(4)</w:t>
            </w:r>
          </w:p>
        </w:tc>
        <w:tc>
          <w:tcPr>
            <w:tcW w:w="7060" w:type="dxa"/>
            <w:vAlign w:val="bottom"/>
          </w:tcPr>
          <w:p>
            <w:pPr>
              <w:spacing w:after="0"/>
              <w:rPr>
                <w:sz w:val="24"/>
                <w:szCs w:val="24"/>
                <w:color w:val="auto"/>
              </w:rPr>
            </w:pPr>
          </w:p>
        </w:tc>
      </w:tr>
      <w:tr>
        <w:trPr>
          <w:trHeight w:val="35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4.7</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Indenture</w:t>
            </w:r>
          </w:p>
        </w:tc>
      </w:tr>
      <w:tr>
        <w:trPr>
          <w:trHeight w:val="485"/>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4.8</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Debt Securities (included in Exhibit 4.5)</w:t>
            </w:r>
          </w:p>
        </w:tc>
      </w:tr>
      <w:tr>
        <w:trPr>
          <w:trHeight w:val="655"/>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4.9</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Warrant Agreement</w:t>
            </w:r>
            <w:r>
              <w:rPr>
                <w:rFonts w:ascii="Arial" w:cs="Arial" w:eastAsia="Arial" w:hAnsi="Arial"/>
                <w:sz w:val="30"/>
                <w:szCs w:val="30"/>
                <w:color w:val="auto"/>
                <w:vertAlign w:val="superscript"/>
              </w:rPr>
              <w:t>(1)</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4.10</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Warrant Certificate</w:t>
            </w:r>
            <w:r>
              <w:rPr>
                <w:rFonts w:ascii="Arial" w:cs="Arial" w:eastAsia="Arial" w:hAnsi="Arial"/>
                <w:sz w:val="30"/>
                <w:szCs w:val="30"/>
                <w:color w:val="auto"/>
                <w:vertAlign w:val="superscript"/>
              </w:rPr>
              <w:t>(1)</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4.11</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Rights Agreement</w:t>
            </w:r>
            <w:r>
              <w:rPr>
                <w:rFonts w:ascii="Arial" w:cs="Arial" w:eastAsia="Arial" w:hAnsi="Arial"/>
                <w:sz w:val="30"/>
                <w:szCs w:val="30"/>
                <w:color w:val="auto"/>
                <w:vertAlign w:val="superscript"/>
              </w:rPr>
              <w:t>(1)</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4.12</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Rights Certificate</w:t>
            </w:r>
            <w:r>
              <w:rPr>
                <w:rFonts w:ascii="Arial" w:cs="Arial" w:eastAsia="Arial" w:hAnsi="Arial"/>
                <w:sz w:val="30"/>
                <w:szCs w:val="30"/>
                <w:color w:val="auto"/>
                <w:vertAlign w:val="superscript"/>
              </w:rPr>
              <w:t>(1)</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4.13</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Unit Agreement</w:t>
            </w:r>
            <w:r>
              <w:rPr>
                <w:rFonts w:ascii="Arial" w:cs="Arial" w:eastAsia="Arial" w:hAnsi="Arial"/>
                <w:sz w:val="30"/>
                <w:szCs w:val="30"/>
                <w:color w:val="auto"/>
                <w:vertAlign w:val="superscript"/>
              </w:rPr>
              <w:t>(1)</w:t>
            </w:r>
          </w:p>
        </w:tc>
      </w:tr>
      <w:tr>
        <w:trPr>
          <w:trHeight w:val="52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4.14</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of Unit Certificate</w:t>
            </w:r>
            <w:r>
              <w:rPr>
                <w:rFonts w:ascii="Arial" w:cs="Arial" w:eastAsia="Arial" w:hAnsi="Arial"/>
                <w:sz w:val="30"/>
                <w:szCs w:val="30"/>
                <w:color w:val="auto"/>
                <w:vertAlign w:val="superscript"/>
              </w:rPr>
              <w:t>(1)</w:t>
            </w:r>
          </w:p>
        </w:tc>
      </w:tr>
      <w:tr>
        <w:trPr>
          <w:trHeight w:val="35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5.1</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Opinion of Conyers Dill &amp; Pearman Limited, special counsel to the Company as to Bermuda law</w:t>
            </w:r>
          </w:p>
        </w:tc>
      </w:tr>
      <w:tr>
        <w:trPr>
          <w:trHeight w:val="485"/>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5.2</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Opinion of Cravath, Swaine &amp; Moore LLP, United States counsel to the Company</w:t>
            </w:r>
          </w:p>
        </w:tc>
      </w:tr>
      <w:tr>
        <w:trPr>
          <w:trHeight w:val="485"/>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23.1</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Consent of Deloitte LLP, Independent Registered Public Accounting Firm</w:t>
            </w:r>
          </w:p>
        </w:tc>
      </w:tr>
      <w:tr>
        <w:trPr>
          <w:trHeight w:val="485"/>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23.2</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Consent of Conyers Dill &amp; Pearman Limited (included in Exhibit 5.1)</w:t>
            </w:r>
          </w:p>
        </w:tc>
      </w:tr>
      <w:tr>
        <w:trPr>
          <w:trHeight w:val="485"/>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23.3</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Consent of Cravath, Swaine &amp; Moore LLP (included in Exhibit 5.2)</w:t>
            </w:r>
          </w:p>
        </w:tc>
      </w:tr>
      <w:tr>
        <w:trPr>
          <w:trHeight w:val="485"/>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24.1</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Power of Attorney (included on the signature page hereto)</w:t>
            </w:r>
          </w:p>
        </w:tc>
      </w:tr>
      <w:tr>
        <w:trPr>
          <w:trHeight w:val="481"/>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25.1</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w w:val="95"/>
              </w:rPr>
              <w:t>Form T-1 statement of eligibility and qualification under the Trust Indenture Act of 1939 of American Stock</w:t>
            </w:r>
          </w:p>
        </w:tc>
      </w:tr>
      <w:tr>
        <w:trPr>
          <w:trHeight w:val="402"/>
        </w:trPr>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Transfer &amp; Trust Company, LLC</w:t>
            </w:r>
            <w:r>
              <w:rPr>
                <w:rFonts w:ascii="Arial" w:cs="Arial" w:eastAsia="Arial" w:hAnsi="Arial"/>
                <w:sz w:val="30"/>
                <w:szCs w:val="30"/>
                <w:color w:val="auto"/>
                <w:vertAlign w:val="superscript"/>
              </w:rPr>
              <w:t>(5)</w:t>
            </w:r>
          </w:p>
        </w:tc>
      </w:tr>
      <w:tr>
        <w:trPr>
          <w:trHeight w:val="518"/>
        </w:trPr>
        <w:tc>
          <w:tcPr>
            <w:tcW w:w="1040" w:type="dxa"/>
            <w:vAlign w:val="bottom"/>
            <w:gridSpan w:val="2"/>
          </w:tcPr>
          <w:p>
            <w:pPr>
              <w:jc w:val="right"/>
              <w:ind w:right="160"/>
              <w:spacing w:after="0"/>
              <w:rPr>
                <w:sz w:val="20"/>
                <w:szCs w:val="20"/>
                <w:color w:val="auto"/>
              </w:rPr>
            </w:pPr>
            <w:r>
              <w:rPr>
                <w:rFonts w:ascii="Arial" w:cs="Arial" w:eastAsia="Arial" w:hAnsi="Arial"/>
                <w:sz w:val="19"/>
                <w:szCs w:val="19"/>
                <w:color w:val="auto"/>
              </w:rPr>
              <w:t>25.2</w:t>
            </w:r>
          </w:p>
        </w:tc>
        <w:tc>
          <w:tcPr>
            <w:tcW w:w="8540" w:type="dxa"/>
            <w:vAlign w:val="bottom"/>
            <w:gridSpan w:val="2"/>
          </w:tcPr>
          <w:p>
            <w:pPr>
              <w:ind w:left="20"/>
              <w:spacing w:after="0"/>
              <w:rPr>
                <w:sz w:val="20"/>
                <w:szCs w:val="20"/>
                <w:color w:val="auto"/>
              </w:rPr>
            </w:pPr>
            <w:r>
              <w:rPr>
                <w:rFonts w:ascii="Arial" w:cs="Arial" w:eastAsia="Arial" w:hAnsi="Arial"/>
                <w:sz w:val="19"/>
                <w:szCs w:val="19"/>
                <w:color w:val="auto"/>
              </w:rPr>
              <w:t>Form T-1 Statement of Eligibility for Indenture</w:t>
            </w:r>
            <w:r>
              <w:rPr>
                <w:rFonts w:ascii="Arial" w:cs="Arial" w:eastAsia="Arial" w:hAnsi="Arial"/>
                <w:sz w:val="30"/>
                <w:szCs w:val="30"/>
                <w:color w:val="auto"/>
                <w:vertAlign w:val="superscript"/>
              </w:rPr>
              <w:t>(6)</w:t>
            </w:r>
          </w:p>
        </w:tc>
      </w:tr>
      <w:tr>
        <w:trPr>
          <w:trHeight w:val="20"/>
        </w:trPr>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bl>
    <w:p>
      <w:pPr>
        <w:spacing w:after="0" w:line="203" w:lineRule="exact"/>
        <w:rPr>
          <w:sz w:val="20"/>
          <w:szCs w:val="20"/>
          <w:color w:val="auto"/>
        </w:rPr>
      </w:pPr>
    </w:p>
    <w:p>
      <w:pPr>
        <w:ind w:left="1760" w:hanging="565"/>
        <w:spacing w:after="0"/>
        <w:tabs>
          <w:tab w:leader="none" w:pos="1760" w:val="left"/>
        </w:tabs>
        <w:numPr>
          <w:ilvl w:val="0"/>
          <w:numId w:val="3"/>
        </w:numPr>
        <w:rPr>
          <w:rFonts w:ascii="Arial" w:cs="Arial" w:eastAsia="Arial" w:hAnsi="Arial"/>
          <w:sz w:val="12"/>
          <w:szCs w:val="12"/>
          <w:color w:val="auto"/>
        </w:rPr>
      </w:pPr>
      <w:r>
        <w:rPr>
          <w:rFonts w:ascii="Arial" w:cs="Arial" w:eastAsia="Arial" w:hAnsi="Arial"/>
          <w:sz w:val="14"/>
          <w:szCs w:val="14"/>
          <w:color w:val="auto"/>
        </w:rPr>
        <w:t>To be filed as an exhibit to a report on Form 6-K and incorporated herein by reference.</w:t>
      </w:r>
    </w:p>
    <w:p>
      <w:pPr>
        <w:spacing w:after="0" w:line="138" w:lineRule="exact"/>
        <w:rPr>
          <w:rFonts w:ascii="Arial" w:cs="Arial" w:eastAsia="Arial" w:hAnsi="Arial"/>
          <w:sz w:val="12"/>
          <w:szCs w:val="12"/>
          <w:color w:val="auto"/>
        </w:rPr>
      </w:pPr>
    </w:p>
    <w:p>
      <w:pPr>
        <w:ind w:left="1760" w:hanging="565"/>
        <w:spacing w:after="0" w:line="263" w:lineRule="auto"/>
        <w:tabs>
          <w:tab w:leader="none" w:pos="1760" w:val="left"/>
        </w:tabs>
        <w:numPr>
          <w:ilvl w:val="0"/>
          <w:numId w:val="3"/>
        </w:numPr>
        <w:rPr>
          <w:rFonts w:ascii="Arial" w:cs="Arial" w:eastAsia="Arial" w:hAnsi="Arial"/>
          <w:sz w:val="12"/>
          <w:szCs w:val="12"/>
          <w:color w:val="auto"/>
        </w:rPr>
      </w:pPr>
      <w:r>
        <w:rPr>
          <w:rFonts w:ascii="Arial" w:cs="Arial" w:eastAsia="Arial" w:hAnsi="Arial"/>
          <w:sz w:val="14"/>
          <w:szCs w:val="14"/>
          <w:color w:val="auto"/>
        </w:rPr>
        <w:t>Previously filed as an exhibit to GasLog Ltd.'s Registration Statement on Form F-1 (File No. 333-179034), filed with the SEC on January 17, 2012, or an amendment thereto, and hereby incorporated by reference to such Registration Statement.</w:t>
      </w:r>
    </w:p>
    <w:p>
      <w:pPr>
        <w:spacing w:after="0" w:line="103" w:lineRule="exact"/>
        <w:rPr>
          <w:rFonts w:ascii="Arial" w:cs="Arial" w:eastAsia="Arial" w:hAnsi="Arial"/>
          <w:sz w:val="12"/>
          <w:szCs w:val="12"/>
          <w:color w:val="auto"/>
        </w:rPr>
      </w:pPr>
    </w:p>
    <w:p>
      <w:pPr>
        <w:ind w:left="1760" w:hanging="565"/>
        <w:spacing w:after="0"/>
        <w:tabs>
          <w:tab w:leader="none" w:pos="1760" w:val="left"/>
        </w:tabs>
        <w:numPr>
          <w:ilvl w:val="0"/>
          <w:numId w:val="3"/>
        </w:numPr>
        <w:rPr>
          <w:rFonts w:ascii="Arial" w:cs="Arial" w:eastAsia="Arial" w:hAnsi="Arial"/>
          <w:sz w:val="12"/>
          <w:szCs w:val="12"/>
          <w:color w:val="auto"/>
        </w:rPr>
      </w:pPr>
      <w:r>
        <w:rPr>
          <w:rFonts w:ascii="Arial" w:cs="Arial" w:eastAsia="Arial" w:hAnsi="Arial"/>
          <w:sz w:val="14"/>
          <w:szCs w:val="14"/>
          <w:color w:val="auto"/>
        </w:rPr>
        <w:t>Previously filed as Exhibit 4.1 to the Registrant's Form 6-K filed with the Commission on March 22, 2017.</w:t>
      </w:r>
    </w:p>
    <w:p>
      <w:pPr>
        <w:spacing w:after="0" w:line="138" w:lineRule="exact"/>
        <w:rPr>
          <w:rFonts w:ascii="Arial" w:cs="Arial" w:eastAsia="Arial" w:hAnsi="Arial"/>
          <w:sz w:val="12"/>
          <w:szCs w:val="12"/>
          <w:color w:val="auto"/>
        </w:rPr>
      </w:pPr>
    </w:p>
    <w:p>
      <w:pPr>
        <w:ind w:left="1760" w:hanging="565"/>
        <w:spacing w:after="0"/>
        <w:tabs>
          <w:tab w:leader="none" w:pos="1760" w:val="left"/>
        </w:tabs>
        <w:numPr>
          <w:ilvl w:val="0"/>
          <w:numId w:val="3"/>
        </w:numPr>
        <w:rPr>
          <w:rFonts w:ascii="Arial" w:cs="Arial" w:eastAsia="Arial" w:hAnsi="Arial"/>
          <w:sz w:val="12"/>
          <w:szCs w:val="12"/>
          <w:color w:val="auto"/>
        </w:rPr>
      </w:pPr>
      <w:r>
        <w:rPr>
          <w:rFonts w:ascii="Arial" w:cs="Arial" w:eastAsia="Arial" w:hAnsi="Arial"/>
          <w:sz w:val="14"/>
          <w:szCs w:val="14"/>
          <w:color w:val="auto"/>
        </w:rPr>
        <w:t>Previously filed as Exhibit 4.2 to the Registrant's Form 6-K filed with the Commission on March 22, 2017.</w:t>
      </w:r>
    </w:p>
    <w:p>
      <w:pPr>
        <w:spacing w:after="0" w:line="138" w:lineRule="exact"/>
        <w:rPr>
          <w:rFonts w:ascii="Arial" w:cs="Arial" w:eastAsia="Arial" w:hAnsi="Arial"/>
          <w:sz w:val="12"/>
          <w:szCs w:val="12"/>
          <w:color w:val="auto"/>
        </w:rPr>
      </w:pPr>
    </w:p>
    <w:p>
      <w:pPr>
        <w:ind w:left="1760" w:hanging="565"/>
        <w:spacing w:after="0"/>
        <w:tabs>
          <w:tab w:leader="none" w:pos="1760" w:val="left"/>
        </w:tabs>
        <w:numPr>
          <w:ilvl w:val="0"/>
          <w:numId w:val="3"/>
        </w:numPr>
        <w:rPr>
          <w:rFonts w:ascii="Arial" w:cs="Arial" w:eastAsia="Arial" w:hAnsi="Arial"/>
          <w:sz w:val="12"/>
          <w:szCs w:val="12"/>
          <w:color w:val="auto"/>
        </w:rPr>
      </w:pPr>
      <w:r>
        <w:rPr>
          <w:rFonts w:ascii="Arial" w:cs="Arial" w:eastAsia="Arial" w:hAnsi="Arial"/>
          <w:sz w:val="14"/>
          <w:szCs w:val="14"/>
          <w:color w:val="auto"/>
        </w:rPr>
        <w:t>Previously filed on Form 305B2 with the Commission on March 14, 2017 and incorporated herein by reference.</w:t>
      </w:r>
    </w:p>
    <w:p>
      <w:pPr>
        <w:spacing w:after="0" w:line="138" w:lineRule="exact"/>
        <w:rPr>
          <w:rFonts w:ascii="Arial" w:cs="Arial" w:eastAsia="Arial" w:hAnsi="Arial"/>
          <w:sz w:val="12"/>
          <w:szCs w:val="12"/>
          <w:color w:val="auto"/>
        </w:rPr>
      </w:pPr>
    </w:p>
    <w:p>
      <w:pPr>
        <w:ind w:left="1760" w:hanging="565"/>
        <w:spacing w:after="0"/>
        <w:tabs>
          <w:tab w:leader="none" w:pos="1760" w:val="left"/>
        </w:tabs>
        <w:numPr>
          <w:ilvl w:val="0"/>
          <w:numId w:val="3"/>
        </w:numPr>
        <w:rPr>
          <w:rFonts w:ascii="Arial" w:cs="Arial" w:eastAsia="Arial" w:hAnsi="Arial"/>
          <w:sz w:val="12"/>
          <w:szCs w:val="12"/>
          <w:color w:val="auto"/>
        </w:rPr>
      </w:pPr>
      <w:r>
        <w:rPr>
          <w:rFonts w:ascii="Arial" w:cs="Arial" w:eastAsia="Arial" w:hAnsi="Arial"/>
          <w:sz w:val="14"/>
          <w:szCs w:val="14"/>
          <w:color w:val="auto"/>
        </w:rPr>
        <w:t>To be filed in accordance with Section 305(b)(2) of the Trust Indenture Act of 1939, as amended.</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9"/>
          <w:szCs w:val="19"/>
          <w:b w:val="1"/>
          <w:bCs w:val="1"/>
          <w:color w:val="auto"/>
        </w:rPr>
        <w:t>Item 10.</w:t>
      </w:r>
      <w:r>
        <w:rPr>
          <w:sz w:val="20"/>
          <w:szCs w:val="20"/>
          <w:color w:val="auto"/>
        </w:rPr>
        <w:tab/>
      </w:r>
      <w:r>
        <w:rPr>
          <w:rFonts w:ascii="Arial" w:cs="Arial" w:eastAsia="Arial" w:hAnsi="Arial"/>
          <w:sz w:val="16"/>
          <w:szCs w:val="16"/>
          <w:b w:val="1"/>
          <w:bCs w:val="1"/>
          <w:i w:val="1"/>
          <w:iCs w:val="1"/>
          <w:color w:val="auto"/>
        </w:rPr>
        <w:t>Undertakings</w:t>
      </w:r>
    </w:p>
    <w:p>
      <w:pPr>
        <w:spacing w:after="0" w:line="242"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The undersigned registrant hereby undertakes:</w:t>
      </w:r>
    </w:p>
    <w:p>
      <w:pPr>
        <w:spacing w:after="0" w:line="238"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To file, during any period in which offers or sales are being made, a post-effective amendment to this registration statement:</w:t>
      </w:r>
    </w:p>
    <w:p>
      <w:pPr>
        <w:spacing w:after="0" w:line="238" w:lineRule="exact"/>
        <w:rPr>
          <w:sz w:val="20"/>
          <w:szCs w:val="20"/>
          <w:color w:val="auto"/>
        </w:rPr>
      </w:pPr>
    </w:p>
    <w:p>
      <w:pPr>
        <w:ind w:left="1300" w:hanging="272"/>
        <w:spacing w:after="0"/>
        <w:tabs>
          <w:tab w:leader="none" w:pos="1300" w:val="left"/>
        </w:tabs>
        <w:numPr>
          <w:ilvl w:val="0"/>
          <w:numId w:val="4"/>
        </w:numPr>
        <w:rPr>
          <w:rFonts w:ascii="Arial" w:cs="Arial" w:eastAsia="Arial" w:hAnsi="Arial"/>
          <w:sz w:val="19"/>
          <w:szCs w:val="19"/>
          <w:color w:val="auto"/>
        </w:rPr>
      </w:pPr>
      <w:r>
        <w:rPr>
          <w:rFonts w:ascii="Arial" w:cs="Arial" w:eastAsia="Arial" w:hAnsi="Arial"/>
          <w:sz w:val="19"/>
          <w:szCs w:val="19"/>
          <w:color w:val="auto"/>
        </w:rPr>
        <w:t>to include any prospectus required by Section 10(a)(3) of the Securities Act of 1933, as amended;</w:t>
      </w:r>
    </w:p>
    <w:p>
      <w:pPr>
        <w:spacing w:after="0" w:line="237" w:lineRule="exact"/>
        <w:rPr>
          <w:rFonts w:ascii="Arial" w:cs="Arial" w:eastAsia="Arial" w:hAnsi="Arial"/>
          <w:sz w:val="19"/>
          <w:szCs w:val="19"/>
          <w:color w:val="auto"/>
        </w:rPr>
      </w:pPr>
    </w:p>
    <w:p>
      <w:pPr>
        <w:ind w:left="560" w:right="340" w:firstLine="422"/>
        <w:spacing w:after="0" w:line="364" w:lineRule="auto"/>
        <w:tabs>
          <w:tab w:leader="none" w:pos="1296"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20"/>
          </w:cols>
          <w:pgMar w:left="120" w:top="0" w:right="200" w:bottom="492" w:gutter="0" w:footer="0" w:header="0"/>
        </w:sectPr>
      </w:pPr>
    </w:p>
    <w:bookmarkStart w:id="30" w:name="page31"/>
    <w:bookmarkEnd w:id="30"/>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560"/>
        <w:spacing w:after="0" w:line="255" w:lineRule="auto"/>
        <w:rPr>
          <w:sz w:val="20"/>
          <w:szCs w:val="20"/>
          <w:color w:val="auto"/>
        </w:rPr>
      </w:pPr>
      <w:r>
        <w:rPr>
          <w:rFonts w:ascii="Arial" w:cs="Arial" w:eastAsia="Arial" w:hAnsi="Arial"/>
          <w:sz w:val="19"/>
          <w:szCs w:val="19"/>
          <w:color w:val="auto"/>
        </w:rPr>
        <w:t>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of the Securities Act of 1933, as amended, if, in the aggregate, the changes in volume and price represent no more than 20 percent change in the maximum aggregate offering price set forth in the "Calculation of Registration Fee" table in the effective registration statement; and</w:t>
      </w:r>
    </w:p>
    <w:p>
      <w:pPr>
        <w:spacing w:after="0" w:line="208" w:lineRule="exact"/>
        <w:rPr>
          <w:sz w:val="20"/>
          <w:szCs w:val="20"/>
          <w:color w:val="auto"/>
        </w:rPr>
      </w:pPr>
    </w:p>
    <w:p>
      <w:pPr>
        <w:ind w:left="560" w:right="40" w:firstLine="375"/>
        <w:spacing w:after="0" w:line="268" w:lineRule="auto"/>
        <w:tabs>
          <w:tab w:leader="none" w:pos="1302" w:val="left"/>
        </w:tabs>
        <w:numPr>
          <w:ilvl w:val="0"/>
          <w:numId w:val="5"/>
        </w:numPr>
        <w:rPr>
          <w:rFonts w:ascii="Arial" w:cs="Arial" w:eastAsia="Arial" w:hAnsi="Arial"/>
          <w:sz w:val="19"/>
          <w:szCs w:val="19"/>
          <w:color w:val="auto"/>
        </w:rPr>
      </w:pPr>
      <w:r>
        <w:rPr>
          <w:rFonts w:ascii="Arial" w:cs="Arial" w:eastAsia="Arial" w:hAnsi="Arial"/>
          <w:sz w:val="19"/>
          <w:szCs w:val="19"/>
          <w:color w:val="auto"/>
        </w:rPr>
        <w:t>to include any material information with respect to the plan of distribution not previously disclosed in the registration statement or any material change to such information in the registration statement;</w:t>
      </w:r>
    </w:p>
    <w:p>
      <w:pPr>
        <w:spacing w:after="0" w:line="197" w:lineRule="exact"/>
        <w:rPr>
          <w:sz w:val="20"/>
          <w:szCs w:val="20"/>
          <w:color w:val="auto"/>
        </w:rPr>
      </w:pPr>
    </w:p>
    <w:p>
      <w:pPr>
        <w:ind w:right="120"/>
        <w:spacing w:after="0" w:line="256" w:lineRule="auto"/>
        <w:rPr>
          <w:sz w:val="20"/>
          <w:szCs w:val="20"/>
          <w:color w:val="auto"/>
        </w:rPr>
      </w:pPr>
      <w:r>
        <w:rPr>
          <w:rFonts w:ascii="Arial" w:cs="Arial" w:eastAsia="Arial" w:hAnsi="Arial"/>
          <w:sz w:val="19"/>
          <w:szCs w:val="19"/>
          <w:i w:val="1"/>
          <w:iCs w:val="1"/>
          <w:color w:val="auto"/>
        </w:rPr>
        <w:t>provided, however</w:t>
      </w:r>
      <w:r>
        <w:rPr>
          <w:rFonts w:ascii="Arial" w:cs="Arial" w:eastAsia="Arial" w:hAnsi="Arial"/>
          <w:sz w:val="19"/>
          <w:szCs w:val="19"/>
          <w:color w:val="auto"/>
        </w:rPr>
        <w:t>, that paragraphs (i), (ii) and (iii) do not apply if the information required to be included in a post-effective amendment by those paragraphs is</w:t>
      </w:r>
      <w:r>
        <w:rPr>
          <w:rFonts w:ascii="Arial" w:cs="Arial" w:eastAsia="Arial" w:hAnsi="Arial"/>
          <w:sz w:val="19"/>
          <w:szCs w:val="19"/>
          <w:i w:val="1"/>
          <w:iCs w:val="1"/>
          <w:color w:val="auto"/>
        </w:rPr>
        <w:t xml:space="preserve"> </w:t>
      </w:r>
      <w:r>
        <w:rPr>
          <w:rFonts w:ascii="Arial" w:cs="Arial" w:eastAsia="Arial" w:hAnsi="Arial"/>
          <w:sz w:val="19"/>
          <w:szCs w:val="19"/>
          <w:color w:val="auto"/>
        </w:rPr>
        <w:t>contained in reports filed with or furnished to the SEC by the registrant pursuant to Section 13 or Section 15(d) of the Securities Exchange Act of 1934 that are incorporated by reference in the registration statement, or is contained in a form of prospectus filed pursuant to Rule 424(b) that is part of this registration statement.</w:t>
      </w:r>
    </w:p>
    <w:p>
      <w:pPr>
        <w:spacing w:after="0" w:line="209" w:lineRule="exact"/>
        <w:rPr>
          <w:sz w:val="20"/>
          <w:szCs w:val="20"/>
          <w:color w:val="auto"/>
        </w:rPr>
      </w:pPr>
    </w:p>
    <w:p>
      <w:pPr>
        <w:ind w:firstLine="368"/>
        <w:spacing w:after="0" w:line="259" w:lineRule="auto"/>
        <w:rPr>
          <w:sz w:val="20"/>
          <w:szCs w:val="20"/>
          <w:color w:val="auto"/>
        </w:rPr>
      </w:pPr>
      <w:r>
        <w:rPr>
          <w:rFonts w:ascii="Arial" w:cs="Arial" w:eastAsia="Arial" w:hAnsi="Arial"/>
          <w:sz w:val="19"/>
          <w:szCs w:val="19"/>
          <w:color w:val="auto"/>
        </w:rPr>
        <w:t>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bona fide offering thereof.</w:t>
      </w:r>
    </w:p>
    <w:p>
      <w:pPr>
        <w:spacing w:after="0" w:line="205" w:lineRule="exact"/>
        <w:rPr>
          <w:sz w:val="20"/>
          <w:szCs w:val="20"/>
          <w:color w:val="auto"/>
        </w:rPr>
      </w:pPr>
    </w:p>
    <w:p>
      <w:pPr>
        <w:ind w:right="280" w:firstLine="368"/>
        <w:spacing w:after="0" w:line="268" w:lineRule="auto"/>
        <w:rPr>
          <w:sz w:val="20"/>
          <w:szCs w:val="20"/>
          <w:color w:val="auto"/>
        </w:rPr>
      </w:pPr>
      <w:r>
        <w:rPr>
          <w:rFonts w:ascii="Arial" w:cs="Arial" w:eastAsia="Arial" w:hAnsi="Arial"/>
          <w:sz w:val="19"/>
          <w:szCs w:val="19"/>
          <w:color w:val="auto"/>
        </w:rPr>
        <w:t>To remove from registration by means of a post-effective amendment any of the securities being registered which remain unsold at the termination of the offering.</w:t>
      </w:r>
    </w:p>
    <w:p>
      <w:pPr>
        <w:spacing w:after="0" w:line="197" w:lineRule="exact"/>
        <w:rPr>
          <w:sz w:val="20"/>
          <w:szCs w:val="20"/>
          <w:color w:val="auto"/>
        </w:rPr>
      </w:pPr>
    </w:p>
    <w:p>
      <w:pPr>
        <w:ind w:right="20" w:firstLine="368"/>
        <w:spacing w:after="0" w:line="307" w:lineRule="auto"/>
        <w:rPr>
          <w:sz w:val="20"/>
          <w:szCs w:val="20"/>
          <w:color w:val="auto"/>
        </w:rPr>
      </w:pPr>
      <w:r>
        <w:rPr>
          <w:rFonts w:ascii="Arial" w:cs="Arial" w:eastAsia="Arial" w:hAnsi="Arial"/>
          <w:sz w:val="16"/>
          <w:szCs w:val="16"/>
          <w:color w:val="auto"/>
        </w:rPr>
        <w:t>To file a post-effective amendment to the registration statement to include any financial statements required by Item 8.A of Form 20-F at the start of any delayed offering or throughout a continuous offering. Financial statements and information otherwise required by Section 10(a)(3) of the Securities Act of 1933, as amended, need not be furnished, provided that the registrant includes in the prospectus, by means of a post-effective amendment, financial statements required pursuant to this paragraph and other information necessary to ensure that all other information in the prospectus is at least as current as the date of those financial statements. Notwithstanding the foregoing, with respect to registration statements on Form F-3, a post-effective amendment need not be filed to include financial statements and information required by Section 10(a)(3) of the Securities Act of 1933, as amended, or Item 8.A of Form 20-F if such financial statements and information are contained in periodic reports filed with or furnished to the SEC by the registrant pursuant to Section 13 or Section 15(d) of the Securities Exchange Act of 1934, as amended, that are incorporated by reference in this registration statement.</w:t>
      </w:r>
    </w:p>
    <w:p>
      <w:pPr>
        <w:spacing w:after="0" w:line="17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That, for the purpose of determining liability under the Securities Act of 1933, as amended, to any purchaser:</w:t>
      </w:r>
    </w:p>
    <w:p>
      <w:pPr>
        <w:spacing w:after="0" w:line="238" w:lineRule="exact"/>
        <w:rPr>
          <w:sz w:val="20"/>
          <w:szCs w:val="20"/>
          <w:color w:val="auto"/>
        </w:rPr>
      </w:pPr>
    </w:p>
    <w:p>
      <w:pPr>
        <w:ind w:left="560" w:right="20" w:firstLine="375"/>
        <w:spacing w:after="0" w:line="268" w:lineRule="auto"/>
        <w:tabs>
          <w:tab w:leader="none" w:pos="1281" w:val="left"/>
        </w:tabs>
        <w:numPr>
          <w:ilvl w:val="0"/>
          <w:numId w:val="6"/>
        </w:numPr>
        <w:rPr>
          <w:rFonts w:ascii="Arial" w:cs="Arial" w:eastAsia="Arial" w:hAnsi="Arial"/>
          <w:sz w:val="19"/>
          <w:szCs w:val="19"/>
          <w:color w:val="auto"/>
        </w:rPr>
      </w:pPr>
      <w:r>
        <w:rPr>
          <w:rFonts w:ascii="Arial" w:cs="Arial" w:eastAsia="Arial" w:hAnsi="Arial"/>
          <w:sz w:val="19"/>
          <w:szCs w:val="19"/>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96" w:lineRule="exact"/>
        <w:rPr>
          <w:rFonts w:ascii="Arial" w:cs="Arial" w:eastAsia="Arial" w:hAnsi="Arial"/>
          <w:sz w:val="19"/>
          <w:szCs w:val="19"/>
          <w:color w:val="auto"/>
        </w:rPr>
      </w:pPr>
    </w:p>
    <w:p>
      <w:pPr>
        <w:ind w:left="560" w:right="200" w:firstLine="375"/>
        <w:spacing w:after="0" w:line="314" w:lineRule="auto"/>
        <w:tabs>
          <w:tab w:leader="none" w:pos="1271" w:val="left"/>
        </w:tabs>
        <w:numPr>
          <w:ilvl w:val="0"/>
          <w:numId w:val="6"/>
        </w:numPr>
        <w:rPr>
          <w:rFonts w:ascii="Arial" w:cs="Arial" w:eastAsia="Arial" w:hAnsi="Arial"/>
          <w:sz w:val="16"/>
          <w:szCs w:val="16"/>
          <w:color w:val="auto"/>
        </w:rPr>
      </w:pPr>
      <w:r>
        <w:rPr>
          <w:rFonts w:ascii="Arial" w:cs="Arial" w:eastAsia="Arial" w:hAnsi="Arial"/>
          <w:sz w:val="16"/>
          <w:szCs w:val="16"/>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31" w:name="page32"/>
    <w:bookmarkEnd w:id="31"/>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ind w:left="560" w:right="80"/>
        <w:spacing w:after="0" w:line="271" w:lineRule="auto"/>
        <w:rPr>
          <w:sz w:val="20"/>
          <w:szCs w:val="20"/>
          <w:color w:val="auto"/>
        </w:rPr>
      </w:pPr>
      <w:r>
        <w:rPr>
          <w:rFonts w:ascii="Arial" w:cs="Arial" w:eastAsia="Arial" w:hAnsi="Arial"/>
          <w:sz w:val="18"/>
          <w:szCs w:val="18"/>
          <w:color w:val="auto"/>
        </w:rPr>
        <w:t>the registration statement relating to the securities in the registration statement to which that prospectus relates, and the offering of such securities at that time shall be deemed to be the initial bona fide offering thereof; provided, however, that no statement made in this registration statement or prospectus that is part of this registration statement or made in a document incorporated or deemed incorporated by reference into this registration statement or prospectus that is part of this registration statement will, as to a purchaser with a time of contract of sale prior to such effective date, supersede or modify any statement that was made in this registration statement or prospectus that was part of this registration statement or made in any such document immediately prior to such effective date.</w:t>
      </w:r>
    </w:p>
    <w:p>
      <w:pPr>
        <w:spacing w:after="0" w:line="195" w:lineRule="exact"/>
        <w:rPr>
          <w:sz w:val="20"/>
          <w:szCs w:val="20"/>
          <w:color w:val="auto"/>
        </w:rPr>
      </w:pPr>
    </w:p>
    <w:p>
      <w:pPr>
        <w:ind w:right="40" w:firstLine="368"/>
        <w:spacing w:after="0" w:line="319" w:lineRule="auto"/>
        <w:rPr>
          <w:sz w:val="20"/>
          <w:szCs w:val="20"/>
          <w:color w:val="auto"/>
        </w:rPr>
      </w:pPr>
      <w:r>
        <w:rPr>
          <w:rFonts w:ascii="Arial" w:cs="Arial" w:eastAsia="Arial" w:hAnsi="Arial"/>
          <w:sz w:val="16"/>
          <w:szCs w:val="16"/>
          <w:color w:val="auto"/>
        </w:rPr>
        <w:t>That, for the purpose of determining liability of the registrant under the Securities Act of 1933, as amended, to any purchaser in the initial distribution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63" w:lineRule="exact"/>
        <w:rPr>
          <w:sz w:val="20"/>
          <w:szCs w:val="20"/>
          <w:color w:val="auto"/>
        </w:rPr>
      </w:pPr>
    </w:p>
    <w:p>
      <w:pPr>
        <w:ind w:left="1300" w:hanging="272"/>
        <w:spacing w:after="0"/>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72" w:lineRule="exact"/>
        <w:rPr>
          <w:rFonts w:ascii="Arial" w:cs="Arial" w:eastAsia="Arial" w:hAnsi="Arial"/>
          <w:sz w:val="16"/>
          <w:szCs w:val="16"/>
          <w:color w:val="auto"/>
        </w:rPr>
      </w:pPr>
    </w:p>
    <w:p>
      <w:pPr>
        <w:ind w:left="560" w:right="800" w:firstLine="422"/>
        <w:spacing w:after="0" w:line="268" w:lineRule="auto"/>
        <w:tabs>
          <w:tab w:leader="none" w:pos="1296" w:val="left"/>
        </w:tabs>
        <w:numPr>
          <w:ilvl w:val="0"/>
          <w:numId w:val="7"/>
        </w:numPr>
        <w:rPr>
          <w:rFonts w:ascii="Arial" w:cs="Arial" w:eastAsia="Arial" w:hAnsi="Arial"/>
          <w:sz w:val="19"/>
          <w:szCs w:val="19"/>
          <w:color w:val="auto"/>
        </w:rPr>
      </w:pPr>
      <w:r>
        <w:rPr>
          <w:rFonts w:ascii="Arial" w:cs="Arial" w:eastAsia="Arial" w:hAnsi="Arial"/>
          <w:sz w:val="19"/>
          <w:szCs w:val="19"/>
          <w:color w:val="auto"/>
        </w:rPr>
        <w:t>any free writing prospectus relating to the offering prepared by or on behalf of the undersigned registrant or used or referred to by the undersigned registrant;</w:t>
      </w:r>
    </w:p>
    <w:p>
      <w:pPr>
        <w:spacing w:after="0" w:line="196" w:lineRule="exact"/>
        <w:rPr>
          <w:rFonts w:ascii="Arial" w:cs="Arial" w:eastAsia="Arial" w:hAnsi="Arial"/>
          <w:sz w:val="19"/>
          <w:szCs w:val="19"/>
          <w:color w:val="auto"/>
        </w:rPr>
      </w:pPr>
    </w:p>
    <w:p>
      <w:pPr>
        <w:ind w:left="560" w:right="220" w:firstLine="375"/>
        <w:spacing w:after="0" w:line="268" w:lineRule="auto"/>
        <w:tabs>
          <w:tab w:leader="none" w:pos="1302" w:val="left"/>
        </w:tabs>
        <w:numPr>
          <w:ilvl w:val="1"/>
          <w:numId w:val="7"/>
        </w:numPr>
        <w:rPr>
          <w:rFonts w:ascii="Arial" w:cs="Arial" w:eastAsia="Arial" w:hAnsi="Arial"/>
          <w:sz w:val="19"/>
          <w:szCs w:val="19"/>
          <w:color w:val="auto"/>
        </w:rPr>
      </w:pPr>
      <w:r>
        <w:rPr>
          <w:rFonts w:ascii="Arial" w:cs="Arial" w:eastAsia="Arial" w:hAnsi="Arial"/>
          <w:sz w:val="19"/>
          <w:szCs w:val="19"/>
          <w:color w:val="auto"/>
        </w:rPr>
        <w:t>the portion of any other free writing prospectus relating to the offering containing material information about the undersigned registrant or its securities provided by or on behalf of the undersigned registrant; and</w:t>
      </w:r>
    </w:p>
    <w:p>
      <w:pPr>
        <w:spacing w:after="0" w:line="196" w:lineRule="exact"/>
        <w:rPr>
          <w:rFonts w:ascii="Arial" w:cs="Arial" w:eastAsia="Arial" w:hAnsi="Arial"/>
          <w:sz w:val="19"/>
          <w:szCs w:val="19"/>
          <w:color w:val="auto"/>
        </w:rPr>
      </w:pPr>
    </w:p>
    <w:p>
      <w:pPr>
        <w:ind w:left="1300" w:hanging="365"/>
        <w:spacing w:after="0"/>
        <w:tabs>
          <w:tab w:leader="none" w:pos="1300" w:val="left"/>
        </w:tabs>
        <w:numPr>
          <w:ilvl w:val="1"/>
          <w:numId w:val="7"/>
        </w:numPr>
        <w:rPr>
          <w:rFonts w:ascii="Arial" w:cs="Arial" w:eastAsia="Arial" w:hAnsi="Arial"/>
          <w:sz w:val="19"/>
          <w:szCs w:val="19"/>
          <w:color w:val="auto"/>
        </w:rPr>
      </w:pPr>
      <w:r>
        <w:rPr>
          <w:rFonts w:ascii="Arial" w:cs="Arial" w:eastAsia="Arial" w:hAnsi="Arial"/>
          <w:sz w:val="19"/>
          <w:szCs w:val="19"/>
          <w:color w:val="auto"/>
        </w:rPr>
        <w:t>any other communication that is an offer in the offering made by the undersigned registrant to the purchaser.</w:t>
      </w:r>
    </w:p>
    <w:p>
      <w:pPr>
        <w:spacing w:after="0" w:line="238" w:lineRule="exact"/>
        <w:rPr>
          <w:sz w:val="20"/>
          <w:szCs w:val="20"/>
          <w:color w:val="auto"/>
        </w:rPr>
      </w:pPr>
    </w:p>
    <w:p>
      <w:pPr>
        <w:ind w:right="40" w:firstLine="368"/>
        <w:spacing w:after="0" w:line="255" w:lineRule="auto"/>
        <w:rPr>
          <w:sz w:val="20"/>
          <w:szCs w:val="20"/>
          <w:color w:val="auto"/>
        </w:rPr>
      </w:pPr>
      <w:r>
        <w:rPr>
          <w:rFonts w:ascii="Arial" w:cs="Arial" w:eastAsia="Arial" w:hAnsi="Arial"/>
          <w:sz w:val="19"/>
          <w:szCs w:val="19"/>
          <w:color w:val="auto"/>
        </w:rPr>
        <w:t>That, for purposes of determining any liability under the Securities Act of 1933, as amended, each filing of the registrant's annual report pursuant to Section 13(a) or Section 15(d) of the Securities Exchange Act of 1934, as amended (and, where applicable, each filing of an employee benefit plan's annual report pursuant to Section 15(d) of the Securities Exchange Act of 1934, as amended),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208" w:lineRule="exact"/>
        <w:rPr>
          <w:sz w:val="20"/>
          <w:szCs w:val="20"/>
          <w:color w:val="auto"/>
        </w:rPr>
      </w:pPr>
    </w:p>
    <w:p>
      <w:pPr>
        <w:ind w:right="340" w:firstLine="368"/>
        <w:spacing w:after="0" w:line="256" w:lineRule="auto"/>
        <w:rPr>
          <w:sz w:val="20"/>
          <w:szCs w:val="20"/>
          <w:color w:val="auto"/>
        </w:rPr>
      </w:pPr>
      <w:r>
        <w:rPr>
          <w:rFonts w:ascii="Arial" w:cs="Arial" w:eastAsia="Arial" w:hAnsi="Arial"/>
          <w:sz w:val="19"/>
          <w:szCs w:val="19"/>
          <w:color w:val="auto"/>
        </w:rPr>
        <w:t>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 underwriters is to be made on terms differing from those set forth on the cover page of the prospectus, a post-effective amendment will be filed to set forth the terms of such offering.</w:t>
      </w:r>
    </w:p>
    <w:p>
      <w:pPr>
        <w:spacing w:after="0" w:line="209" w:lineRule="exact"/>
        <w:rPr>
          <w:sz w:val="20"/>
          <w:szCs w:val="20"/>
          <w:color w:val="auto"/>
        </w:rPr>
      </w:pPr>
    </w:p>
    <w:p>
      <w:pPr>
        <w:ind w:firstLine="371"/>
        <w:spacing w:after="0" w:line="311" w:lineRule="auto"/>
        <w:rPr>
          <w:sz w:val="20"/>
          <w:szCs w:val="20"/>
          <w:color w:val="auto"/>
        </w:rPr>
      </w:pPr>
      <w:r>
        <w:rPr>
          <w:rFonts w:ascii="Arial" w:cs="Arial" w:eastAsia="Arial" w:hAnsi="Arial"/>
          <w:sz w:val="16"/>
          <w:szCs w:val="16"/>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2000"/>
          </w:cols>
          <w:pgMar w:left="120" w:top="0" w:right="120" w:bottom="1440" w:gutter="0" w:footer="0" w:header="0"/>
        </w:sectPr>
      </w:pPr>
    </w:p>
    <w:bookmarkStart w:id="32" w:name="page33"/>
    <w:bookmarkEnd w:id="32"/>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8" w:lineRule="exact"/>
        <w:rPr>
          <w:sz w:val="20"/>
          <w:szCs w:val="20"/>
          <w:color w:val="auto"/>
        </w:rPr>
      </w:pPr>
    </w:p>
    <w:p>
      <w:pPr>
        <w:spacing w:after="0" w:line="268" w:lineRule="auto"/>
        <w:rPr>
          <w:sz w:val="20"/>
          <w:szCs w:val="20"/>
          <w:color w:val="auto"/>
        </w:rPr>
      </w:pPr>
      <w:r>
        <w:rPr>
          <w:rFonts w:ascii="Arial" w:cs="Arial" w:eastAsia="Arial" w:hAnsi="Arial"/>
          <w:sz w:val="19"/>
          <w:szCs w:val="19"/>
          <w:color w:val="auto"/>
        </w:rPr>
        <w:t>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97" w:lineRule="exact"/>
        <w:rPr>
          <w:sz w:val="20"/>
          <w:szCs w:val="20"/>
          <w:color w:val="auto"/>
        </w:rPr>
      </w:pPr>
    </w:p>
    <w:p>
      <w:pPr>
        <w:ind w:right="100" w:firstLine="368"/>
        <w:spacing w:after="0" w:line="268" w:lineRule="auto"/>
        <w:rPr>
          <w:sz w:val="20"/>
          <w:szCs w:val="20"/>
          <w:color w:val="auto"/>
        </w:rPr>
      </w:pPr>
      <w:r>
        <w:rPr>
          <w:rFonts w:ascii="Arial" w:cs="Arial" w:eastAsia="Arial" w:hAnsi="Arial"/>
          <w:sz w:val="19"/>
          <w:szCs w:val="19"/>
          <w:color w:val="auto"/>
        </w:rPr>
        <w:t>To file an application for the purpose of determining the eligibility of the trustee to act under subsection (a) of section 310 of the Trust Indenture Act in accordance with the rules and regulations prescribed by the SEC under section 305(b)(2) of the Trust Indenture Act.</w:t>
      </w:r>
    </w:p>
    <w:p>
      <w:pPr>
        <w:spacing w:after="0" w:line="197"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680"/>
          </w:cols>
          <w:pgMar w:left="120" w:top="0" w:right="440" w:bottom="1440" w:gutter="0" w:footer="0" w:header="0"/>
        </w:sectPr>
      </w:pPr>
    </w:p>
    <w:bookmarkStart w:id="33" w:name="page34"/>
    <w:bookmarkEnd w:id="33"/>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4" w:lineRule="exact"/>
        <w:rPr>
          <w:sz w:val="20"/>
          <w:szCs w:val="20"/>
          <w:color w:val="auto"/>
        </w:rPr>
      </w:pPr>
    </w:p>
    <w:p>
      <w:pPr>
        <w:jc w:val="center"/>
        <w:ind w:right="-79"/>
        <w:spacing w:after="0"/>
        <w:rPr>
          <w:sz w:val="20"/>
          <w:szCs w:val="20"/>
          <w:color w:val="auto"/>
        </w:rPr>
      </w:pPr>
      <w:r>
        <w:rPr>
          <w:rFonts w:ascii="Arial" w:cs="Arial" w:eastAsia="Arial" w:hAnsi="Arial"/>
          <w:sz w:val="19"/>
          <w:szCs w:val="19"/>
          <w:b w:val="1"/>
          <w:bCs w:val="1"/>
          <w:color w:val="auto"/>
        </w:rPr>
        <w:t>SIGNATURES</w:t>
      </w:r>
    </w:p>
    <w:p>
      <w:pPr>
        <w:spacing w:after="0" w:line="242" w:lineRule="exact"/>
        <w:rPr>
          <w:sz w:val="20"/>
          <w:szCs w:val="20"/>
          <w:color w:val="auto"/>
        </w:rPr>
      </w:pPr>
    </w:p>
    <w:p>
      <w:pPr>
        <w:ind w:firstLine="371"/>
        <w:spacing w:after="0" w:line="259" w:lineRule="auto"/>
        <w:rPr>
          <w:sz w:val="20"/>
          <w:szCs w:val="20"/>
          <w:color w:val="auto"/>
        </w:rPr>
      </w:pPr>
      <w:r>
        <w:rPr>
          <w:rFonts w:ascii="Arial" w:cs="Arial" w:eastAsia="Arial" w:hAnsi="Arial"/>
          <w:sz w:val="19"/>
          <w:szCs w:val="19"/>
          <w:color w:val="auto"/>
        </w:rPr>
        <w:t>Pursuant to the requirements of the Securities Act of 1933, the undersigned Registrant certifies that it has reasonable grounds to believe that it meets all of the requirements for filing on Form F-3 and has duly caused this Registration Statement to be signed on its behalf by the undersigned, thereunto duly authorized, in London, on March 12, 2019.</w:t>
      </w:r>
    </w:p>
    <w:p>
      <w:pPr>
        <w:spacing w:after="0" w:line="205"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GASLOG LTD.</w:t>
      </w:r>
    </w:p>
    <w:p>
      <w:pPr>
        <w:spacing w:after="0" w:line="266" w:lineRule="exact"/>
        <w:rPr>
          <w:sz w:val="20"/>
          <w:szCs w:val="20"/>
          <w:color w:val="auto"/>
        </w:rPr>
      </w:pPr>
    </w:p>
    <w:p>
      <w:pPr>
        <w:ind w:left="6020"/>
        <w:spacing w:after="0"/>
        <w:tabs>
          <w:tab w:leader="none" w:pos="64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76200</wp:posOffset>
            </wp:positionV>
            <wp:extent cx="277114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771140" cy="8890"/>
                    </a:xfrm>
                    <a:prstGeom prst="rect">
                      <a:avLst/>
                    </a:prstGeom>
                    <a:noFill/>
                  </pic:spPr>
                </pic:pic>
              </a:graphicData>
            </a:graphic>
          </wp:anchor>
        </w:drawing>
      </w:r>
    </w:p>
    <w:p>
      <w:pPr>
        <w:spacing w:after="0" w:line="189" w:lineRule="exact"/>
        <w:rPr>
          <w:sz w:val="20"/>
          <w:szCs w:val="20"/>
          <w:color w:val="auto"/>
        </w:rPr>
      </w:pPr>
    </w:p>
    <w:p>
      <w:pPr>
        <w:ind w:left="6460"/>
        <w:spacing w:after="0"/>
        <w:tabs>
          <w:tab w:leader="none" w:pos="7140" w:val="left"/>
        </w:tabs>
        <w:rPr>
          <w:sz w:val="20"/>
          <w:szCs w:val="20"/>
          <w:color w:val="auto"/>
        </w:rPr>
      </w:pPr>
      <w:r>
        <w:rPr>
          <w:rFonts w:ascii="Arial" w:cs="Arial" w:eastAsia="Arial" w:hAnsi="Arial"/>
          <w:sz w:val="19"/>
          <w:szCs w:val="19"/>
          <w:color w:val="auto"/>
        </w:rPr>
        <w:t>Name:</w:t>
        <w:tab/>
        <w:t>Paul Wogan</w:t>
      </w:r>
    </w:p>
    <w:p>
      <w:pPr>
        <w:spacing w:after="0" w:line="17" w:lineRule="exact"/>
        <w:rPr>
          <w:sz w:val="20"/>
          <w:szCs w:val="20"/>
          <w:color w:val="auto"/>
        </w:rPr>
      </w:pPr>
    </w:p>
    <w:p>
      <w:pPr>
        <w:ind w:left="6460"/>
        <w:spacing w:after="0"/>
        <w:tabs>
          <w:tab w:leader="none" w:pos="71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i w:val="1"/>
          <w:iCs w:val="1"/>
          <w:color w:val="auto"/>
        </w:rPr>
        <w:t>Chief Executive Officer</w:t>
      </w:r>
    </w:p>
    <w:p>
      <w:pPr>
        <w:spacing w:after="0" w:line="231"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920"/>
          </w:cols>
          <w:pgMar w:left="120" w:top="0" w:right="200" w:bottom="1440" w:gutter="0" w:footer="0" w:header="0"/>
        </w:sectPr>
      </w:pPr>
    </w:p>
    <w:bookmarkStart w:id="34" w:name="page35"/>
    <w:bookmarkEnd w:id="34"/>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POWER OF ATTORNEY</w:t>
      </w:r>
    </w:p>
    <w:p>
      <w:pPr>
        <w:spacing w:after="0" w:line="242" w:lineRule="exact"/>
        <w:rPr>
          <w:sz w:val="20"/>
          <w:szCs w:val="20"/>
          <w:color w:val="auto"/>
        </w:rPr>
      </w:pPr>
    </w:p>
    <w:p>
      <w:pPr>
        <w:ind w:firstLine="371"/>
        <w:spacing w:after="0" w:line="269"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each of Paul Wogan and Alastair Maxwell his or her true and lawful attorney-in-fact and agent, with full powers of substitution and re-substitution, for him or her and in his or her name, place and stead, in any and all capacities, to sign any or all amendments (including post-effective amendments) and exhibits to this Registration Statement on Form F-3, and to any registration statement filed under Rule 462(b) under the Securities Act of 1933, as amended, and to file the same, with all exhibits thereto, and other documents in connection therewith, with the SEC and the Registrar of Companies of Bermuda, granting unto said attorney-in-fact and agent full power and authority to do and perform each and every act and thing requisite and necessary to be done, as fully for all intents and purposes as he or she might or could do in person, hereby ratifying and confirming all that said attorney-in-fact and agent, or his substitute or substitutes, may lawfully do or cause to be done by virtue hereof.</w:t>
      </w:r>
    </w:p>
    <w:p>
      <w:pPr>
        <w:spacing w:after="0" w:line="198" w:lineRule="exact"/>
        <w:rPr>
          <w:sz w:val="20"/>
          <w:szCs w:val="20"/>
          <w:color w:val="auto"/>
        </w:rPr>
      </w:pPr>
    </w:p>
    <w:p>
      <w:pPr>
        <w:ind w:right="100" w:firstLine="371"/>
        <w:spacing w:after="0" w:line="288" w:lineRule="auto"/>
        <w:rPr>
          <w:sz w:val="20"/>
          <w:szCs w:val="20"/>
          <w:color w:val="auto"/>
        </w:rPr>
      </w:pPr>
      <w:r>
        <w:rPr>
          <w:rFonts w:ascii="Arial" w:cs="Arial" w:eastAsia="Arial" w:hAnsi="Arial"/>
          <w:sz w:val="19"/>
          <w:szCs w:val="19"/>
          <w:color w:val="auto"/>
        </w:rPr>
        <w:t>Pursuant to the requirements of the Securities Act of 1933, this Registration Statement has been signed by the following persons in the capacities indicated on the 12</w:t>
      </w:r>
      <w:r>
        <w:rPr>
          <w:rFonts w:ascii="Arial" w:cs="Arial" w:eastAsia="Arial" w:hAnsi="Arial"/>
          <w:sz w:val="30"/>
          <w:szCs w:val="30"/>
          <w:color w:val="auto"/>
          <w:vertAlign w:val="superscript"/>
        </w:rPr>
        <w:t>th</w:t>
      </w:r>
      <w:r>
        <w:rPr>
          <w:rFonts w:ascii="Arial" w:cs="Arial" w:eastAsia="Arial" w:hAnsi="Arial"/>
          <w:sz w:val="19"/>
          <w:szCs w:val="19"/>
          <w:color w:val="auto"/>
        </w:rPr>
        <w:t xml:space="preserve"> day of March, 2019.</w:t>
      </w:r>
    </w:p>
    <w:p>
      <w:pPr>
        <w:sectPr>
          <w:pgSz w:w="12240" w:h="15840" w:orient="portrait"/>
          <w:cols w:equalWidth="0" w:num="1">
            <w:col w:w="11940"/>
          </w:cols>
          <w:pgMar w:left="120" w:top="0" w:right="180" w:bottom="1440" w:gutter="0" w:footer="0" w:header="0"/>
        </w:sectPr>
      </w:pPr>
    </w:p>
    <w:p>
      <w:pPr>
        <w:spacing w:after="0" w:line="47" w:lineRule="exact"/>
        <w:rPr>
          <w:sz w:val="20"/>
          <w:szCs w:val="20"/>
          <w:color w:val="auto"/>
        </w:rPr>
      </w:pPr>
    </w:p>
    <w:p>
      <w:pPr>
        <w:ind w:left="1200"/>
        <w:spacing w:after="0"/>
        <w:rPr>
          <w:sz w:val="20"/>
          <w:szCs w:val="20"/>
          <w:color w:val="auto"/>
        </w:rPr>
      </w:pPr>
      <w:r>
        <w:rPr>
          <w:rFonts w:ascii="Arial" w:cs="Arial" w:eastAsia="Arial" w:hAnsi="Arial"/>
          <w:sz w:val="14"/>
          <w:szCs w:val="14"/>
          <w:b w:val="1"/>
          <w:bCs w:val="1"/>
          <w:u w:val="single" w:color="auto"/>
          <w:color w:val="auto"/>
        </w:rPr>
        <w:t>Signature</w:t>
      </w:r>
    </w:p>
    <w:p>
      <w:pPr>
        <w:spacing w:after="0" w:line="200" w:lineRule="exact"/>
        <w:rPr>
          <w:sz w:val="20"/>
          <w:szCs w:val="20"/>
          <w:color w:val="auto"/>
        </w:rPr>
      </w:pPr>
    </w:p>
    <w:p>
      <w:pPr>
        <w:spacing w:after="0" w:line="300"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PAUL WOGAN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76200</wp:posOffset>
            </wp:positionV>
            <wp:extent cx="29432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Name: Paul Wogan</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76200</wp:posOffset>
            </wp:positionV>
            <wp:extent cx="2943225"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Name: Alastair Maxwell</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PETER G. LIVANOS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76200</wp:posOffset>
            </wp:positionV>
            <wp:extent cx="29432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Name: Peter G. Livanos</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BRUCE L. BLYTHE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76200</wp:posOffset>
            </wp:positionV>
            <wp:extent cx="294322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Name: Bruce L. Blythe</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DAVID P. CONNER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76200</wp:posOffset>
            </wp:positionV>
            <wp:extent cx="2943225"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Name: David P. Conner</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/s/ WILLIAM M. FRIEDRICH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83185</wp:posOffset>
            </wp:positionV>
            <wp:extent cx="294322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201"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Name: William M. Friedrich</w:t>
      </w:r>
    </w:p>
    <w:p>
      <w:pPr>
        <w:spacing w:after="0" w:line="266"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DENNIS M. HOUSTON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76200</wp:posOffset>
            </wp:positionV>
            <wp:extent cx="294322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spacing w:after="0" w:line="189"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Name: Dennis M. Houston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ind w:left="2500"/>
        <w:spacing w:after="0"/>
        <w:rPr>
          <w:sz w:val="20"/>
          <w:szCs w:val="20"/>
          <w:color w:val="auto"/>
        </w:rPr>
      </w:pP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400"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Chief Executive Officer</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9"/>
          <w:szCs w:val="19"/>
          <w:i w:val="1"/>
          <w:iCs w:val="1"/>
          <w:color w:val="auto"/>
        </w:rPr>
        <w:t>(Principal Executive Officer)</w:t>
      </w: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Chief Financial Officer</w:t>
      </w:r>
    </w:p>
    <w:p>
      <w:pPr>
        <w:spacing w:after="0" w:line="1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0"/>
        <w:spacing w:after="0"/>
        <w:rPr>
          <w:sz w:val="20"/>
          <w:szCs w:val="20"/>
          <w:color w:val="auto"/>
        </w:rPr>
      </w:pPr>
      <w:r>
        <w:rPr>
          <w:rFonts w:ascii="Arial" w:cs="Arial" w:eastAsia="Arial" w:hAnsi="Arial"/>
          <w:sz w:val="19"/>
          <w:szCs w:val="19"/>
          <w:color w:val="auto"/>
        </w:rPr>
        <w:t>Chairman and Director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40"/>
        <w:spacing w:after="0"/>
        <w:rPr>
          <w:sz w:val="20"/>
          <w:szCs w:val="20"/>
          <w:color w:val="auto"/>
        </w:rPr>
      </w:pPr>
      <w:r>
        <w:rPr>
          <w:rFonts w:ascii="Arial" w:cs="Arial" w:eastAsia="Arial" w:hAnsi="Arial"/>
          <w:sz w:val="19"/>
          <w:szCs w:val="19"/>
          <w:color w:val="auto"/>
        </w:rPr>
        <w:t>Director</w:t>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9"/>
          <w:szCs w:val="19"/>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-3726180</wp:posOffset>
            </wp:positionH>
            <wp:positionV relativeFrom="paragraph">
              <wp:posOffset>155575</wp:posOffset>
            </wp:positionV>
            <wp:extent cx="762889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2">
            <w:col w:w="5140" w:space="720"/>
            <w:col w:w="6080"/>
          </w:cols>
          <w:pgMar w:left="120" w:top="0" w:right="180" w:bottom="1440" w:gutter="0" w:footer="0" w:header="0"/>
          <w:type w:val="continuous"/>
        </w:sectPr>
      </w:pPr>
    </w:p>
    <w:bookmarkStart w:id="35" w:name="page36"/>
    <w:bookmarkEnd w:id="35"/>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23" w:lineRule="exact"/>
        <w:rPr>
          <w:sz w:val="20"/>
          <w:szCs w:val="20"/>
          <w:color w:val="auto"/>
        </w:rPr>
      </w:pPr>
    </w:p>
    <w:p>
      <w:pPr>
        <w:jc w:val="both"/>
        <w:ind w:left="1200"/>
        <w:spacing w:after="0"/>
        <w:tabs>
          <w:tab w:leader="none" w:pos="834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p>
    <w:p>
      <w:pPr>
        <w:spacing w:after="0" w:line="200" w:lineRule="exact"/>
        <w:rPr>
          <w:sz w:val="20"/>
          <w:szCs w:val="20"/>
          <w:color w:val="auto"/>
        </w:rPr>
      </w:pPr>
    </w:p>
    <w:p>
      <w:pPr>
        <w:spacing w:after="0" w:line="300"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DONALD J. KINTZER</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-66675</wp:posOffset>
            </wp:positionV>
            <wp:extent cx="29432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9"/>
          <w:szCs w:val="19"/>
          <w:color w:val="auto"/>
        </w:rPr>
        <w:t>Name: Donald J. Kintzer</w:t>
      </w:r>
    </w:p>
    <w:p>
      <w:pPr>
        <w:spacing w:after="0" w:line="250"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JULIAN R. METHERELL</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-66675</wp:posOffset>
            </wp:positionV>
            <wp:extent cx="2943225"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9"/>
          <w:szCs w:val="19"/>
          <w:color w:val="auto"/>
        </w:rPr>
        <w:t>Name: Julian R. Metherell</w:t>
      </w:r>
    </w:p>
    <w:p>
      <w:pPr>
        <w:spacing w:after="0" w:line="250"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ANTHONY S. PAPADIMITRIOU</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-66675</wp:posOffset>
            </wp:positionV>
            <wp:extent cx="294322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9"/>
          <w:szCs w:val="19"/>
          <w:color w:val="auto"/>
        </w:rPr>
        <w:t>Name: Anthony S. Papadimitriou</w:t>
      </w:r>
    </w:p>
    <w:p>
      <w:pPr>
        <w:spacing w:after="0" w:line="250" w:lineRule="exact"/>
        <w:rPr>
          <w:sz w:val="20"/>
          <w:szCs w:val="20"/>
          <w:color w:val="auto"/>
        </w:rPr>
      </w:pPr>
    </w:p>
    <w:p>
      <w:pPr>
        <w:ind w:left="1200"/>
        <w:spacing w:after="0"/>
        <w:rPr>
          <w:sz w:val="20"/>
          <w:szCs w:val="20"/>
          <w:color w:val="auto"/>
        </w:rPr>
      </w:pPr>
      <w:r>
        <w:rPr>
          <w:rFonts w:ascii="Arial" w:cs="Arial" w:eastAsia="Arial" w:hAnsi="Arial"/>
          <w:sz w:val="19"/>
          <w:szCs w:val="19"/>
          <w:color w:val="auto"/>
        </w:rPr>
        <w:t>/s/ GRAHAM WESTGARTH</w:t>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9"/>
          <w:szCs w:val="19"/>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756920</wp:posOffset>
            </wp:positionH>
            <wp:positionV relativeFrom="paragraph">
              <wp:posOffset>-66675</wp:posOffset>
            </wp:positionV>
            <wp:extent cx="294322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43225" cy="8890"/>
                    </a:xfrm>
                    <a:prstGeom prst="rect">
                      <a:avLst/>
                    </a:prstGeom>
                    <a:noFill/>
                  </pic:spPr>
                </pic:pic>
              </a:graphicData>
            </a:graphic>
          </wp:anchor>
        </w:drawing>
      </w:r>
    </w:p>
    <w:p>
      <w:pPr>
        <w:ind w:left="1200"/>
        <w:spacing w:after="0"/>
        <w:rPr>
          <w:sz w:val="20"/>
          <w:szCs w:val="20"/>
          <w:color w:val="auto"/>
        </w:rPr>
      </w:pPr>
      <w:r>
        <w:rPr>
          <w:rFonts w:ascii="Arial" w:cs="Arial" w:eastAsia="Arial" w:hAnsi="Arial"/>
          <w:sz w:val="19"/>
          <w:szCs w:val="19"/>
          <w:color w:val="auto"/>
        </w:rPr>
        <w:t>Name: Graham Westgarth</w:t>
      </w:r>
    </w:p>
    <w:p>
      <w:pPr>
        <w:spacing w:after="0" w:line="222" w:lineRule="exact"/>
        <w:rPr>
          <w:sz w:val="20"/>
          <w:szCs w:val="20"/>
          <w:color w:val="auto"/>
        </w:rPr>
      </w:pPr>
    </w:p>
    <w:p>
      <w:pPr>
        <w:ind w:left="5860"/>
        <w:spacing w:after="0"/>
        <w:rPr>
          <w:sz w:val="20"/>
          <w:szCs w:val="20"/>
          <w:color w:val="auto"/>
        </w:rPr>
      </w:pPr>
      <w:r>
        <w:rPr>
          <w:rFonts w:ascii="Arial" w:cs="Arial" w:eastAsia="Arial" w:hAnsi="Arial"/>
          <w:sz w:val="19"/>
          <w:szCs w:val="19"/>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0680"/>
          </w:cols>
          <w:pgMar w:left="120" w:top="0" w:right="1440" w:bottom="1440" w:gutter="0" w:footer="0" w:header="0"/>
        </w:sectPr>
      </w:pPr>
    </w:p>
    <w:bookmarkStart w:id="36" w:name="page37"/>
    <w:bookmarkEnd w:id="36"/>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p>
      <w:pPr>
        <w:jc w:val="center"/>
        <w:ind w:right="-279"/>
        <w:spacing w:after="0"/>
        <w:rPr>
          <w:sz w:val="20"/>
          <w:szCs w:val="20"/>
          <w:color w:val="auto"/>
        </w:rPr>
      </w:pPr>
      <w:r>
        <w:rPr>
          <w:rFonts w:ascii="Arial" w:cs="Arial" w:eastAsia="Arial" w:hAnsi="Arial"/>
          <w:sz w:val="19"/>
          <w:szCs w:val="19"/>
          <w:b w:val="1"/>
          <w:bCs w:val="1"/>
          <w:color w:val="auto"/>
        </w:rPr>
        <w:t>AUTHORIZED UNITED STATES REPRESENTATIVE</w:t>
      </w:r>
    </w:p>
    <w:p>
      <w:pPr>
        <w:spacing w:after="0" w:line="242" w:lineRule="exact"/>
        <w:rPr>
          <w:sz w:val="20"/>
          <w:szCs w:val="20"/>
          <w:color w:val="auto"/>
        </w:rPr>
      </w:pPr>
    </w:p>
    <w:p>
      <w:pPr>
        <w:ind w:firstLine="371"/>
        <w:spacing w:after="0" w:line="268" w:lineRule="auto"/>
        <w:rPr>
          <w:sz w:val="20"/>
          <w:szCs w:val="20"/>
          <w:color w:val="auto"/>
        </w:rPr>
      </w:pPr>
      <w:r>
        <w:rPr>
          <w:rFonts w:ascii="Arial" w:cs="Arial" w:eastAsia="Arial" w:hAnsi="Arial"/>
          <w:sz w:val="19"/>
          <w:szCs w:val="19"/>
          <w:color w:val="auto"/>
        </w:rPr>
        <w:t>Pursuant to the requirement of the Securities Act of 1933, the undersigned, the duly authorized representative in the United States of the aforementioned Registrant, has signed this Registration Statement on March 12, 2019.</w:t>
      </w:r>
    </w:p>
    <w:p>
      <w:pPr>
        <w:spacing w:after="0" w:line="197" w:lineRule="exact"/>
        <w:rPr>
          <w:sz w:val="20"/>
          <w:szCs w:val="20"/>
          <w:color w:val="auto"/>
        </w:rPr>
      </w:pPr>
    </w:p>
    <w:p>
      <w:pPr>
        <w:ind w:left="6020"/>
        <w:spacing w:after="0"/>
        <w:rPr>
          <w:sz w:val="20"/>
          <w:szCs w:val="20"/>
          <w:color w:val="auto"/>
        </w:rPr>
      </w:pPr>
      <w:r>
        <w:rPr>
          <w:rFonts w:ascii="Arial" w:cs="Arial" w:eastAsia="Arial" w:hAnsi="Arial"/>
          <w:sz w:val="19"/>
          <w:szCs w:val="19"/>
          <w:color w:val="auto"/>
        </w:rPr>
        <w:t>PUGLISI &amp; ASSOCIATES</w:t>
      </w:r>
    </w:p>
    <w:p>
      <w:pPr>
        <w:spacing w:after="0" w:line="266" w:lineRule="exact"/>
        <w:rPr>
          <w:sz w:val="20"/>
          <w:szCs w:val="20"/>
          <w:color w:val="auto"/>
        </w:rPr>
      </w:pPr>
    </w:p>
    <w:p>
      <w:pPr>
        <w:ind w:left="6020"/>
        <w:spacing w:after="0"/>
        <w:tabs>
          <w:tab w:leader="none" w:pos="6440" w:val="left"/>
        </w:tabs>
        <w:rPr>
          <w:sz w:val="20"/>
          <w:szCs w:val="20"/>
          <w:color w:val="auto"/>
        </w:rPr>
      </w:pPr>
      <w:r>
        <w:rPr>
          <w:rFonts w:ascii="Arial" w:cs="Arial" w:eastAsia="Arial" w:hAnsi="Arial"/>
          <w:sz w:val="19"/>
          <w:szCs w:val="19"/>
          <w:color w:val="auto"/>
        </w:rPr>
        <w:t>By:</w:t>
      </w:r>
      <w:r>
        <w:rPr>
          <w:sz w:val="20"/>
          <w:szCs w:val="20"/>
          <w:color w:val="auto"/>
        </w:rPr>
        <w:tab/>
      </w:r>
      <w:r>
        <w:rPr>
          <w:rFonts w:ascii="Arial" w:cs="Arial" w:eastAsia="Arial" w:hAnsi="Arial"/>
          <w:sz w:val="16"/>
          <w:szCs w:val="16"/>
          <w:color w:val="auto"/>
        </w:rPr>
        <w:t>/s/ DONALD J. PUGLISI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4098290</wp:posOffset>
            </wp:positionH>
            <wp:positionV relativeFrom="paragraph">
              <wp:posOffset>76200</wp:posOffset>
            </wp:positionV>
            <wp:extent cx="277114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771140" cy="8890"/>
                    </a:xfrm>
                    <a:prstGeom prst="rect">
                      <a:avLst/>
                    </a:prstGeom>
                    <a:noFill/>
                  </pic:spPr>
                </pic:pic>
              </a:graphicData>
            </a:graphic>
          </wp:anchor>
        </w:drawing>
      </w:r>
    </w:p>
    <w:p>
      <w:pPr>
        <w:spacing w:after="0" w:line="189" w:lineRule="exact"/>
        <w:rPr>
          <w:sz w:val="20"/>
          <w:szCs w:val="20"/>
          <w:color w:val="auto"/>
        </w:rPr>
      </w:pPr>
    </w:p>
    <w:p>
      <w:pPr>
        <w:ind w:left="6460"/>
        <w:spacing w:after="0"/>
        <w:tabs>
          <w:tab w:leader="none" w:pos="7140" w:val="left"/>
        </w:tabs>
        <w:rPr>
          <w:sz w:val="20"/>
          <w:szCs w:val="20"/>
          <w:color w:val="auto"/>
        </w:rPr>
      </w:pPr>
      <w:r>
        <w:rPr>
          <w:rFonts w:ascii="Arial" w:cs="Arial" w:eastAsia="Arial" w:hAnsi="Arial"/>
          <w:sz w:val="19"/>
          <w:szCs w:val="19"/>
          <w:color w:val="auto"/>
        </w:rPr>
        <w:t>Name:</w:t>
        <w:tab/>
        <w:t>Donald J. Puglisi</w:t>
      </w:r>
    </w:p>
    <w:p>
      <w:pPr>
        <w:spacing w:after="0" w:line="17" w:lineRule="exact"/>
        <w:rPr>
          <w:sz w:val="20"/>
          <w:szCs w:val="20"/>
          <w:color w:val="auto"/>
        </w:rPr>
      </w:pPr>
    </w:p>
    <w:p>
      <w:pPr>
        <w:ind w:left="6460"/>
        <w:spacing w:after="0"/>
        <w:tabs>
          <w:tab w:leader="none" w:pos="7140" w:val="left"/>
        </w:tabs>
        <w:rPr>
          <w:sz w:val="20"/>
          <w:szCs w:val="20"/>
          <w:color w:val="auto"/>
        </w:rPr>
      </w:pPr>
      <w:r>
        <w:rPr>
          <w:rFonts w:ascii="Arial" w:cs="Arial" w:eastAsia="Arial" w:hAnsi="Arial"/>
          <w:sz w:val="19"/>
          <w:szCs w:val="19"/>
          <w:color w:val="auto"/>
        </w:rPr>
        <w:t>Title:</w:t>
      </w:r>
      <w:r>
        <w:rPr>
          <w:sz w:val="20"/>
          <w:szCs w:val="20"/>
          <w:color w:val="auto"/>
        </w:rPr>
        <w:tab/>
      </w:r>
      <w:r>
        <w:rPr>
          <w:rFonts w:ascii="Arial" w:cs="Arial" w:eastAsia="Arial" w:hAnsi="Arial"/>
          <w:sz w:val="19"/>
          <w:szCs w:val="19"/>
          <w:i w:val="1"/>
          <w:iCs w:val="1"/>
          <w:color w:val="auto"/>
        </w:rPr>
        <w:t>Managing Director</w:t>
      </w:r>
    </w:p>
    <w:p>
      <w:pPr>
        <w:spacing w:after="0" w:line="231"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II-9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155575</wp:posOffset>
            </wp:positionV>
            <wp:extent cx="762889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11680"/>
          </w:cols>
          <w:pgMar w:left="120" w:top="0" w:right="440" w:bottom="1440" w:gutter="0" w:footer="0" w:header="0"/>
        </w:sectPr>
      </w:pPr>
    </w:p>
    <w:bookmarkStart w:id="37" w:name="page38"/>
    <w:bookmarkEnd w:id="37"/>
    <w:p>
      <w:pPr>
        <w:spacing w:after="0" w:line="101" w:lineRule="exact"/>
        <w:rPr>
          <w:sz w:val="20"/>
          <w:szCs w:val="20"/>
          <w:color w:val="auto"/>
        </w:rPr>
      </w:pPr>
    </w:p>
    <w:p>
      <w:pPr>
        <w:spacing w:after="0"/>
        <w:rPr>
          <w:rFonts w:ascii="Arial" w:cs="Arial" w:eastAsia="Arial" w:hAnsi="Arial"/>
          <w:sz w:val="19"/>
          <w:szCs w:val="19"/>
          <w:u w:val="single" w:color="auto"/>
          <w:color w:val="0000EE"/>
        </w:rPr>
      </w:pPr>
      <w:hyperlink w:anchor="page4">
        <w:r>
          <w:rPr>
            <w:rFonts w:ascii="Arial" w:cs="Arial" w:eastAsia="Arial" w:hAnsi="Arial"/>
            <w:sz w:val="19"/>
            <w:szCs w:val="19"/>
            <w:u w:val="single" w:color="auto"/>
            <w:color w:val="0000EE"/>
          </w:rPr>
          <w:t>Table of Contents</w:t>
        </w:r>
      </w:hyperlink>
    </w:p>
    <w:p>
      <w:pPr>
        <w:spacing w:after="0" w:line="200" w:lineRule="exact"/>
        <w:rPr>
          <w:sz w:val="20"/>
          <w:szCs w:val="20"/>
          <w:color w:val="auto"/>
        </w:rPr>
      </w:pPr>
    </w:p>
    <w:p>
      <w:pPr>
        <w:spacing w:after="0" w:line="252" w:lineRule="exact"/>
        <w:rPr>
          <w:sz w:val="20"/>
          <w:szCs w:val="20"/>
          <w:color w:val="auto"/>
        </w:rPr>
      </w:pPr>
    </w:p>
    <w:tbl>
      <w:tblPr>
        <w:tblLayout w:type="fixed"/>
        <w:tblInd w:w="1200" w:type="dxa"/>
        <w:tblCellMar>
          <w:top w:w="0" w:type="dxa"/>
          <w:left w:w="0" w:type="dxa"/>
          <w:bottom w:w="0" w:type="dxa"/>
          <w:right w:w="0" w:type="dxa"/>
        </w:tblCellMar>
      </w:tblPr>
      <w:tr>
        <w:trPr>
          <w:trHeight w:val="239"/>
        </w:trPr>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20" w:type="dxa"/>
            <w:vAlign w:val="bottom"/>
            <w:gridSpan w:val="14"/>
          </w:tcPr>
          <w:p>
            <w:pPr>
              <w:ind w:left="80"/>
              <w:spacing w:after="0"/>
              <w:rPr>
                <w:sz w:val="20"/>
                <w:szCs w:val="20"/>
                <w:color w:val="auto"/>
              </w:rPr>
            </w:pPr>
            <w:r>
              <w:rPr>
                <w:rFonts w:ascii="Arial" w:cs="Arial" w:eastAsia="Arial" w:hAnsi="Arial"/>
                <w:sz w:val="19"/>
                <w:szCs w:val="19"/>
                <w:b w:val="1"/>
                <w:bCs w:val="1"/>
                <w:color w:val="auto"/>
              </w:rPr>
              <w:t>INDEX TO EXHIBITS</w:t>
            </w:r>
          </w:p>
        </w:tc>
        <w:tc>
          <w:tcPr>
            <w:tcW w:w="0" w:type="dxa"/>
            <w:vAlign w:val="bottom"/>
          </w:tcPr>
          <w:p>
            <w:pPr>
              <w:spacing w:after="0"/>
              <w:rPr>
                <w:sz w:val="1"/>
                <w:szCs w:val="1"/>
                <w:color w:val="auto"/>
              </w:rPr>
            </w:pPr>
          </w:p>
        </w:tc>
      </w:tr>
      <w:tr>
        <w:trPr>
          <w:trHeight w:val="373"/>
        </w:trPr>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Exhibit</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No.</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5140" w:type="dxa"/>
            <w:vAlign w:val="bottom"/>
            <w:gridSpan w:val="12"/>
          </w:tcPr>
          <w:p>
            <w:pPr>
              <w:ind w:left="4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396"/>
        </w:trPr>
        <w:tc>
          <w:tcPr>
            <w:tcW w:w="600" w:type="dxa"/>
            <w:vAlign w:val="bottom"/>
            <w:tcBorders>
              <w:top w:val="single" w:sz="8" w:color="auto"/>
            </w:tcBorders>
          </w:tcPr>
          <w:p>
            <w:pPr>
              <w:jc w:val="right"/>
              <w:spacing w:after="0"/>
              <w:rPr>
                <w:sz w:val="20"/>
                <w:szCs w:val="20"/>
                <w:color w:val="auto"/>
              </w:rPr>
            </w:pPr>
            <w:r>
              <w:rPr>
                <w:rFonts w:ascii="Arial" w:cs="Arial" w:eastAsia="Arial" w:hAnsi="Arial"/>
                <w:sz w:val="19"/>
                <w:szCs w:val="19"/>
                <w:color w:val="auto"/>
              </w:rPr>
              <w:t>1.1</w:t>
            </w:r>
          </w:p>
        </w:tc>
        <w:tc>
          <w:tcPr>
            <w:tcW w:w="180" w:type="dxa"/>
            <w:vAlign w:val="bottom"/>
          </w:tcPr>
          <w:p>
            <w:pPr>
              <w:spacing w:after="0"/>
              <w:rPr>
                <w:sz w:val="24"/>
                <w:szCs w:val="24"/>
                <w:color w:val="auto"/>
              </w:rPr>
            </w:pPr>
          </w:p>
        </w:tc>
        <w:tc>
          <w:tcPr>
            <w:tcW w:w="8800" w:type="dxa"/>
            <w:vAlign w:val="bottom"/>
            <w:tcBorders>
              <w:top w:val="single" w:sz="8" w:color="auto"/>
            </w:tcBorders>
            <w:gridSpan w:val="31"/>
          </w:tcPr>
          <w:p>
            <w:pPr>
              <w:spacing w:after="0"/>
              <w:rPr>
                <w:sz w:val="20"/>
                <w:szCs w:val="20"/>
                <w:color w:val="auto"/>
              </w:rPr>
            </w:pPr>
            <w:r>
              <w:rPr>
                <w:rFonts w:ascii="Arial" w:cs="Arial" w:eastAsia="Arial" w:hAnsi="Arial"/>
                <w:sz w:val="19"/>
                <w:szCs w:val="19"/>
                <w:color w:val="auto"/>
              </w:rPr>
              <w:t>Form of Underwriting Agreement</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283"/>
        </w:trPr>
        <w:tc>
          <w:tcPr>
            <w:tcW w:w="7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4.1</w:t>
            </w:r>
          </w:p>
        </w:tc>
        <w:tc>
          <w:tcPr>
            <w:tcW w:w="4120" w:type="dxa"/>
            <w:vAlign w:val="bottom"/>
            <w:gridSpan w:val="20"/>
            <w:vMerge w:val="restart"/>
          </w:tcPr>
          <w:p>
            <w:pPr>
              <w:spacing w:after="0"/>
              <w:rPr>
                <w:rFonts w:ascii="Arial" w:cs="Arial" w:eastAsia="Arial" w:hAnsi="Arial"/>
                <w:sz w:val="19"/>
                <w:szCs w:val="19"/>
                <w:color w:val="0000EE"/>
                <w:w w:val="89"/>
              </w:rPr>
            </w:pPr>
            <w:hyperlink r:id="rId67">
              <w:r>
                <w:rPr>
                  <w:rFonts w:ascii="Arial" w:cs="Arial" w:eastAsia="Arial" w:hAnsi="Arial"/>
                  <w:sz w:val="19"/>
                  <w:szCs w:val="19"/>
                  <w:color w:val="0000EE"/>
                  <w:w w:val="89"/>
                </w:rPr>
                <w:t>Amended Memorandum of Association of GasLog Ltd.</w:t>
              </w:r>
            </w:hyperlink>
          </w:p>
        </w:tc>
        <w:tc>
          <w:tcPr>
            <w:tcW w:w="180" w:type="dxa"/>
            <w:vAlign w:val="bottom"/>
            <w:tcBorders>
              <w:bottom w:val="single" w:sz="8" w:color="0000EE"/>
            </w:tcBorders>
          </w:tcPr>
          <w:p>
            <w:pPr>
              <w:jc w:val="right"/>
              <w:spacing w:after="0"/>
              <w:rPr>
                <w:sz w:val="20"/>
                <w:szCs w:val="20"/>
                <w:color w:val="auto"/>
              </w:rPr>
            </w:pPr>
            <w:r>
              <w:rPr>
                <w:rFonts w:ascii="Arial" w:cs="Arial" w:eastAsia="Arial" w:hAnsi="Arial"/>
                <w:sz w:val="15"/>
                <w:szCs w:val="15"/>
                <w:color w:val="0000EE"/>
                <w:w w:val="87"/>
              </w:rPr>
              <w:t>(2)</w:t>
            </w:r>
          </w:p>
        </w:tc>
        <w:tc>
          <w:tcPr>
            <w:tcW w:w="20" w:type="dxa"/>
            <w:vAlign w:val="bottom"/>
            <w:vMerge w:val="restart"/>
          </w:tcPr>
          <w:p>
            <w:pPr>
              <w:spacing w:after="0"/>
              <w:rPr>
                <w:sz w:val="24"/>
                <w:szCs w:val="24"/>
                <w:color w:val="auto"/>
              </w:rPr>
            </w:pPr>
          </w:p>
        </w:tc>
        <w:tc>
          <w:tcPr>
            <w:tcW w:w="7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80" w:type="dxa"/>
            <w:vAlign w:val="bottom"/>
            <w:gridSpan w:val="2"/>
            <w:vMerge w:val="continue"/>
          </w:tcPr>
          <w:p>
            <w:pPr>
              <w:spacing w:after="0"/>
              <w:rPr>
                <w:sz w:val="4"/>
                <w:szCs w:val="4"/>
                <w:color w:val="auto"/>
              </w:rPr>
            </w:pPr>
          </w:p>
        </w:tc>
        <w:tc>
          <w:tcPr>
            <w:tcW w:w="4120" w:type="dxa"/>
            <w:vAlign w:val="bottom"/>
            <w:tcBorders>
              <w:bottom w:val="single" w:sz="8" w:color="0000EE"/>
            </w:tcBorders>
            <w:gridSpan w:val="20"/>
            <w:vMerge w:val="continue"/>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6"/>
        </w:trPr>
        <w:tc>
          <w:tcPr>
            <w:tcW w:w="7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4.2</w:t>
            </w:r>
          </w:p>
        </w:tc>
        <w:tc>
          <w:tcPr>
            <w:tcW w:w="2540" w:type="dxa"/>
            <w:vAlign w:val="bottom"/>
            <w:gridSpan w:val="13"/>
            <w:vMerge w:val="restart"/>
          </w:tcPr>
          <w:p>
            <w:pPr>
              <w:spacing w:after="0"/>
              <w:rPr>
                <w:rFonts w:ascii="Arial" w:cs="Arial" w:eastAsia="Arial" w:hAnsi="Arial"/>
                <w:sz w:val="19"/>
                <w:szCs w:val="19"/>
                <w:color w:val="0000EE"/>
                <w:w w:val="90"/>
              </w:rPr>
            </w:pPr>
            <w:hyperlink r:id="rId68">
              <w:r>
                <w:rPr>
                  <w:rFonts w:ascii="Arial" w:cs="Arial" w:eastAsia="Arial" w:hAnsi="Arial"/>
                  <w:sz w:val="19"/>
                  <w:szCs w:val="19"/>
                  <w:color w:val="0000EE"/>
                  <w:w w:val="90"/>
                </w:rPr>
                <w:t>Form of Bye-laws of GasLog Ltd.</w:t>
              </w:r>
            </w:hyperlink>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7"/>
              </w:rPr>
              <w:t>(2)</w:t>
            </w:r>
          </w:p>
        </w:tc>
        <w:tc>
          <w:tcPr>
            <w:tcW w:w="24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60" w:type="dxa"/>
            <w:vAlign w:val="bottom"/>
            <w:gridSpan w:val="3"/>
            <w:vMerge w:val="restart"/>
          </w:tcPr>
          <w:p>
            <w:pPr>
              <w:spacing w:after="0"/>
              <w:rPr>
                <w:sz w:val="24"/>
                <w:szCs w:val="24"/>
                <w:color w:val="auto"/>
              </w:rPr>
            </w:pPr>
          </w:p>
        </w:tc>
        <w:tc>
          <w:tcPr>
            <w:tcW w:w="7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6"/>
        </w:trPr>
        <w:tc>
          <w:tcPr>
            <w:tcW w:w="780" w:type="dxa"/>
            <w:vAlign w:val="bottom"/>
            <w:gridSpan w:val="2"/>
            <w:vMerge w:val="continue"/>
          </w:tcPr>
          <w:p>
            <w:pPr>
              <w:spacing w:after="0"/>
              <w:rPr>
                <w:sz w:val="4"/>
                <w:szCs w:val="4"/>
                <w:color w:val="auto"/>
              </w:rPr>
            </w:pPr>
          </w:p>
        </w:tc>
        <w:tc>
          <w:tcPr>
            <w:tcW w:w="2540" w:type="dxa"/>
            <w:vAlign w:val="bottom"/>
            <w:tcBorders>
              <w:bottom w:val="single" w:sz="8" w:color="0000EE"/>
            </w:tcBorders>
            <w:gridSpan w:val="13"/>
            <w:vMerge w:val="continue"/>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6"/>
        </w:trPr>
        <w:tc>
          <w:tcPr>
            <w:tcW w:w="7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4.3</w:t>
            </w:r>
          </w:p>
        </w:tc>
        <w:tc>
          <w:tcPr>
            <w:tcW w:w="2040" w:type="dxa"/>
            <w:vAlign w:val="bottom"/>
            <w:gridSpan w:val="8"/>
            <w:vMerge w:val="restart"/>
          </w:tcPr>
          <w:p>
            <w:pPr>
              <w:spacing w:after="0"/>
              <w:rPr>
                <w:rFonts w:ascii="Arial" w:cs="Arial" w:eastAsia="Arial" w:hAnsi="Arial"/>
                <w:sz w:val="19"/>
                <w:szCs w:val="19"/>
                <w:color w:val="0000EE"/>
                <w:w w:val="87"/>
              </w:rPr>
            </w:pPr>
            <w:hyperlink r:id="rId69">
              <w:r>
                <w:rPr>
                  <w:rFonts w:ascii="Arial" w:cs="Arial" w:eastAsia="Arial" w:hAnsi="Arial"/>
                  <w:sz w:val="19"/>
                  <w:szCs w:val="19"/>
                  <w:color w:val="0000EE"/>
                  <w:w w:val="87"/>
                </w:rPr>
                <w:t>Specimen Share Certificate</w:t>
              </w:r>
            </w:hyperlink>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7"/>
              </w:rPr>
              <w:t>(2)</w:t>
            </w:r>
          </w:p>
        </w:tc>
        <w:tc>
          <w:tcPr>
            <w:tcW w:w="2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gridSpan w:val="2"/>
            <w:vMerge w:val="restart"/>
          </w:tcPr>
          <w:p>
            <w:pPr>
              <w:spacing w:after="0"/>
              <w:rPr>
                <w:sz w:val="24"/>
                <w:szCs w:val="24"/>
                <w:color w:val="auto"/>
              </w:rPr>
            </w:pPr>
          </w:p>
        </w:tc>
        <w:tc>
          <w:tcPr>
            <w:tcW w:w="340" w:type="dxa"/>
            <w:vAlign w:val="bottom"/>
            <w:gridSpan w:val="2"/>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160" w:type="dxa"/>
            <w:vAlign w:val="bottom"/>
            <w:vMerge w:val="restart"/>
          </w:tcPr>
          <w:p>
            <w:pPr>
              <w:spacing w:after="0"/>
              <w:rPr>
                <w:sz w:val="24"/>
                <w:szCs w:val="24"/>
                <w:color w:val="auto"/>
              </w:rPr>
            </w:pPr>
          </w:p>
        </w:tc>
        <w:tc>
          <w:tcPr>
            <w:tcW w:w="520" w:type="dxa"/>
            <w:vAlign w:val="bottom"/>
            <w:vMerge w:val="restart"/>
          </w:tcPr>
          <w:p>
            <w:pPr>
              <w:spacing w:after="0"/>
              <w:rPr>
                <w:sz w:val="24"/>
                <w:szCs w:val="24"/>
                <w:color w:val="auto"/>
              </w:rPr>
            </w:pPr>
          </w:p>
        </w:tc>
        <w:tc>
          <w:tcPr>
            <w:tcW w:w="660" w:type="dxa"/>
            <w:vAlign w:val="bottom"/>
            <w:gridSpan w:val="3"/>
            <w:vMerge w:val="restart"/>
          </w:tcPr>
          <w:p>
            <w:pPr>
              <w:spacing w:after="0"/>
              <w:rPr>
                <w:sz w:val="24"/>
                <w:szCs w:val="24"/>
                <w:color w:val="auto"/>
              </w:rPr>
            </w:pPr>
          </w:p>
        </w:tc>
        <w:tc>
          <w:tcPr>
            <w:tcW w:w="7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80" w:type="dxa"/>
            <w:vAlign w:val="bottom"/>
            <w:gridSpan w:val="2"/>
            <w:vMerge w:val="continue"/>
          </w:tcPr>
          <w:p>
            <w:pPr>
              <w:spacing w:after="0"/>
              <w:rPr>
                <w:sz w:val="4"/>
                <w:szCs w:val="4"/>
                <w:color w:val="auto"/>
              </w:rPr>
            </w:pPr>
          </w:p>
        </w:tc>
        <w:tc>
          <w:tcPr>
            <w:tcW w:w="2040" w:type="dxa"/>
            <w:vAlign w:val="bottom"/>
            <w:tcBorders>
              <w:bottom w:val="single" w:sz="8" w:color="0000EE"/>
            </w:tcBorders>
            <w:gridSpan w:val="8"/>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340" w:type="dxa"/>
            <w:vAlign w:val="bottom"/>
            <w:gridSpan w:val="2"/>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vMerge w:val="continue"/>
          </w:tcPr>
          <w:p>
            <w:pPr>
              <w:spacing w:after="0"/>
              <w:rPr>
                <w:sz w:val="4"/>
                <w:szCs w:val="4"/>
                <w:color w:val="auto"/>
              </w:rPr>
            </w:pPr>
          </w:p>
        </w:tc>
        <w:tc>
          <w:tcPr>
            <w:tcW w:w="520" w:type="dxa"/>
            <w:vAlign w:val="bottom"/>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36"/>
        </w:trPr>
        <w:tc>
          <w:tcPr>
            <w:tcW w:w="7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4.4</w:t>
            </w:r>
          </w:p>
        </w:tc>
        <w:tc>
          <w:tcPr>
            <w:tcW w:w="2960" w:type="dxa"/>
            <w:vAlign w:val="bottom"/>
            <w:gridSpan w:val="16"/>
            <w:vMerge w:val="restart"/>
          </w:tcPr>
          <w:p>
            <w:pPr>
              <w:spacing w:after="0"/>
              <w:rPr>
                <w:rFonts w:ascii="Arial" w:cs="Arial" w:eastAsia="Arial" w:hAnsi="Arial"/>
                <w:sz w:val="19"/>
                <w:szCs w:val="19"/>
                <w:color w:val="0000EE"/>
                <w:w w:val="89"/>
              </w:rPr>
            </w:pPr>
            <w:hyperlink r:id="rId70">
              <w:r>
                <w:rPr>
                  <w:rFonts w:ascii="Arial" w:cs="Arial" w:eastAsia="Arial" w:hAnsi="Arial"/>
                  <w:sz w:val="19"/>
                  <w:szCs w:val="19"/>
                  <w:color w:val="0000EE"/>
                  <w:w w:val="89"/>
                </w:rPr>
                <w:t>Form of Registration Rights Agreement</w:t>
              </w:r>
            </w:hyperlink>
          </w:p>
        </w:tc>
        <w:tc>
          <w:tcPr>
            <w:tcW w:w="180" w:type="dxa"/>
            <w:vAlign w:val="bottom"/>
            <w:tcBorders>
              <w:bottom w:val="single" w:sz="8" w:color="0000EE"/>
            </w:tcBorders>
            <w:gridSpan w:val="2"/>
          </w:tcPr>
          <w:p>
            <w:pPr>
              <w:jc w:val="right"/>
              <w:spacing w:after="0"/>
              <w:rPr>
                <w:sz w:val="20"/>
                <w:szCs w:val="20"/>
                <w:color w:val="auto"/>
              </w:rPr>
            </w:pPr>
            <w:r>
              <w:rPr>
                <w:rFonts w:ascii="Arial" w:cs="Arial" w:eastAsia="Arial" w:hAnsi="Arial"/>
                <w:sz w:val="15"/>
                <w:szCs w:val="15"/>
                <w:color w:val="0000EE"/>
                <w:w w:val="87"/>
              </w:rPr>
              <w:t>(2)</w:t>
            </w:r>
          </w:p>
        </w:tc>
        <w:tc>
          <w:tcPr>
            <w:tcW w:w="520" w:type="dxa"/>
            <w:vAlign w:val="bottom"/>
            <w:vMerge w:val="restart"/>
          </w:tcPr>
          <w:p>
            <w:pPr>
              <w:spacing w:after="0"/>
              <w:rPr>
                <w:sz w:val="24"/>
                <w:szCs w:val="24"/>
                <w:color w:val="auto"/>
              </w:rPr>
            </w:pPr>
          </w:p>
        </w:tc>
        <w:tc>
          <w:tcPr>
            <w:tcW w:w="660" w:type="dxa"/>
            <w:vAlign w:val="bottom"/>
            <w:gridSpan w:val="3"/>
            <w:vMerge w:val="restart"/>
          </w:tcPr>
          <w:p>
            <w:pPr>
              <w:spacing w:after="0"/>
              <w:rPr>
                <w:sz w:val="24"/>
                <w:szCs w:val="24"/>
                <w:color w:val="auto"/>
              </w:rPr>
            </w:pPr>
          </w:p>
        </w:tc>
        <w:tc>
          <w:tcPr>
            <w:tcW w:w="740" w:type="dxa"/>
            <w:vAlign w:val="bottom"/>
            <w:vMerge w:val="restart"/>
          </w:tcPr>
          <w:p>
            <w:pPr>
              <w:spacing w:after="0"/>
              <w:rPr>
                <w:sz w:val="24"/>
                <w:szCs w:val="24"/>
                <w:color w:val="auto"/>
              </w:rPr>
            </w:pPr>
          </w:p>
        </w:tc>
        <w:tc>
          <w:tcPr>
            <w:tcW w:w="140" w:type="dxa"/>
            <w:vAlign w:val="bottom"/>
            <w:vMerge w:val="restart"/>
          </w:tcPr>
          <w:p>
            <w:pPr>
              <w:spacing w:after="0"/>
              <w:rPr>
                <w:sz w:val="24"/>
                <w:szCs w:val="24"/>
                <w:color w:val="auto"/>
              </w:rPr>
            </w:pPr>
          </w:p>
        </w:tc>
        <w:tc>
          <w:tcPr>
            <w:tcW w:w="300" w:type="dxa"/>
            <w:vAlign w:val="bottom"/>
            <w:vMerge w:val="restart"/>
          </w:tcPr>
          <w:p>
            <w:pPr>
              <w:spacing w:after="0"/>
              <w:rPr>
                <w:sz w:val="24"/>
                <w:szCs w:val="24"/>
                <w:color w:val="auto"/>
              </w:rPr>
            </w:pPr>
          </w:p>
        </w:tc>
        <w:tc>
          <w:tcPr>
            <w:tcW w:w="600" w:type="dxa"/>
            <w:vAlign w:val="bottom"/>
            <w:vMerge w:val="restart"/>
          </w:tcPr>
          <w:p>
            <w:pPr>
              <w:spacing w:after="0"/>
              <w:rPr>
                <w:sz w:val="24"/>
                <w:szCs w:val="24"/>
                <w:color w:val="auto"/>
              </w:rPr>
            </w:pPr>
          </w:p>
        </w:tc>
        <w:tc>
          <w:tcPr>
            <w:tcW w:w="1120" w:type="dxa"/>
            <w:vAlign w:val="bottom"/>
            <w:vMerge w:val="restart"/>
          </w:tcPr>
          <w:p>
            <w:pPr>
              <w:spacing w:after="0"/>
              <w:rPr>
                <w:sz w:val="24"/>
                <w:szCs w:val="24"/>
                <w:color w:val="auto"/>
              </w:rPr>
            </w:pPr>
          </w:p>
        </w:tc>
        <w:tc>
          <w:tcPr>
            <w:tcW w:w="840" w:type="dxa"/>
            <w:vAlign w:val="bottom"/>
            <w:vMerge w:val="restart"/>
          </w:tcPr>
          <w:p>
            <w:pPr>
              <w:spacing w:after="0"/>
              <w:rPr>
                <w:sz w:val="24"/>
                <w:szCs w:val="24"/>
                <w:color w:val="auto"/>
              </w:rPr>
            </w:pPr>
          </w:p>
        </w:tc>
        <w:tc>
          <w:tcPr>
            <w:tcW w:w="220" w:type="dxa"/>
            <w:vAlign w:val="bottom"/>
            <w:vMerge w:val="restart"/>
          </w:tcPr>
          <w:p>
            <w:pPr>
              <w:spacing w:after="0"/>
              <w:rPr>
                <w:sz w:val="24"/>
                <w:szCs w:val="24"/>
                <w:color w:val="auto"/>
              </w:rPr>
            </w:pPr>
          </w:p>
        </w:tc>
        <w:tc>
          <w:tcPr>
            <w:tcW w:w="180" w:type="dxa"/>
            <w:vAlign w:val="bottom"/>
            <w:vMerge w:val="restart"/>
          </w:tcPr>
          <w:p>
            <w:pPr>
              <w:spacing w:after="0"/>
              <w:rPr>
                <w:sz w:val="24"/>
                <w:szCs w:val="24"/>
                <w:color w:val="auto"/>
              </w:rPr>
            </w:pPr>
          </w:p>
        </w:tc>
        <w:tc>
          <w:tcPr>
            <w:tcW w:w="34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780" w:type="dxa"/>
            <w:vAlign w:val="bottom"/>
            <w:gridSpan w:val="2"/>
            <w:vMerge w:val="continue"/>
          </w:tcPr>
          <w:p>
            <w:pPr>
              <w:spacing w:after="0"/>
              <w:rPr>
                <w:sz w:val="4"/>
                <w:szCs w:val="4"/>
                <w:color w:val="auto"/>
              </w:rPr>
            </w:pPr>
          </w:p>
        </w:tc>
        <w:tc>
          <w:tcPr>
            <w:tcW w:w="2960" w:type="dxa"/>
            <w:vAlign w:val="bottom"/>
            <w:tcBorders>
              <w:bottom w:val="single" w:sz="8" w:color="0000EE"/>
            </w:tcBorders>
            <w:gridSpan w:val="16"/>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220" w:type="dxa"/>
            <w:vAlign w:val="bottom"/>
            <w:vMerge w:val="continue"/>
          </w:tcPr>
          <w:p>
            <w:pPr>
              <w:spacing w:after="0"/>
              <w:rPr>
                <w:sz w:val="4"/>
                <w:szCs w:val="4"/>
                <w:color w:val="auto"/>
              </w:rPr>
            </w:pPr>
          </w:p>
        </w:tc>
        <w:tc>
          <w:tcPr>
            <w:tcW w:w="180" w:type="dxa"/>
            <w:vAlign w:val="bottom"/>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4.5</w:t>
            </w:r>
          </w:p>
        </w:tc>
        <w:tc>
          <w:tcPr>
            <w:tcW w:w="8280" w:type="dxa"/>
            <w:vAlign w:val="bottom"/>
            <w:tcBorders>
              <w:bottom w:val="single" w:sz="8" w:color="0000EE"/>
            </w:tcBorders>
            <w:gridSpan w:val="29"/>
          </w:tcPr>
          <w:p>
            <w:pPr>
              <w:spacing w:after="0"/>
              <w:rPr>
                <w:rFonts w:ascii="Arial" w:cs="Arial" w:eastAsia="Arial" w:hAnsi="Arial"/>
                <w:sz w:val="19"/>
                <w:szCs w:val="19"/>
                <w:color w:val="0000EE"/>
                <w:w w:val="88"/>
              </w:rPr>
            </w:pPr>
            <w:hyperlink r:id="rId71">
              <w:r>
                <w:rPr>
                  <w:rFonts w:ascii="Arial" w:cs="Arial" w:eastAsia="Arial" w:hAnsi="Arial"/>
                  <w:sz w:val="19"/>
                  <w:szCs w:val="19"/>
                  <w:color w:val="0000EE"/>
                  <w:w w:val="88"/>
                </w:rPr>
                <w:t>Indenture, dated March 22, 2017 by and between GasLog Ltd. and American Stock Transfer &amp; Trust Company,</w:t>
              </w:r>
            </w:hyperlink>
          </w:p>
        </w:tc>
        <w:tc>
          <w:tcPr>
            <w:tcW w:w="5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0" w:type="dxa"/>
            <w:vAlign w:val="bottom"/>
            <w:gridSpan w:val="2"/>
            <w:vMerge w:val="restart"/>
          </w:tcPr>
          <w:p>
            <w:pPr>
              <w:ind w:left="40"/>
              <w:spacing w:after="0"/>
              <w:rPr>
                <w:rFonts w:ascii="Arial" w:cs="Arial" w:eastAsia="Arial" w:hAnsi="Arial"/>
                <w:sz w:val="19"/>
                <w:szCs w:val="19"/>
                <w:color w:val="0000EE"/>
                <w:w w:val="97"/>
              </w:rPr>
            </w:pPr>
            <w:hyperlink r:id="rId71">
              <w:r>
                <w:rPr>
                  <w:rFonts w:ascii="Arial" w:cs="Arial" w:eastAsia="Arial" w:hAnsi="Arial"/>
                  <w:sz w:val="19"/>
                  <w:szCs w:val="19"/>
                  <w:color w:val="0000EE"/>
                  <w:w w:val="97"/>
                </w:rPr>
                <w:t>LLC</w:t>
              </w:r>
            </w:hyperlink>
          </w:p>
        </w:tc>
        <w:tc>
          <w:tcPr>
            <w:tcW w:w="180" w:type="dxa"/>
            <w:vAlign w:val="bottom"/>
            <w:tcBorders>
              <w:bottom w:val="single" w:sz="8" w:color="0000EE"/>
            </w:tcBorders>
            <w:gridSpan w:val="3"/>
          </w:tcPr>
          <w:p>
            <w:pPr>
              <w:spacing w:after="0" w:line="166" w:lineRule="exact"/>
              <w:rPr>
                <w:rFonts w:ascii="Arial" w:cs="Arial" w:eastAsia="Arial" w:hAnsi="Arial"/>
                <w:sz w:val="15"/>
                <w:szCs w:val="15"/>
                <w:color w:val="0000EE"/>
                <w:w w:val="87"/>
              </w:rPr>
            </w:pPr>
            <w:hyperlink r:id="rId71">
              <w:r>
                <w:rPr>
                  <w:rFonts w:ascii="Arial" w:cs="Arial" w:eastAsia="Arial" w:hAnsi="Arial"/>
                  <w:sz w:val="15"/>
                  <w:szCs w:val="15"/>
                  <w:color w:val="0000EE"/>
                  <w:w w:val="87"/>
                </w:rPr>
                <w:t>(3)</w:t>
              </w:r>
            </w:hyperlink>
          </w:p>
        </w:tc>
        <w:tc>
          <w:tcPr>
            <w:tcW w:w="780" w:type="dxa"/>
            <w:vAlign w:val="bottom"/>
            <w:vMerge w:val="restart"/>
          </w:tcPr>
          <w:p>
            <w:pPr>
              <w:spacing w:after="0"/>
              <w:rPr>
                <w:sz w:val="15"/>
                <w:szCs w:val="15"/>
                <w:color w:val="auto"/>
              </w:rPr>
            </w:pPr>
          </w:p>
        </w:tc>
        <w:tc>
          <w:tcPr>
            <w:tcW w:w="1080" w:type="dxa"/>
            <w:vAlign w:val="bottom"/>
            <w:gridSpan w:val="5"/>
            <w:vMerge w:val="restart"/>
          </w:tcPr>
          <w:p>
            <w:pPr>
              <w:spacing w:after="0"/>
              <w:rPr>
                <w:sz w:val="15"/>
                <w:szCs w:val="15"/>
                <w:color w:val="auto"/>
              </w:rPr>
            </w:pPr>
          </w:p>
        </w:tc>
        <w:tc>
          <w:tcPr>
            <w:tcW w:w="20" w:type="dxa"/>
            <w:vAlign w:val="bottom"/>
            <w:vMerge w:val="restart"/>
          </w:tcPr>
          <w:p>
            <w:pPr>
              <w:spacing w:after="0"/>
              <w:rPr>
                <w:sz w:val="15"/>
                <w:szCs w:val="15"/>
                <w:color w:val="auto"/>
              </w:rPr>
            </w:pPr>
          </w:p>
        </w:tc>
        <w:tc>
          <w:tcPr>
            <w:tcW w:w="160" w:type="dxa"/>
            <w:vAlign w:val="bottom"/>
            <w:gridSpan w:val="2"/>
            <w:vMerge w:val="restart"/>
          </w:tcPr>
          <w:p>
            <w:pPr>
              <w:spacing w:after="0"/>
              <w:rPr>
                <w:sz w:val="15"/>
                <w:szCs w:val="15"/>
                <w:color w:val="auto"/>
              </w:rPr>
            </w:pPr>
          </w:p>
        </w:tc>
        <w:tc>
          <w:tcPr>
            <w:tcW w:w="1040" w:type="dxa"/>
            <w:vAlign w:val="bottom"/>
            <w:gridSpan w:val="5"/>
            <w:vMerge w:val="restart"/>
          </w:tcPr>
          <w:p>
            <w:pPr>
              <w:spacing w:after="0"/>
              <w:rPr>
                <w:sz w:val="15"/>
                <w:szCs w:val="15"/>
                <w:color w:val="auto"/>
              </w:rPr>
            </w:pPr>
          </w:p>
        </w:tc>
        <w:tc>
          <w:tcPr>
            <w:tcW w:w="660" w:type="dxa"/>
            <w:vAlign w:val="bottom"/>
            <w:gridSpan w:val="3"/>
            <w:vMerge w:val="restart"/>
          </w:tcPr>
          <w:p>
            <w:pPr>
              <w:spacing w:after="0"/>
              <w:rPr>
                <w:sz w:val="15"/>
                <w:szCs w:val="15"/>
                <w:color w:val="auto"/>
              </w:rPr>
            </w:pPr>
          </w:p>
        </w:tc>
        <w:tc>
          <w:tcPr>
            <w:tcW w:w="740" w:type="dxa"/>
            <w:vAlign w:val="bottom"/>
            <w:vMerge w:val="restart"/>
          </w:tcPr>
          <w:p>
            <w:pPr>
              <w:spacing w:after="0"/>
              <w:rPr>
                <w:sz w:val="15"/>
                <w:szCs w:val="15"/>
                <w:color w:val="auto"/>
              </w:rPr>
            </w:pPr>
          </w:p>
        </w:tc>
        <w:tc>
          <w:tcPr>
            <w:tcW w:w="140" w:type="dxa"/>
            <w:vAlign w:val="bottom"/>
            <w:vMerge w:val="restart"/>
          </w:tcPr>
          <w:p>
            <w:pPr>
              <w:spacing w:after="0"/>
              <w:rPr>
                <w:sz w:val="15"/>
                <w:szCs w:val="15"/>
                <w:color w:val="auto"/>
              </w:rPr>
            </w:pPr>
          </w:p>
        </w:tc>
        <w:tc>
          <w:tcPr>
            <w:tcW w:w="300" w:type="dxa"/>
            <w:vAlign w:val="bottom"/>
            <w:vMerge w:val="restart"/>
          </w:tcPr>
          <w:p>
            <w:pPr>
              <w:spacing w:after="0"/>
              <w:rPr>
                <w:sz w:val="15"/>
                <w:szCs w:val="15"/>
                <w:color w:val="auto"/>
              </w:rPr>
            </w:pPr>
          </w:p>
        </w:tc>
        <w:tc>
          <w:tcPr>
            <w:tcW w:w="600" w:type="dxa"/>
            <w:vAlign w:val="bottom"/>
            <w:vMerge w:val="restart"/>
          </w:tcPr>
          <w:p>
            <w:pPr>
              <w:spacing w:after="0"/>
              <w:rPr>
                <w:sz w:val="15"/>
                <w:szCs w:val="15"/>
                <w:color w:val="auto"/>
              </w:rPr>
            </w:pPr>
          </w:p>
        </w:tc>
        <w:tc>
          <w:tcPr>
            <w:tcW w:w="1120" w:type="dxa"/>
            <w:vAlign w:val="bottom"/>
            <w:vMerge w:val="restart"/>
          </w:tcPr>
          <w:p>
            <w:pPr>
              <w:spacing w:after="0"/>
              <w:rPr>
                <w:sz w:val="15"/>
                <w:szCs w:val="15"/>
                <w:color w:val="auto"/>
              </w:rPr>
            </w:pPr>
          </w:p>
        </w:tc>
        <w:tc>
          <w:tcPr>
            <w:tcW w:w="840" w:type="dxa"/>
            <w:vAlign w:val="bottom"/>
            <w:vMerge w:val="restart"/>
          </w:tcPr>
          <w:p>
            <w:pPr>
              <w:spacing w:after="0"/>
              <w:rPr>
                <w:sz w:val="15"/>
                <w:szCs w:val="15"/>
                <w:color w:val="auto"/>
              </w:rPr>
            </w:pPr>
          </w:p>
        </w:tc>
        <w:tc>
          <w:tcPr>
            <w:tcW w:w="400" w:type="dxa"/>
            <w:vAlign w:val="bottom"/>
            <w:gridSpan w:val="2"/>
            <w:vMerge w:val="restart"/>
          </w:tcPr>
          <w:p>
            <w:pPr>
              <w:spacing w:after="0"/>
              <w:rPr>
                <w:sz w:val="15"/>
                <w:szCs w:val="15"/>
                <w:color w:val="auto"/>
              </w:rPr>
            </w:pPr>
          </w:p>
        </w:tc>
        <w:tc>
          <w:tcPr>
            <w:tcW w:w="34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0" w:type="dxa"/>
            <w:vAlign w:val="bottom"/>
            <w:tcBorders>
              <w:bottom w:val="single" w:sz="8" w:color="0000EE"/>
            </w:tcBorders>
            <w:gridSpan w:val="2"/>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vMerge w:val="continue"/>
          </w:tcPr>
          <w:p>
            <w:pPr>
              <w:spacing w:after="0"/>
              <w:rPr>
                <w:sz w:val="4"/>
                <w:szCs w:val="4"/>
                <w:color w:val="auto"/>
              </w:rPr>
            </w:pPr>
          </w:p>
        </w:tc>
        <w:tc>
          <w:tcPr>
            <w:tcW w:w="1080" w:type="dxa"/>
            <w:vAlign w:val="bottom"/>
            <w:gridSpan w:val="5"/>
            <w:vMerge w:val="continue"/>
          </w:tcPr>
          <w:p>
            <w:pPr>
              <w:spacing w:after="0"/>
              <w:rPr>
                <w:sz w:val="4"/>
                <w:szCs w:val="4"/>
                <w:color w:val="auto"/>
              </w:rPr>
            </w:pPr>
          </w:p>
        </w:tc>
        <w:tc>
          <w:tcPr>
            <w:tcW w:w="20" w:type="dxa"/>
            <w:vAlign w:val="bottom"/>
            <w:vMerge w:val="continue"/>
          </w:tcPr>
          <w:p>
            <w:pPr>
              <w:spacing w:after="0"/>
              <w:rPr>
                <w:sz w:val="4"/>
                <w:szCs w:val="4"/>
                <w:color w:val="auto"/>
              </w:rPr>
            </w:pPr>
          </w:p>
        </w:tc>
        <w:tc>
          <w:tcPr>
            <w:tcW w:w="160" w:type="dxa"/>
            <w:vAlign w:val="bottom"/>
            <w:gridSpan w:val="2"/>
            <w:vMerge w:val="continue"/>
          </w:tcPr>
          <w:p>
            <w:pPr>
              <w:spacing w:after="0"/>
              <w:rPr>
                <w:sz w:val="4"/>
                <w:szCs w:val="4"/>
                <w:color w:val="auto"/>
              </w:rPr>
            </w:pPr>
          </w:p>
        </w:tc>
        <w:tc>
          <w:tcPr>
            <w:tcW w:w="1040" w:type="dxa"/>
            <w:vAlign w:val="bottom"/>
            <w:gridSpan w:val="5"/>
            <w:vMerge w:val="continue"/>
          </w:tcPr>
          <w:p>
            <w:pPr>
              <w:spacing w:after="0"/>
              <w:rPr>
                <w:sz w:val="4"/>
                <w:szCs w:val="4"/>
                <w:color w:val="auto"/>
              </w:rPr>
            </w:pPr>
          </w:p>
        </w:tc>
        <w:tc>
          <w:tcPr>
            <w:tcW w:w="660" w:type="dxa"/>
            <w:vAlign w:val="bottom"/>
            <w:gridSpan w:val="3"/>
            <w:vMerge w:val="continue"/>
          </w:tcPr>
          <w:p>
            <w:pPr>
              <w:spacing w:after="0"/>
              <w:rPr>
                <w:sz w:val="4"/>
                <w:szCs w:val="4"/>
                <w:color w:val="auto"/>
              </w:rPr>
            </w:pPr>
          </w:p>
        </w:tc>
        <w:tc>
          <w:tcPr>
            <w:tcW w:w="740" w:type="dxa"/>
            <w:vAlign w:val="bottom"/>
            <w:vMerge w:val="continue"/>
          </w:tcPr>
          <w:p>
            <w:pPr>
              <w:spacing w:after="0"/>
              <w:rPr>
                <w:sz w:val="4"/>
                <w:szCs w:val="4"/>
                <w:color w:val="auto"/>
              </w:rPr>
            </w:pPr>
          </w:p>
        </w:tc>
        <w:tc>
          <w:tcPr>
            <w:tcW w:w="140" w:type="dxa"/>
            <w:vAlign w:val="bottom"/>
            <w:vMerge w:val="continue"/>
          </w:tcPr>
          <w:p>
            <w:pPr>
              <w:spacing w:after="0"/>
              <w:rPr>
                <w:sz w:val="4"/>
                <w:szCs w:val="4"/>
                <w:color w:val="auto"/>
              </w:rPr>
            </w:pPr>
          </w:p>
        </w:tc>
        <w:tc>
          <w:tcPr>
            <w:tcW w:w="300" w:type="dxa"/>
            <w:vAlign w:val="bottom"/>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840" w:type="dxa"/>
            <w:vAlign w:val="bottom"/>
            <w:vMerge w:val="continue"/>
          </w:tcPr>
          <w:p>
            <w:pPr>
              <w:spacing w:after="0"/>
              <w:rPr>
                <w:sz w:val="4"/>
                <w:szCs w:val="4"/>
                <w:color w:val="auto"/>
              </w:rPr>
            </w:pPr>
          </w:p>
        </w:tc>
        <w:tc>
          <w:tcPr>
            <w:tcW w:w="400" w:type="dxa"/>
            <w:vAlign w:val="bottom"/>
            <w:gridSpan w:val="2"/>
            <w:vMerge w:val="continue"/>
          </w:tcPr>
          <w:p>
            <w:pPr>
              <w:spacing w:after="0"/>
              <w:rPr>
                <w:sz w:val="4"/>
                <w:szCs w:val="4"/>
                <w:color w:val="auto"/>
              </w:rPr>
            </w:pPr>
          </w:p>
        </w:tc>
        <w:tc>
          <w:tcPr>
            <w:tcW w:w="3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4.6</w:t>
            </w:r>
          </w:p>
        </w:tc>
        <w:tc>
          <w:tcPr>
            <w:tcW w:w="8800" w:type="dxa"/>
            <w:vAlign w:val="bottom"/>
            <w:gridSpan w:val="31"/>
          </w:tcPr>
          <w:p>
            <w:pPr>
              <w:spacing w:after="0"/>
              <w:rPr>
                <w:rFonts w:ascii="Arial" w:cs="Arial" w:eastAsia="Arial" w:hAnsi="Arial"/>
                <w:sz w:val="19"/>
                <w:szCs w:val="19"/>
                <w:color w:val="0000EE"/>
                <w:w w:val="95"/>
              </w:rPr>
            </w:pPr>
            <w:hyperlink r:id="rId72">
              <w:r>
                <w:rPr>
                  <w:rFonts w:ascii="Arial" w:cs="Arial" w:eastAsia="Arial" w:hAnsi="Arial"/>
                  <w:sz w:val="19"/>
                  <w:szCs w:val="19"/>
                  <w:color w:val="0000EE"/>
                  <w:w w:val="95"/>
                </w:rPr>
                <w:t>First Supplemental Indenture to the Base Indenture, dated March 22, 2017, by and between GasLog Ltd. and</w:t>
              </w:r>
            </w:hyperlink>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0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040" w:type="dxa"/>
            <w:vAlign w:val="bottom"/>
            <w:gridSpan w:val="5"/>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120" w:type="dxa"/>
            <w:vAlign w:val="bottom"/>
            <w:shd w:val="clear" w:color="auto" w:fill="0000EE"/>
          </w:tcPr>
          <w:p>
            <w:pPr>
              <w:spacing w:after="0" w:line="20" w:lineRule="exact"/>
              <w:rPr>
                <w:sz w:val="1"/>
                <w:szCs w:val="1"/>
                <w:color w:val="auto"/>
              </w:rPr>
            </w:pPr>
          </w:p>
        </w:tc>
        <w:tc>
          <w:tcPr>
            <w:tcW w:w="840" w:type="dxa"/>
            <w:vAlign w:val="bottom"/>
            <w:tcBorders>
              <w:right w:val="single" w:sz="8" w:color="0000EE"/>
            </w:tcBorders>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0" w:type="dxa"/>
            <w:vAlign w:val="bottom"/>
            <w:gridSpan w:val="31"/>
          </w:tcPr>
          <w:p>
            <w:pPr>
              <w:spacing w:after="0" w:line="208" w:lineRule="exact"/>
              <w:rPr>
                <w:rFonts w:ascii="Arial" w:cs="Arial" w:eastAsia="Arial" w:hAnsi="Arial"/>
                <w:sz w:val="19"/>
                <w:szCs w:val="19"/>
                <w:color w:val="0000EE"/>
                <w:w w:val="92"/>
              </w:rPr>
            </w:pPr>
            <w:hyperlink r:id="rId72">
              <w:r>
                <w:rPr>
                  <w:rFonts w:ascii="Arial" w:cs="Arial" w:eastAsia="Arial" w:hAnsi="Arial"/>
                  <w:sz w:val="19"/>
                  <w:szCs w:val="19"/>
                  <w:color w:val="0000EE"/>
                  <w:w w:val="92"/>
                </w:rPr>
                <w:t>American Stock Transfer &amp; Trust Company, LLC, as trustee, relating to the Registrant's 8.875% Senior Notes due</w:t>
              </w:r>
            </w:hyperlink>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80" w:type="dxa"/>
            <w:vAlign w:val="bottom"/>
            <w:tcBorders>
              <w:top w:val="single" w:sz="8" w:color="0000EE"/>
              <w:bottom w:val="single" w:sz="8" w:color="0000EE"/>
            </w:tcBorders>
            <w:vMerge w:val="restart"/>
          </w:tcPr>
          <w:p>
            <w:pPr>
              <w:spacing w:after="0"/>
              <w:rPr>
                <w:rFonts w:ascii="Arial" w:cs="Arial" w:eastAsia="Arial" w:hAnsi="Arial"/>
                <w:sz w:val="19"/>
                <w:szCs w:val="19"/>
                <w:color w:val="0000EE"/>
                <w:w w:val="85"/>
              </w:rPr>
            </w:pPr>
            <w:hyperlink r:id="rId72">
              <w:r>
                <w:rPr>
                  <w:rFonts w:ascii="Arial" w:cs="Arial" w:eastAsia="Arial" w:hAnsi="Arial"/>
                  <w:sz w:val="19"/>
                  <w:szCs w:val="19"/>
                  <w:color w:val="0000EE"/>
                  <w:w w:val="85"/>
                </w:rPr>
                <w:t>2022</w:t>
              </w:r>
            </w:hyperlink>
          </w:p>
        </w:tc>
        <w:tc>
          <w:tcPr>
            <w:tcW w:w="180" w:type="dxa"/>
            <w:vAlign w:val="bottom"/>
            <w:tcBorders>
              <w:top w:val="single" w:sz="8" w:color="0000EE"/>
              <w:bottom w:val="single" w:sz="8" w:color="0000EE"/>
            </w:tcBorders>
            <w:gridSpan w:val="3"/>
          </w:tcPr>
          <w:p>
            <w:pPr>
              <w:spacing w:after="0" w:line="166" w:lineRule="exact"/>
              <w:rPr>
                <w:rFonts w:ascii="Arial" w:cs="Arial" w:eastAsia="Arial" w:hAnsi="Arial"/>
                <w:sz w:val="15"/>
                <w:szCs w:val="15"/>
                <w:color w:val="0000EE"/>
                <w:w w:val="87"/>
              </w:rPr>
            </w:pPr>
            <w:hyperlink r:id="rId72">
              <w:r>
                <w:rPr>
                  <w:rFonts w:ascii="Arial" w:cs="Arial" w:eastAsia="Arial" w:hAnsi="Arial"/>
                  <w:sz w:val="15"/>
                  <w:szCs w:val="15"/>
                  <w:color w:val="0000EE"/>
                  <w:w w:val="87"/>
                </w:rPr>
                <w:t>(4)</w:t>
              </w:r>
            </w:hyperlink>
          </w:p>
        </w:tc>
        <w:tc>
          <w:tcPr>
            <w:tcW w:w="20" w:type="dxa"/>
            <w:vAlign w:val="bottom"/>
            <w:tcBorders>
              <w:top w:val="single" w:sz="8" w:color="0000EE"/>
              <w:bottom w:val="single" w:sz="8" w:color="0000EE"/>
            </w:tcBorders>
            <w:vMerge w:val="restart"/>
          </w:tcPr>
          <w:p>
            <w:pPr>
              <w:spacing w:after="0"/>
              <w:rPr>
                <w:sz w:val="15"/>
                <w:szCs w:val="15"/>
                <w:color w:val="auto"/>
              </w:rPr>
            </w:pPr>
          </w:p>
        </w:tc>
        <w:tc>
          <w:tcPr>
            <w:tcW w:w="780" w:type="dxa"/>
            <w:vAlign w:val="bottom"/>
            <w:tcBorders>
              <w:top w:val="single" w:sz="8" w:color="0000EE"/>
            </w:tcBorders>
          </w:tcPr>
          <w:p>
            <w:pPr>
              <w:spacing w:after="0"/>
              <w:rPr>
                <w:sz w:val="15"/>
                <w:szCs w:val="15"/>
                <w:color w:val="auto"/>
              </w:rPr>
            </w:pPr>
          </w:p>
        </w:tc>
        <w:tc>
          <w:tcPr>
            <w:tcW w:w="38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520" w:type="dxa"/>
            <w:vAlign w:val="bottom"/>
            <w:tcBorders>
              <w:top w:val="single" w:sz="8" w:color="0000EE"/>
            </w:tcBorders>
          </w:tcPr>
          <w:p>
            <w:pPr>
              <w:spacing w:after="0"/>
              <w:rPr>
                <w:sz w:val="15"/>
                <w:szCs w:val="15"/>
                <w:color w:val="auto"/>
              </w:rPr>
            </w:pPr>
          </w:p>
        </w:tc>
        <w:tc>
          <w:tcPr>
            <w:tcW w:w="46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300" w:type="dxa"/>
            <w:vAlign w:val="bottom"/>
            <w:tcBorders>
              <w:top w:val="single" w:sz="8" w:color="0000EE"/>
            </w:tcBorders>
          </w:tcPr>
          <w:p>
            <w:pPr>
              <w:spacing w:after="0"/>
              <w:rPr>
                <w:sz w:val="15"/>
                <w:szCs w:val="15"/>
                <w:color w:val="auto"/>
              </w:rPr>
            </w:pPr>
          </w:p>
        </w:tc>
        <w:tc>
          <w:tcPr>
            <w:tcW w:w="600" w:type="dxa"/>
            <w:vAlign w:val="bottom"/>
            <w:tcBorders>
              <w:top w:val="single" w:sz="8" w:color="0000EE"/>
            </w:tcBorders>
          </w:tcPr>
          <w:p>
            <w:pPr>
              <w:spacing w:after="0"/>
              <w:rPr>
                <w:sz w:val="15"/>
                <w:szCs w:val="15"/>
                <w:color w:val="auto"/>
              </w:rPr>
            </w:pPr>
          </w:p>
        </w:tc>
        <w:tc>
          <w:tcPr>
            <w:tcW w:w="1120" w:type="dxa"/>
            <w:vAlign w:val="bottom"/>
            <w:tcBorders>
              <w:top w:val="single" w:sz="8" w:color="0000EE"/>
            </w:tcBorders>
          </w:tcPr>
          <w:p>
            <w:pPr>
              <w:spacing w:after="0"/>
              <w:rPr>
                <w:sz w:val="15"/>
                <w:szCs w:val="15"/>
                <w:color w:val="auto"/>
              </w:rPr>
            </w:pPr>
          </w:p>
        </w:tc>
        <w:tc>
          <w:tcPr>
            <w:tcW w:w="840" w:type="dxa"/>
            <w:vAlign w:val="bottom"/>
            <w:tcBorders>
              <w:top w:val="single" w:sz="8" w:color="0000EE"/>
            </w:tcBorders>
          </w:tcPr>
          <w:p>
            <w:pPr>
              <w:spacing w:after="0"/>
              <w:rPr>
                <w:sz w:val="15"/>
                <w:szCs w:val="15"/>
                <w:color w:val="auto"/>
              </w:rPr>
            </w:pPr>
          </w:p>
        </w:tc>
        <w:tc>
          <w:tcPr>
            <w:tcW w:w="220" w:type="dxa"/>
            <w:vAlign w:val="bottom"/>
            <w:tcBorders>
              <w:top w:val="single" w:sz="8" w:color="0000EE"/>
            </w:tcBorders>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6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80" w:type="dxa"/>
            <w:vAlign w:val="bottom"/>
            <w:tcBorders>
              <w:bottom w:val="single" w:sz="8" w:color="0000EE"/>
            </w:tcBorders>
            <w:vMerge w:val="continue"/>
          </w:tcPr>
          <w:p>
            <w:pPr>
              <w:spacing w:after="0"/>
              <w:rPr>
                <w:sz w:val="4"/>
                <w:szCs w:val="4"/>
                <w:color w:val="auto"/>
              </w:rPr>
            </w:pPr>
          </w:p>
        </w:tc>
        <w:tc>
          <w:tcPr>
            <w:tcW w:w="180" w:type="dxa"/>
            <w:vAlign w:val="bottom"/>
            <w:gridSpan w:val="3"/>
          </w:tcPr>
          <w:p>
            <w:pPr>
              <w:spacing w:after="0"/>
              <w:rPr>
                <w:sz w:val="4"/>
                <w:szCs w:val="4"/>
                <w:color w:val="auto"/>
              </w:rPr>
            </w:pPr>
          </w:p>
        </w:tc>
        <w:tc>
          <w:tcPr>
            <w:tcW w:w="20" w:type="dxa"/>
            <w:vAlign w:val="bottom"/>
            <w:vMerge w:val="continue"/>
          </w:tcPr>
          <w:p>
            <w:pPr>
              <w:spacing w:after="0"/>
              <w:rPr>
                <w:sz w:val="4"/>
                <w:szCs w:val="4"/>
                <w:color w:val="auto"/>
              </w:rPr>
            </w:pPr>
          </w:p>
        </w:tc>
        <w:tc>
          <w:tcPr>
            <w:tcW w:w="780" w:type="dxa"/>
            <w:vAlign w:val="bottom"/>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520" w:type="dxa"/>
            <w:vAlign w:val="bottom"/>
          </w:tcPr>
          <w:p>
            <w:pPr>
              <w:spacing w:after="0"/>
              <w:rPr>
                <w:sz w:val="4"/>
                <w:szCs w:val="4"/>
                <w:color w:val="auto"/>
              </w:rPr>
            </w:pPr>
          </w:p>
        </w:tc>
        <w:tc>
          <w:tcPr>
            <w:tcW w:w="4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4.7</w:t>
            </w:r>
          </w:p>
        </w:tc>
        <w:tc>
          <w:tcPr>
            <w:tcW w:w="8800" w:type="dxa"/>
            <w:vAlign w:val="bottom"/>
            <w:gridSpan w:val="31"/>
          </w:tcPr>
          <w:p>
            <w:pPr>
              <w:spacing w:after="0"/>
              <w:rPr>
                <w:sz w:val="20"/>
                <w:szCs w:val="20"/>
                <w:color w:val="auto"/>
              </w:rPr>
            </w:pPr>
            <w:r>
              <w:rPr>
                <w:rFonts w:ascii="Arial" w:cs="Arial" w:eastAsia="Arial" w:hAnsi="Arial"/>
                <w:sz w:val="19"/>
                <w:szCs w:val="19"/>
                <w:color w:val="0000EE"/>
              </w:rPr>
              <w:t>Form of Indenture</w:t>
            </w:r>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10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40" w:type="dxa"/>
            <w:vAlign w:val="bottom"/>
            <w:gridSpan w:val="5"/>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4.8</w:t>
            </w:r>
          </w:p>
        </w:tc>
        <w:tc>
          <w:tcPr>
            <w:tcW w:w="3660" w:type="dxa"/>
            <w:vAlign w:val="bottom"/>
            <w:tcBorders>
              <w:bottom w:val="single" w:sz="8" w:color="0000EE"/>
            </w:tcBorders>
            <w:gridSpan w:val="19"/>
          </w:tcPr>
          <w:p>
            <w:pPr>
              <w:spacing w:after="0"/>
              <w:rPr>
                <w:rFonts w:ascii="Arial" w:cs="Arial" w:eastAsia="Arial" w:hAnsi="Arial"/>
                <w:sz w:val="19"/>
                <w:szCs w:val="19"/>
                <w:color w:val="0000EE"/>
                <w:w w:val="90"/>
              </w:rPr>
            </w:pPr>
            <w:hyperlink r:id="rId71">
              <w:r>
                <w:rPr>
                  <w:rFonts w:ascii="Arial" w:cs="Arial" w:eastAsia="Arial" w:hAnsi="Arial"/>
                  <w:sz w:val="19"/>
                  <w:szCs w:val="19"/>
                  <w:color w:val="0000EE"/>
                  <w:w w:val="90"/>
                </w:rPr>
                <w:t>Form of Debt Securities (included in Exhibit 4.5)</w:t>
              </w:r>
            </w:hyperlink>
          </w:p>
        </w:tc>
        <w:tc>
          <w:tcPr>
            <w:tcW w:w="514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67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4.9</w:t>
            </w:r>
          </w:p>
        </w:tc>
        <w:tc>
          <w:tcPr>
            <w:tcW w:w="8800" w:type="dxa"/>
            <w:vAlign w:val="bottom"/>
            <w:gridSpan w:val="31"/>
          </w:tcPr>
          <w:p>
            <w:pPr>
              <w:spacing w:after="0"/>
              <w:rPr>
                <w:sz w:val="20"/>
                <w:szCs w:val="20"/>
                <w:color w:val="auto"/>
              </w:rPr>
            </w:pPr>
            <w:r>
              <w:rPr>
                <w:rFonts w:ascii="Arial" w:cs="Arial" w:eastAsia="Arial" w:hAnsi="Arial"/>
                <w:sz w:val="19"/>
                <w:szCs w:val="19"/>
                <w:color w:val="auto"/>
              </w:rPr>
              <w:t>Form of Warrant Agreement</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528"/>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4.10</w:t>
            </w:r>
          </w:p>
        </w:tc>
        <w:tc>
          <w:tcPr>
            <w:tcW w:w="8800" w:type="dxa"/>
            <w:vAlign w:val="bottom"/>
            <w:gridSpan w:val="31"/>
          </w:tcPr>
          <w:p>
            <w:pPr>
              <w:spacing w:after="0"/>
              <w:rPr>
                <w:sz w:val="20"/>
                <w:szCs w:val="20"/>
                <w:color w:val="auto"/>
              </w:rPr>
            </w:pPr>
            <w:r>
              <w:rPr>
                <w:rFonts w:ascii="Arial" w:cs="Arial" w:eastAsia="Arial" w:hAnsi="Arial"/>
                <w:sz w:val="19"/>
                <w:szCs w:val="19"/>
                <w:color w:val="auto"/>
              </w:rPr>
              <w:t>Form of Warrant Certificate</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528"/>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4.11</w:t>
            </w:r>
          </w:p>
        </w:tc>
        <w:tc>
          <w:tcPr>
            <w:tcW w:w="8800" w:type="dxa"/>
            <w:vAlign w:val="bottom"/>
            <w:gridSpan w:val="31"/>
          </w:tcPr>
          <w:p>
            <w:pPr>
              <w:spacing w:after="0"/>
              <w:rPr>
                <w:sz w:val="20"/>
                <w:szCs w:val="20"/>
                <w:color w:val="auto"/>
              </w:rPr>
            </w:pPr>
            <w:r>
              <w:rPr>
                <w:rFonts w:ascii="Arial" w:cs="Arial" w:eastAsia="Arial" w:hAnsi="Arial"/>
                <w:sz w:val="19"/>
                <w:szCs w:val="19"/>
                <w:color w:val="auto"/>
              </w:rPr>
              <w:t>Form of Rights Agreement</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528"/>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4.12</w:t>
            </w:r>
          </w:p>
        </w:tc>
        <w:tc>
          <w:tcPr>
            <w:tcW w:w="8800" w:type="dxa"/>
            <w:vAlign w:val="bottom"/>
            <w:gridSpan w:val="31"/>
          </w:tcPr>
          <w:p>
            <w:pPr>
              <w:spacing w:after="0"/>
              <w:rPr>
                <w:sz w:val="20"/>
                <w:szCs w:val="20"/>
                <w:color w:val="auto"/>
              </w:rPr>
            </w:pPr>
            <w:r>
              <w:rPr>
                <w:rFonts w:ascii="Arial" w:cs="Arial" w:eastAsia="Arial" w:hAnsi="Arial"/>
                <w:sz w:val="19"/>
                <w:szCs w:val="19"/>
                <w:color w:val="auto"/>
              </w:rPr>
              <w:t>Form of Rights Certificate</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528"/>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4.13</w:t>
            </w:r>
          </w:p>
        </w:tc>
        <w:tc>
          <w:tcPr>
            <w:tcW w:w="8800" w:type="dxa"/>
            <w:vAlign w:val="bottom"/>
            <w:gridSpan w:val="31"/>
          </w:tcPr>
          <w:p>
            <w:pPr>
              <w:spacing w:after="0"/>
              <w:rPr>
                <w:sz w:val="20"/>
                <w:szCs w:val="20"/>
                <w:color w:val="auto"/>
              </w:rPr>
            </w:pPr>
            <w:r>
              <w:rPr>
                <w:rFonts w:ascii="Arial" w:cs="Arial" w:eastAsia="Arial" w:hAnsi="Arial"/>
                <w:sz w:val="19"/>
                <w:szCs w:val="19"/>
                <w:color w:val="auto"/>
              </w:rPr>
              <w:t>Form of Unit Agreement</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528"/>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4.14</w:t>
            </w:r>
          </w:p>
        </w:tc>
        <w:tc>
          <w:tcPr>
            <w:tcW w:w="8800" w:type="dxa"/>
            <w:vAlign w:val="bottom"/>
            <w:gridSpan w:val="31"/>
          </w:tcPr>
          <w:p>
            <w:pPr>
              <w:spacing w:after="0"/>
              <w:rPr>
                <w:sz w:val="20"/>
                <w:szCs w:val="20"/>
                <w:color w:val="auto"/>
              </w:rPr>
            </w:pPr>
            <w:r>
              <w:rPr>
                <w:rFonts w:ascii="Arial" w:cs="Arial" w:eastAsia="Arial" w:hAnsi="Arial"/>
                <w:sz w:val="19"/>
                <w:szCs w:val="19"/>
                <w:color w:val="auto"/>
              </w:rPr>
              <w:t>Form of Unit Certificate</w:t>
            </w:r>
            <w:r>
              <w:rPr>
                <w:rFonts w:ascii="Arial" w:cs="Arial" w:eastAsia="Arial" w:hAnsi="Arial"/>
                <w:sz w:val="30"/>
                <w:szCs w:val="30"/>
                <w:color w:val="auto"/>
                <w:vertAlign w:val="superscript"/>
              </w:rPr>
              <w:t>(1)</w:t>
            </w:r>
          </w:p>
        </w:tc>
        <w:tc>
          <w:tcPr>
            <w:tcW w:w="0" w:type="dxa"/>
            <w:vAlign w:val="bottom"/>
          </w:tcPr>
          <w:p>
            <w:pPr>
              <w:spacing w:after="0"/>
              <w:rPr>
                <w:sz w:val="1"/>
                <w:szCs w:val="1"/>
                <w:color w:val="auto"/>
              </w:rPr>
            </w:pPr>
          </w:p>
        </w:tc>
      </w:tr>
      <w:tr>
        <w:trPr>
          <w:trHeight w:val="318"/>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5.1</w:t>
            </w:r>
          </w:p>
        </w:tc>
        <w:tc>
          <w:tcPr>
            <w:tcW w:w="7220" w:type="dxa"/>
            <w:vAlign w:val="bottom"/>
            <w:tcBorders>
              <w:bottom w:val="single" w:sz="8" w:color="0000EE"/>
            </w:tcBorders>
            <w:gridSpan w:val="27"/>
          </w:tcPr>
          <w:p>
            <w:pPr>
              <w:spacing w:after="0"/>
              <w:rPr>
                <w:sz w:val="20"/>
                <w:szCs w:val="20"/>
                <w:color w:val="auto"/>
              </w:rPr>
            </w:pPr>
            <w:r>
              <w:rPr>
                <w:rFonts w:ascii="Arial" w:cs="Arial" w:eastAsia="Arial" w:hAnsi="Arial"/>
                <w:sz w:val="19"/>
                <w:szCs w:val="19"/>
                <w:color w:val="0000EE"/>
                <w:w w:val="89"/>
              </w:rPr>
              <w:t>Opinion of Conyers Dill &amp; Pearman Limited, special counsel to the Company as to Bermuda law</w:t>
            </w:r>
          </w:p>
        </w:tc>
        <w:tc>
          <w:tcPr>
            <w:tcW w:w="15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5.2</w:t>
            </w:r>
          </w:p>
        </w:tc>
        <w:tc>
          <w:tcPr>
            <w:tcW w:w="8800" w:type="dxa"/>
            <w:vAlign w:val="bottom"/>
            <w:gridSpan w:val="31"/>
          </w:tcPr>
          <w:p>
            <w:pPr>
              <w:spacing w:after="0"/>
              <w:rPr>
                <w:sz w:val="20"/>
                <w:szCs w:val="20"/>
                <w:color w:val="auto"/>
              </w:rPr>
            </w:pPr>
            <w:r>
              <w:rPr>
                <w:rFonts w:ascii="Arial" w:cs="Arial" w:eastAsia="Arial" w:hAnsi="Arial"/>
                <w:sz w:val="19"/>
                <w:szCs w:val="19"/>
                <w:color w:val="0000EE"/>
              </w:rPr>
              <w:t>Opinion of Cravath, Swaine &amp; Moore LLP, United States counsel to the Company</w:t>
            </w: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23.1</w:t>
            </w:r>
          </w:p>
        </w:tc>
        <w:tc>
          <w:tcPr>
            <w:tcW w:w="5500" w:type="dxa"/>
            <w:vAlign w:val="bottom"/>
            <w:tcBorders>
              <w:top w:val="single" w:sz="8" w:color="0000EE"/>
              <w:bottom w:val="single" w:sz="8" w:color="0000EE"/>
            </w:tcBorders>
            <w:gridSpan w:val="25"/>
          </w:tcPr>
          <w:p>
            <w:pPr>
              <w:spacing w:after="0"/>
              <w:rPr>
                <w:sz w:val="20"/>
                <w:szCs w:val="20"/>
                <w:color w:val="auto"/>
              </w:rPr>
            </w:pPr>
            <w:r>
              <w:rPr>
                <w:rFonts w:ascii="Arial" w:cs="Arial" w:eastAsia="Arial" w:hAnsi="Arial"/>
                <w:sz w:val="19"/>
                <w:szCs w:val="19"/>
                <w:color w:val="0000EE"/>
                <w:w w:val="89"/>
              </w:rPr>
              <w:t>Consent of Deloitte LLP, Independent Registered Public Accounting Firm</w:t>
            </w:r>
          </w:p>
        </w:tc>
        <w:tc>
          <w:tcPr>
            <w:tcW w:w="600" w:type="dxa"/>
            <w:vAlign w:val="bottom"/>
            <w:tcBorders>
              <w:top w:val="single" w:sz="8" w:color="0000EE"/>
            </w:tcBorders>
          </w:tcPr>
          <w:p>
            <w:pPr>
              <w:spacing w:after="0"/>
              <w:rPr>
                <w:sz w:val="24"/>
                <w:szCs w:val="24"/>
                <w:color w:val="auto"/>
              </w:rPr>
            </w:pPr>
          </w:p>
        </w:tc>
        <w:tc>
          <w:tcPr>
            <w:tcW w:w="270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23.2</w:t>
            </w:r>
          </w:p>
        </w:tc>
        <w:tc>
          <w:tcPr>
            <w:tcW w:w="5200" w:type="dxa"/>
            <w:vAlign w:val="bottom"/>
            <w:tcBorders>
              <w:bottom w:val="single" w:sz="8" w:color="0000EE"/>
            </w:tcBorders>
            <w:gridSpan w:val="24"/>
          </w:tcPr>
          <w:p>
            <w:pPr>
              <w:spacing w:after="0"/>
              <w:rPr>
                <w:sz w:val="20"/>
                <w:szCs w:val="20"/>
                <w:color w:val="auto"/>
              </w:rPr>
            </w:pPr>
            <w:r>
              <w:rPr>
                <w:rFonts w:ascii="Arial" w:cs="Arial" w:eastAsia="Arial" w:hAnsi="Arial"/>
                <w:sz w:val="19"/>
                <w:szCs w:val="19"/>
                <w:color w:val="0000EE"/>
                <w:w w:val="91"/>
              </w:rPr>
              <w:t>Consent of Conyers Dill &amp; Pearman Limited (included in Exhibit 5.1)</w:t>
            </w:r>
          </w:p>
        </w:tc>
        <w:tc>
          <w:tcPr>
            <w:tcW w:w="360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23.3</w:t>
            </w:r>
          </w:p>
        </w:tc>
        <w:tc>
          <w:tcPr>
            <w:tcW w:w="5060" w:type="dxa"/>
            <w:vAlign w:val="bottom"/>
            <w:tcBorders>
              <w:bottom w:val="single" w:sz="8" w:color="0000EE"/>
            </w:tcBorders>
            <w:gridSpan w:val="23"/>
          </w:tcPr>
          <w:p>
            <w:pPr>
              <w:spacing w:after="0"/>
              <w:rPr>
                <w:sz w:val="20"/>
                <w:szCs w:val="20"/>
                <w:color w:val="auto"/>
              </w:rPr>
            </w:pPr>
            <w:r>
              <w:rPr>
                <w:rFonts w:ascii="Arial" w:cs="Arial" w:eastAsia="Arial" w:hAnsi="Arial"/>
                <w:sz w:val="19"/>
                <w:szCs w:val="19"/>
                <w:color w:val="0000EE"/>
                <w:w w:val="90"/>
              </w:rPr>
              <w:t>Consent of Cravath, Swaine &amp; Moore LLP (included in Exhibit 5.2)</w:t>
            </w:r>
          </w:p>
        </w:tc>
        <w:tc>
          <w:tcPr>
            <w:tcW w:w="374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24.1</w:t>
            </w:r>
          </w:p>
        </w:tc>
        <w:tc>
          <w:tcPr>
            <w:tcW w:w="8800" w:type="dxa"/>
            <w:vAlign w:val="bottom"/>
            <w:gridSpan w:val="31"/>
          </w:tcPr>
          <w:p>
            <w:pPr>
              <w:spacing w:after="0"/>
              <w:rPr>
                <w:rFonts w:ascii="Arial" w:cs="Arial" w:eastAsia="Arial" w:hAnsi="Arial"/>
                <w:sz w:val="19"/>
                <w:szCs w:val="19"/>
                <w:color w:val="0000EE"/>
              </w:rPr>
            </w:pPr>
            <w:hyperlink w:anchor="page34">
              <w:r>
                <w:rPr>
                  <w:rFonts w:ascii="Arial" w:cs="Arial" w:eastAsia="Arial" w:hAnsi="Arial"/>
                  <w:sz w:val="19"/>
                  <w:szCs w:val="19"/>
                  <w:color w:val="0000EE"/>
                </w:rPr>
                <w:t>Power of Attorney (included on the signature page hereto)</w:t>
              </w:r>
            </w:hyperlink>
          </w:p>
        </w:tc>
        <w:tc>
          <w:tcPr>
            <w:tcW w:w="0" w:type="dxa"/>
            <w:vAlign w:val="bottom"/>
          </w:tcPr>
          <w:p>
            <w:pPr>
              <w:spacing w:after="0"/>
              <w:rPr>
                <w:sz w:val="1"/>
                <w:szCs w:val="1"/>
                <w:color w:val="auto"/>
              </w:rPr>
            </w:pPr>
          </w:p>
        </w:tc>
      </w:tr>
      <w:tr>
        <w:trPr>
          <w:trHeight w:val="20"/>
        </w:trPr>
        <w:tc>
          <w:tcPr>
            <w:tcW w:w="780" w:type="dxa"/>
            <w:vAlign w:val="bottom"/>
            <w:gridSpan w:val="2"/>
          </w:tcPr>
          <w:p>
            <w:pPr>
              <w:spacing w:after="0" w:line="20" w:lineRule="exact"/>
              <w:rPr>
                <w:sz w:val="1"/>
                <w:szCs w:val="1"/>
                <w:color w:val="auto"/>
              </w:rPr>
            </w:pPr>
          </w:p>
        </w:tc>
        <w:tc>
          <w:tcPr>
            <w:tcW w:w="2440" w:type="dxa"/>
            <w:vAlign w:val="bottom"/>
            <w:gridSpan w:val="11"/>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700" w:type="dxa"/>
            <w:vAlign w:val="bottom"/>
            <w:gridSpan w:val="8"/>
            <w:shd w:val="clear" w:color="auto" w:fill="0000EE"/>
          </w:tcPr>
          <w:p>
            <w:pPr>
              <w:spacing w:after="0" w:line="20" w:lineRule="exact"/>
              <w:rPr>
                <w:sz w:val="1"/>
                <w:szCs w:val="1"/>
                <w:color w:val="auto"/>
              </w:rPr>
            </w:pPr>
          </w:p>
        </w:tc>
        <w:tc>
          <w:tcPr>
            <w:tcW w:w="3740" w:type="dxa"/>
            <w:vAlign w:val="bottom"/>
            <w:gridSpan w:val="6"/>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5"/>
        </w:trPr>
        <w:tc>
          <w:tcPr>
            <w:tcW w:w="780" w:type="dxa"/>
            <w:vAlign w:val="bottom"/>
            <w:gridSpan w:val="2"/>
          </w:tcPr>
          <w:p>
            <w:pPr>
              <w:jc w:val="right"/>
              <w:ind w:right="160"/>
              <w:spacing w:after="0"/>
              <w:rPr>
                <w:sz w:val="20"/>
                <w:szCs w:val="20"/>
                <w:color w:val="auto"/>
              </w:rPr>
            </w:pPr>
            <w:r>
              <w:rPr>
                <w:rFonts w:ascii="Arial" w:cs="Arial" w:eastAsia="Arial" w:hAnsi="Arial"/>
                <w:sz w:val="19"/>
                <w:szCs w:val="19"/>
                <w:color w:val="auto"/>
              </w:rPr>
              <w:t>25.1</w:t>
            </w:r>
          </w:p>
        </w:tc>
        <w:tc>
          <w:tcPr>
            <w:tcW w:w="8800" w:type="dxa"/>
            <w:vAlign w:val="bottom"/>
            <w:gridSpan w:val="31"/>
          </w:tcPr>
          <w:p>
            <w:pPr>
              <w:spacing w:after="0"/>
              <w:rPr>
                <w:rFonts w:ascii="Arial" w:cs="Arial" w:eastAsia="Arial" w:hAnsi="Arial"/>
                <w:sz w:val="19"/>
                <w:szCs w:val="19"/>
                <w:color w:val="0000EE"/>
                <w:w w:val="98"/>
              </w:rPr>
            </w:pPr>
            <w:hyperlink r:id="rId73">
              <w:r>
                <w:rPr>
                  <w:rFonts w:ascii="Arial" w:cs="Arial" w:eastAsia="Arial" w:hAnsi="Arial"/>
                  <w:sz w:val="19"/>
                  <w:szCs w:val="19"/>
                  <w:color w:val="0000EE"/>
                  <w:w w:val="98"/>
                </w:rPr>
                <w:t>Form T-1 statement of eligibility and qualification under the Trust Indenture Act of 1939 of American Stock</w:t>
              </w:r>
            </w:hyperlink>
          </w:p>
        </w:tc>
        <w:tc>
          <w:tcPr>
            <w:tcW w:w="0" w:type="dxa"/>
            <w:vAlign w:val="bottom"/>
          </w:tcPr>
          <w:p>
            <w:pPr>
              <w:spacing w:after="0"/>
              <w:rPr>
                <w:sz w:val="1"/>
                <w:szCs w:val="1"/>
                <w:color w:val="auto"/>
              </w:rPr>
            </w:pPr>
          </w:p>
        </w:tc>
      </w:tr>
      <w:tr>
        <w:trPr>
          <w:trHeight w:val="180"/>
        </w:trPr>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tcBorders>
              <w:top w:val="single" w:sz="8" w:color="0000EE"/>
              <w:bottom w:val="single" w:sz="8" w:color="0000EE"/>
            </w:tcBorders>
            <w:gridSpan w:val="11"/>
            <w:vMerge w:val="restart"/>
          </w:tcPr>
          <w:p>
            <w:pPr>
              <w:spacing w:after="0"/>
              <w:rPr>
                <w:rFonts w:ascii="Arial" w:cs="Arial" w:eastAsia="Arial" w:hAnsi="Arial"/>
                <w:sz w:val="19"/>
                <w:szCs w:val="19"/>
                <w:color w:val="0000EE"/>
                <w:w w:val="89"/>
              </w:rPr>
            </w:pPr>
            <w:hyperlink r:id="rId73">
              <w:r>
                <w:rPr>
                  <w:rFonts w:ascii="Arial" w:cs="Arial" w:eastAsia="Arial" w:hAnsi="Arial"/>
                  <w:sz w:val="19"/>
                  <w:szCs w:val="19"/>
                  <w:color w:val="0000EE"/>
                  <w:w w:val="89"/>
                </w:rPr>
                <w:t>Transfer &amp; Trust Company, LLC</w:t>
              </w:r>
            </w:hyperlink>
          </w:p>
        </w:tc>
        <w:tc>
          <w:tcPr>
            <w:tcW w:w="180" w:type="dxa"/>
            <w:vAlign w:val="bottom"/>
            <w:tcBorders>
              <w:top w:val="single" w:sz="8" w:color="0000EE"/>
              <w:bottom w:val="single" w:sz="8" w:color="0000EE"/>
            </w:tcBorders>
            <w:gridSpan w:val="3"/>
          </w:tcPr>
          <w:p>
            <w:pPr>
              <w:jc w:val="right"/>
              <w:spacing w:after="0" w:line="166" w:lineRule="exact"/>
              <w:rPr>
                <w:rFonts w:ascii="Arial" w:cs="Arial" w:eastAsia="Arial" w:hAnsi="Arial"/>
                <w:sz w:val="15"/>
                <w:szCs w:val="15"/>
                <w:color w:val="0000EE"/>
                <w:w w:val="87"/>
              </w:rPr>
            </w:pPr>
            <w:hyperlink r:id="rId73">
              <w:r>
                <w:rPr>
                  <w:rFonts w:ascii="Arial" w:cs="Arial" w:eastAsia="Arial" w:hAnsi="Arial"/>
                  <w:sz w:val="15"/>
                  <w:szCs w:val="15"/>
                  <w:color w:val="0000EE"/>
                  <w:w w:val="87"/>
                </w:rPr>
                <w:t>(5)</w:t>
              </w:r>
            </w:hyperlink>
          </w:p>
        </w:tc>
        <w:tc>
          <w:tcPr>
            <w:tcW w:w="5440" w:type="dxa"/>
            <w:vAlign w:val="bottom"/>
            <w:tcBorders>
              <w:top w:val="single" w:sz="8" w:color="0000EE"/>
              <w:bottom w:val="single" w:sz="8" w:color="0000EE"/>
            </w:tcBorders>
            <w:gridSpan w:val="14"/>
            <w:vMerge w:val="restart"/>
          </w:tcPr>
          <w:p>
            <w:pPr>
              <w:spacing w:after="0"/>
              <w:rPr>
                <w:sz w:val="15"/>
                <w:szCs w:val="15"/>
                <w:color w:val="auto"/>
              </w:rPr>
            </w:pPr>
          </w:p>
        </w:tc>
        <w:tc>
          <w:tcPr>
            <w:tcW w:w="740" w:type="dxa"/>
            <w:vAlign w:val="bottom"/>
            <w:gridSpan w:val="3"/>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51"/>
        </w:trPr>
        <w:tc>
          <w:tcPr>
            <w:tcW w:w="780" w:type="dxa"/>
            <w:vAlign w:val="bottom"/>
            <w:gridSpan w:val="2"/>
            <w:vMerge w:val="restart"/>
          </w:tcPr>
          <w:p>
            <w:pPr>
              <w:jc w:val="right"/>
              <w:ind w:right="160"/>
              <w:spacing w:after="0"/>
              <w:rPr>
                <w:sz w:val="20"/>
                <w:szCs w:val="20"/>
                <w:color w:val="auto"/>
              </w:rPr>
            </w:pPr>
            <w:r>
              <w:rPr>
                <w:rFonts w:ascii="Arial" w:cs="Arial" w:eastAsia="Arial" w:hAnsi="Arial"/>
                <w:sz w:val="19"/>
                <w:szCs w:val="19"/>
                <w:color w:val="auto"/>
              </w:rPr>
              <w:t>25.2</w:t>
            </w:r>
          </w:p>
        </w:tc>
        <w:tc>
          <w:tcPr>
            <w:tcW w:w="2440" w:type="dxa"/>
            <w:vAlign w:val="bottom"/>
            <w:tcBorders>
              <w:bottom w:val="single" w:sz="8" w:color="0000EE"/>
            </w:tcBorders>
            <w:gridSpan w:val="11"/>
            <w:vMerge w:val="continue"/>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60" w:type="dxa"/>
            <w:vAlign w:val="bottom"/>
            <w:gridSpan w:val="2"/>
          </w:tcPr>
          <w:p>
            <w:pPr>
              <w:spacing w:after="0"/>
              <w:rPr>
                <w:sz w:val="4"/>
                <w:szCs w:val="4"/>
                <w:color w:val="auto"/>
              </w:rPr>
            </w:pPr>
          </w:p>
        </w:tc>
        <w:tc>
          <w:tcPr>
            <w:tcW w:w="5440" w:type="dxa"/>
            <w:vAlign w:val="bottom"/>
            <w:gridSpan w:val="14"/>
            <w:vMerge w:val="continue"/>
          </w:tcPr>
          <w:p>
            <w:pPr>
              <w:spacing w:after="0"/>
              <w:rPr>
                <w:sz w:val="4"/>
                <w:szCs w:val="4"/>
                <w:color w:val="auto"/>
              </w:rPr>
            </w:pPr>
          </w:p>
        </w:tc>
        <w:tc>
          <w:tcPr>
            <w:tcW w:w="7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65"/>
        </w:trPr>
        <w:tc>
          <w:tcPr>
            <w:tcW w:w="780" w:type="dxa"/>
            <w:vAlign w:val="bottom"/>
            <w:gridSpan w:val="2"/>
            <w:vMerge w:val="continue"/>
          </w:tcPr>
          <w:p>
            <w:pPr>
              <w:spacing w:after="0"/>
              <w:rPr>
                <w:sz w:val="24"/>
                <w:szCs w:val="24"/>
                <w:color w:val="auto"/>
              </w:rPr>
            </w:pPr>
          </w:p>
        </w:tc>
        <w:tc>
          <w:tcPr>
            <w:tcW w:w="8800" w:type="dxa"/>
            <w:vAlign w:val="bottom"/>
            <w:gridSpan w:val="31"/>
          </w:tcPr>
          <w:p>
            <w:pPr>
              <w:spacing w:after="0"/>
              <w:rPr>
                <w:sz w:val="20"/>
                <w:szCs w:val="20"/>
                <w:color w:val="auto"/>
              </w:rPr>
            </w:pPr>
            <w:r>
              <w:rPr>
                <w:rFonts w:ascii="Arial" w:cs="Arial" w:eastAsia="Arial" w:hAnsi="Arial"/>
                <w:sz w:val="19"/>
                <w:szCs w:val="19"/>
                <w:color w:val="auto"/>
              </w:rPr>
              <w:t>Form T-1 Statement of Eligibility for Indenture</w:t>
            </w:r>
            <w:r>
              <w:rPr>
                <w:rFonts w:ascii="Arial" w:cs="Arial" w:eastAsia="Arial" w:hAnsi="Arial"/>
                <w:sz w:val="30"/>
                <w:szCs w:val="30"/>
                <w:color w:val="auto"/>
                <w:vertAlign w:val="superscript"/>
              </w:rPr>
              <w:t>(6)</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1760" w:hanging="565"/>
        <w:spacing w:after="0"/>
        <w:tabs>
          <w:tab w:leader="none" w:pos="1760" w:val="left"/>
        </w:tabs>
        <w:numPr>
          <w:ilvl w:val="0"/>
          <w:numId w:val="8"/>
        </w:numPr>
        <w:rPr>
          <w:rFonts w:ascii="Arial" w:cs="Arial" w:eastAsia="Arial" w:hAnsi="Arial"/>
          <w:sz w:val="12"/>
          <w:szCs w:val="12"/>
          <w:color w:val="auto"/>
        </w:rPr>
      </w:pPr>
      <w:r>
        <w:rPr>
          <w:rFonts w:ascii="Arial" w:cs="Arial" w:eastAsia="Arial" w:hAnsi="Arial"/>
          <w:sz w:val="14"/>
          <w:szCs w:val="14"/>
          <w:color w:val="auto"/>
        </w:rPr>
        <w:t>To be filed as an exhibit to a report on Form 6-K and incorporated herein by reference.</w:t>
      </w:r>
    </w:p>
    <w:p>
      <w:pPr>
        <w:spacing w:after="0" w:line="138" w:lineRule="exact"/>
        <w:rPr>
          <w:rFonts w:ascii="Arial" w:cs="Arial" w:eastAsia="Arial" w:hAnsi="Arial"/>
          <w:sz w:val="12"/>
          <w:szCs w:val="12"/>
          <w:color w:val="auto"/>
        </w:rPr>
      </w:pPr>
    </w:p>
    <w:p>
      <w:pPr>
        <w:ind w:left="1760" w:hanging="565"/>
        <w:spacing w:after="0" w:line="263" w:lineRule="auto"/>
        <w:tabs>
          <w:tab w:leader="none" w:pos="1760" w:val="left"/>
        </w:tabs>
        <w:numPr>
          <w:ilvl w:val="0"/>
          <w:numId w:val="8"/>
        </w:numPr>
        <w:rPr>
          <w:rFonts w:ascii="Arial" w:cs="Arial" w:eastAsia="Arial" w:hAnsi="Arial"/>
          <w:sz w:val="12"/>
          <w:szCs w:val="12"/>
          <w:color w:val="auto"/>
        </w:rPr>
      </w:pPr>
      <w:r>
        <w:rPr>
          <w:rFonts w:ascii="Arial" w:cs="Arial" w:eastAsia="Arial" w:hAnsi="Arial"/>
          <w:sz w:val="14"/>
          <w:szCs w:val="14"/>
          <w:color w:val="auto"/>
        </w:rPr>
        <w:t>Previously filed as an exhibit to GasLog Ltd.'s Registration Statement on Form F-1 (File No. 333-179034), filed with the SEC on January 17, 2012, or an amendment thereto, and hereby incorporated by reference to such Registration Statement.</w:t>
      </w:r>
    </w:p>
    <w:p>
      <w:pPr>
        <w:spacing w:after="0" w:line="103" w:lineRule="exact"/>
        <w:rPr>
          <w:rFonts w:ascii="Arial" w:cs="Arial" w:eastAsia="Arial" w:hAnsi="Arial"/>
          <w:sz w:val="12"/>
          <w:szCs w:val="12"/>
          <w:color w:val="auto"/>
        </w:rPr>
      </w:pPr>
    </w:p>
    <w:p>
      <w:pPr>
        <w:ind w:left="1760" w:hanging="565"/>
        <w:spacing w:after="0"/>
        <w:tabs>
          <w:tab w:leader="none" w:pos="1760" w:val="left"/>
        </w:tabs>
        <w:numPr>
          <w:ilvl w:val="0"/>
          <w:numId w:val="8"/>
        </w:numPr>
        <w:rPr>
          <w:rFonts w:ascii="Arial" w:cs="Arial" w:eastAsia="Arial" w:hAnsi="Arial"/>
          <w:sz w:val="12"/>
          <w:szCs w:val="12"/>
          <w:color w:val="auto"/>
        </w:rPr>
      </w:pPr>
      <w:r>
        <w:rPr>
          <w:rFonts w:ascii="Arial" w:cs="Arial" w:eastAsia="Arial" w:hAnsi="Arial"/>
          <w:sz w:val="14"/>
          <w:szCs w:val="14"/>
          <w:color w:val="auto"/>
        </w:rPr>
        <w:t>Previously filed as Exhibit 4.1 to the Registrant's Form 6-K filed with the Commission on March 22, 2017.</w:t>
      </w:r>
    </w:p>
    <w:p>
      <w:pPr>
        <w:spacing w:after="0" w:line="138" w:lineRule="exact"/>
        <w:rPr>
          <w:rFonts w:ascii="Arial" w:cs="Arial" w:eastAsia="Arial" w:hAnsi="Arial"/>
          <w:sz w:val="12"/>
          <w:szCs w:val="12"/>
          <w:color w:val="auto"/>
        </w:rPr>
      </w:pPr>
    </w:p>
    <w:p>
      <w:pPr>
        <w:ind w:left="1760" w:hanging="565"/>
        <w:spacing w:after="0"/>
        <w:tabs>
          <w:tab w:leader="none" w:pos="1760" w:val="left"/>
        </w:tabs>
        <w:numPr>
          <w:ilvl w:val="0"/>
          <w:numId w:val="8"/>
        </w:numPr>
        <w:rPr>
          <w:rFonts w:ascii="Arial" w:cs="Arial" w:eastAsia="Arial" w:hAnsi="Arial"/>
          <w:sz w:val="12"/>
          <w:szCs w:val="12"/>
          <w:color w:val="auto"/>
        </w:rPr>
      </w:pPr>
      <w:r>
        <w:rPr>
          <w:rFonts w:ascii="Arial" w:cs="Arial" w:eastAsia="Arial" w:hAnsi="Arial"/>
          <w:sz w:val="14"/>
          <w:szCs w:val="14"/>
          <w:color w:val="auto"/>
        </w:rPr>
        <w:t>Previously filed as Exhibit 4.2 to the Registrant's Form 6-K filed with the Commission on March 22, 2017.</w:t>
      </w:r>
    </w:p>
    <w:p>
      <w:pPr>
        <w:sectPr>
          <w:pgSz w:w="12240" w:h="15941" w:orient="portrait"/>
          <w:cols w:equalWidth="0" w:num="1">
            <w:col w:w="11920"/>
          </w:cols>
          <w:pgMar w:left="120" w:top="0" w:right="200" w:bottom="0" w:gutter="0" w:footer="0" w:header="0"/>
        </w:sectPr>
      </w:pPr>
    </w:p>
    <w:p>
      <w:pPr>
        <w:spacing w:after="0" w:line="147" w:lineRule="exact"/>
        <w:rPr>
          <w:sz w:val="20"/>
          <w:szCs w:val="20"/>
          <w:color w:val="auto"/>
        </w:rPr>
      </w:pPr>
    </w:p>
    <w:p>
      <w:pPr>
        <w:ind w:left="1200"/>
        <w:spacing w:after="0"/>
        <w:rPr>
          <w:sz w:val="20"/>
          <w:szCs w:val="20"/>
          <w:color w:val="auto"/>
        </w:rPr>
      </w:pPr>
      <w:r>
        <w:rPr>
          <w:rFonts w:ascii="Arial" w:cs="Arial" w:eastAsia="Arial" w:hAnsi="Arial"/>
          <w:sz w:val="11"/>
          <w:szCs w:val="11"/>
          <w:color w:val="auto"/>
        </w:rPr>
        <w:t>(5)</w:t>
      </w:r>
    </w:p>
    <w:p>
      <w:pPr>
        <w:sectPr>
          <w:pgSz w:w="12240" w:h="15941" w:orient="portrait"/>
          <w:cols w:equalWidth="0" w:num="1">
            <w:col w:w="11920"/>
          </w:cols>
          <w:pgMar w:left="120" w:top="0" w:right="200" w:bottom="0" w:gutter="0" w:footer="0" w:header="0"/>
          <w:type w:val="continuous"/>
        </w:sectPr>
      </w:pPr>
    </w:p>
    <w:bookmarkStart w:id="38" w:name="page39"/>
    <w:bookmarkEnd w:id="38"/>
    <w:p>
      <w:pPr>
        <w:ind w:left="565"/>
        <w:spacing w:after="0"/>
        <w:rPr>
          <w:sz w:val="20"/>
          <w:szCs w:val="20"/>
          <w:color w:val="auto"/>
        </w:rPr>
      </w:pPr>
      <w:r>
        <w:rPr>
          <w:rFonts w:ascii="Arial" w:cs="Arial" w:eastAsia="Arial" w:hAnsi="Arial"/>
          <w:sz w:val="13"/>
          <w:szCs w:val="13"/>
          <w:color w:val="auto"/>
        </w:rPr>
        <w:t>Previously filed on Form 305B2 with the Commission on March 14, 2017 and incorporated herein by reference.</w:t>
      </w:r>
    </w:p>
    <w:p>
      <w:pPr>
        <w:spacing w:after="0" w:line="139" w:lineRule="exact"/>
        <w:rPr>
          <w:sz w:val="20"/>
          <w:szCs w:val="20"/>
          <w:color w:val="auto"/>
        </w:rPr>
      </w:pPr>
    </w:p>
    <w:p>
      <w:pPr>
        <w:ind w:left="565" w:hanging="565"/>
        <w:spacing w:after="0"/>
        <w:tabs>
          <w:tab w:leader="none" w:pos="565" w:val="left"/>
        </w:tabs>
        <w:numPr>
          <w:ilvl w:val="0"/>
          <w:numId w:val="9"/>
        </w:numPr>
        <w:rPr>
          <w:rFonts w:ascii="Arial" w:cs="Arial" w:eastAsia="Arial" w:hAnsi="Arial"/>
          <w:sz w:val="12"/>
          <w:szCs w:val="12"/>
          <w:color w:val="auto"/>
        </w:rPr>
      </w:pPr>
      <w:r>
        <w:rPr>
          <w:rFonts w:ascii="Arial" w:cs="Arial" w:eastAsia="Arial" w:hAnsi="Arial"/>
          <w:sz w:val="14"/>
          <w:szCs w:val="14"/>
          <w:color w:val="auto"/>
        </w:rPr>
        <w:t>To be filed in accordance with Section 305(b)(2) of the Trust Indenture Act of 1939,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-763270</wp:posOffset>
            </wp:positionH>
            <wp:positionV relativeFrom="paragraph">
              <wp:posOffset>147320</wp:posOffset>
            </wp:positionV>
            <wp:extent cx="762889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7628890" cy="21590"/>
                    </a:xfrm>
                    <a:prstGeom prst="rect">
                      <a:avLst/>
                    </a:prstGeom>
                    <a:noFill/>
                  </pic:spPr>
                </pic:pic>
              </a:graphicData>
            </a:graphic>
          </wp:anchor>
        </w:drawing>
      </w:r>
    </w:p>
    <w:p>
      <w:pPr>
        <w:sectPr>
          <w:pgSz w:w="12240" w:h="15840" w:orient="portrait"/>
          <w:cols w:equalWidth="0" w:num="1">
            <w:col w:w="9485"/>
          </w:cols>
          <w:pgMar w:left="1315" w:top="0" w:right="1440" w:bottom="1440" w:gutter="0" w:footer="0" w:header="0"/>
        </w:sectPr>
      </w:pPr>
    </w:p>
    <w:bookmarkStart w:id="39" w:name="page40"/>
    <w:bookmarkEnd w:id="39"/>
    <w:p>
      <w:pPr>
        <w:spacing w:after="0" w:line="20" w:lineRule="exact"/>
        <w:rPr>
          <w:sz w:val="20"/>
          <w:szCs w:val="20"/>
          <w:color w:val="auto"/>
        </w:rPr>
      </w:pPr>
    </w:p>
    <w:p>
      <w:pPr>
        <w:sectPr>
          <w:pgSz w:w="12240" w:h="15840" w:orient="portrait"/>
          <w:cols w:equalWidth="1" w:num="1" w:space="0"/>
          <w:pgMar w:left="1440" w:top="1440" w:right="1440" w:bottom="875" w:gutter="0" w:footer="0" w:header="0"/>
        </w:sectPr>
      </w:pPr>
    </w:p>
    <w:bookmarkStart w:id="40" w:name="page41"/>
    <w:bookmarkEnd w:id="40"/>
    <w:p>
      <w:pPr>
        <w:jc w:val="right"/>
        <w:spacing w:after="0"/>
        <w:rPr>
          <w:sz w:val="20"/>
          <w:szCs w:val="20"/>
          <w:color w:val="auto"/>
        </w:rPr>
      </w:pPr>
      <w:r>
        <w:rPr>
          <w:rFonts w:ascii="Arial" w:cs="Arial" w:eastAsia="Arial" w:hAnsi="Arial"/>
          <w:sz w:val="19"/>
          <w:szCs w:val="19"/>
          <w:b w:val="1"/>
          <w:bCs w:val="1"/>
          <w:color w:val="auto"/>
        </w:rPr>
        <w:t xml:space="preserve">Exhibit </w:t>
      </w:r>
      <w:r>
        <w:rPr>
          <w:rFonts w:ascii="Arial" w:cs="Arial" w:eastAsia="Arial" w:hAnsi="Arial"/>
          <w:sz w:val="18"/>
          <w:szCs w:val="18"/>
          <w:b w:val="1"/>
          <w:bCs w:val="1"/>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163830</wp:posOffset>
            </wp:positionV>
            <wp:extent cx="76250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182245</wp:posOffset>
            </wp:positionV>
            <wp:extent cx="76250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7625080" cy="8890"/>
                    </a:xfrm>
                    <a:prstGeom prst="rect">
                      <a:avLst/>
                    </a:prstGeom>
                    <a:noFill/>
                  </pic:spPr>
                </pic:pic>
              </a:graphicData>
            </a:graphic>
          </wp:anchor>
        </w:drawing>
      </w:r>
    </w:p>
    <w:p>
      <w:pPr>
        <w:spacing w:after="0" w:line="200" w:lineRule="exact"/>
        <w:rPr>
          <w:sz w:val="20"/>
          <w:szCs w:val="20"/>
          <w:color w:val="auto"/>
        </w:rPr>
      </w:pPr>
    </w:p>
    <w:p>
      <w:pPr>
        <w:spacing w:after="0" w:line="295" w:lineRule="exact"/>
        <w:rPr>
          <w:sz w:val="20"/>
          <w:szCs w:val="20"/>
          <w:color w:val="auto"/>
        </w:rPr>
      </w:pPr>
    </w:p>
    <w:p>
      <w:pPr>
        <w:ind w:left="4060"/>
        <w:spacing w:after="0"/>
        <w:rPr>
          <w:sz w:val="20"/>
          <w:szCs w:val="20"/>
          <w:color w:val="auto"/>
        </w:rPr>
      </w:pPr>
      <w:r>
        <w:rPr>
          <w:rFonts w:ascii="Arial" w:cs="Arial" w:eastAsia="Arial" w:hAnsi="Arial"/>
          <w:sz w:val="19"/>
          <w:szCs w:val="19"/>
          <w:color w:val="auto"/>
        </w:rPr>
        <w:t>GASLOG LTD.</w:t>
      </w:r>
    </w:p>
    <w:p>
      <w:pPr>
        <w:spacing w:after="0" w:line="200" w:lineRule="exact"/>
        <w:rPr>
          <w:sz w:val="20"/>
          <w:szCs w:val="20"/>
          <w:color w:val="auto"/>
        </w:rPr>
      </w:pPr>
    </w:p>
    <w:p>
      <w:pPr>
        <w:spacing w:after="0" w:line="266" w:lineRule="exact"/>
        <w:rPr>
          <w:sz w:val="20"/>
          <w:szCs w:val="20"/>
          <w:color w:val="auto"/>
        </w:rPr>
      </w:pPr>
    </w:p>
    <w:p>
      <w:pPr>
        <w:ind w:left="4540"/>
        <w:spacing w:after="0"/>
        <w:rPr>
          <w:sz w:val="20"/>
          <w:szCs w:val="20"/>
          <w:color w:val="auto"/>
        </w:rPr>
      </w:pPr>
      <w:r>
        <w:rPr>
          <w:rFonts w:ascii="Arial" w:cs="Arial" w:eastAsia="Arial" w:hAnsi="Arial"/>
          <w:sz w:val="19"/>
          <w:szCs w:val="19"/>
          <w:color w:val="auto"/>
        </w:rPr>
        <w:t>and</w:t>
      </w:r>
    </w:p>
    <w:p>
      <w:pPr>
        <w:spacing w:after="0" w:line="200" w:lineRule="exact"/>
        <w:rPr>
          <w:sz w:val="20"/>
          <w:szCs w:val="20"/>
          <w:color w:val="auto"/>
        </w:rPr>
      </w:pPr>
    </w:p>
    <w:p>
      <w:pPr>
        <w:spacing w:after="0" w:line="266" w:lineRule="exact"/>
        <w:rPr>
          <w:sz w:val="20"/>
          <w:szCs w:val="20"/>
          <w:color w:val="auto"/>
        </w:rPr>
      </w:pPr>
    </w:p>
    <w:p>
      <w:pPr>
        <w:ind w:left="5180" w:hanging="1112"/>
        <w:spacing w:after="0"/>
        <w:tabs>
          <w:tab w:leader="none" w:pos="5180" w:val="left"/>
        </w:tabs>
        <w:numPr>
          <w:ilvl w:val="0"/>
          <w:numId w:val="10"/>
        </w:numPr>
        <w:rPr>
          <w:rFonts w:ascii="Arial" w:cs="Arial" w:eastAsia="Arial" w:hAnsi="Arial"/>
          <w:sz w:val="19"/>
          <w:szCs w:val="19"/>
          <w:color w:val="auto"/>
        </w:rPr>
      </w:pPr>
      <w:r>
        <w:rPr>
          <w:rFonts w:ascii="Arial" w:cs="Arial" w:eastAsia="Arial" w:hAnsi="Arial"/>
          <w:sz w:val="19"/>
          <w:szCs w:val="19"/>
          <w:color w:val="auto"/>
        </w:rPr>
        <w:t>],</w:t>
      </w:r>
    </w:p>
    <w:p>
      <w:pPr>
        <w:spacing w:after="0" w:line="22" w:lineRule="exact"/>
        <w:rPr>
          <w:rFonts w:ascii="Arial" w:cs="Arial" w:eastAsia="Arial" w:hAnsi="Arial"/>
          <w:sz w:val="19"/>
          <w:szCs w:val="19"/>
          <w:color w:val="auto"/>
        </w:rPr>
      </w:pPr>
    </w:p>
    <w:p>
      <w:pPr>
        <w:ind w:left="4300"/>
        <w:spacing w:after="0"/>
        <w:rPr>
          <w:rFonts w:ascii="Arial" w:cs="Arial" w:eastAsia="Arial" w:hAnsi="Arial"/>
          <w:sz w:val="19"/>
          <w:szCs w:val="19"/>
          <w:color w:val="auto"/>
        </w:rPr>
      </w:pPr>
      <w:r>
        <w:rPr>
          <w:rFonts w:ascii="Arial" w:cs="Arial" w:eastAsia="Arial" w:hAnsi="Arial"/>
          <w:sz w:val="19"/>
          <w:szCs w:val="19"/>
          <w:color w:val="auto"/>
        </w:rPr>
        <w:t>as Trustee</w:t>
      </w:r>
    </w:p>
    <w:p>
      <w:pPr>
        <w:spacing w:after="0" w:line="200" w:lineRule="exact"/>
        <w:rPr>
          <w:sz w:val="20"/>
          <w:szCs w:val="20"/>
          <w:color w:val="auto"/>
        </w:rPr>
      </w:pPr>
    </w:p>
    <w:p>
      <w:pPr>
        <w:spacing w:after="0" w:line="253" w:lineRule="exact"/>
        <w:rPr>
          <w:sz w:val="20"/>
          <w:szCs w:val="20"/>
          <w:color w:val="auto"/>
        </w:rPr>
      </w:pPr>
    </w:p>
    <w:p>
      <w:pPr>
        <w:ind w:left="3700"/>
        <w:spacing w:after="0"/>
        <w:rPr>
          <w:sz w:val="20"/>
          <w:szCs w:val="20"/>
          <w:color w:val="auto"/>
        </w:rPr>
      </w:pPr>
      <w:r>
        <w:rPr>
          <w:rFonts w:ascii="Arial" w:cs="Arial" w:eastAsia="Arial" w:hAnsi="Arial"/>
          <w:sz w:val="19"/>
          <w:szCs w:val="19"/>
          <w:color w:val="auto"/>
        </w:rPr>
        <w:t>FORM OF INDENTURE</w:t>
      </w:r>
    </w:p>
    <w:p>
      <w:pPr>
        <w:spacing w:after="0" w:line="200" w:lineRule="exact"/>
        <w:rPr>
          <w:sz w:val="20"/>
          <w:szCs w:val="20"/>
          <w:color w:val="auto"/>
        </w:rPr>
      </w:pPr>
    </w:p>
    <w:p>
      <w:pPr>
        <w:spacing w:after="0" w:line="266" w:lineRule="exact"/>
        <w:rPr>
          <w:sz w:val="20"/>
          <w:szCs w:val="20"/>
          <w:color w:val="auto"/>
        </w:rPr>
      </w:pPr>
    </w:p>
    <w:p>
      <w:pPr>
        <w:ind w:left="3880"/>
        <w:spacing w:after="0"/>
        <w:tabs>
          <w:tab w:leader="none" w:pos="5400" w:val="left"/>
        </w:tabs>
        <w:rPr>
          <w:sz w:val="20"/>
          <w:szCs w:val="20"/>
          <w:color w:val="auto"/>
        </w:rPr>
      </w:pPr>
      <w:r>
        <w:rPr>
          <w:rFonts w:ascii="Arial" w:cs="Arial" w:eastAsia="Arial" w:hAnsi="Arial"/>
          <w:sz w:val="19"/>
          <w:szCs w:val="19"/>
          <w:color w:val="auto"/>
        </w:rPr>
        <w:t>Dated as of</w:t>
      </w:r>
      <w:r>
        <w:rPr>
          <w:sz w:val="20"/>
          <w:szCs w:val="20"/>
          <w:color w:val="auto"/>
        </w:rPr>
        <w:tab/>
      </w:r>
      <w:r>
        <w:rPr>
          <w:rFonts w:ascii="Arial" w:cs="Arial" w:eastAsia="Arial" w:hAnsi="Arial"/>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-841375</wp:posOffset>
            </wp:positionH>
            <wp:positionV relativeFrom="paragraph">
              <wp:posOffset>160020</wp:posOffset>
            </wp:positionV>
            <wp:extent cx="76250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-841375</wp:posOffset>
            </wp:positionH>
            <wp:positionV relativeFrom="paragraph">
              <wp:posOffset>178435</wp:posOffset>
            </wp:positionV>
            <wp:extent cx="762508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7625080" cy="8890"/>
                    </a:xfrm>
                    <a:prstGeom prst="rect">
                      <a:avLst/>
                    </a:prstGeom>
                    <a:noFill/>
                  </pic:spPr>
                </pic:pic>
              </a:graphicData>
            </a:graphic>
          </wp:anchor>
        </w:drawing>
        <w:drawing>
          <wp:anchor simplePos="0" relativeHeight="251657728" behindDoc="1" locked="0" layoutInCell="0" allowOverlap="1">
            <wp:simplePos x="0" y="0"/>
            <wp:positionH relativeFrom="column">
              <wp:posOffset>-843280</wp:posOffset>
            </wp:positionH>
            <wp:positionV relativeFrom="paragraph">
              <wp:posOffset>402590</wp:posOffset>
            </wp:positionV>
            <wp:extent cx="7646670" cy="311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440" w:top="236" w:right="120"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41"/>
        </w:trPr>
        <w:tc>
          <w:tcPr>
            <w:tcW w:w="1660" w:type="dxa"/>
            <w:vAlign w:val="bottom"/>
          </w:tcPr>
          <w:p>
            <w:pPr>
              <w:spacing w:after="0"/>
              <w:rPr>
                <w:sz w:val="20"/>
                <w:szCs w:val="20"/>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5"/>
              </w:rPr>
              <w:t>TABLE OF CONTENTS</w:t>
            </w:r>
          </w:p>
        </w:tc>
        <w:tc>
          <w:tcPr>
            <w:tcW w:w="1200" w:type="dxa"/>
            <w:vAlign w:val="bottom"/>
          </w:tcPr>
          <w:p>
            <w:pPr>
              <w:spacing w:after="0"/>
              <w:rPr>
                <w:sz w:val="20"/>
                <w:szCs w:val="20"/>
                <w:color w:val="auto"/>
              </w:rPr>
            </w:pPr>
          </w:p>
        </w:tc>
      </w:tr>
      <w:tr>
        <w:trPr>
          <w:trHeight w:val="386"/>
        </w:trPr>
        <w:tc>
          <w:tcPr>
            <w:tcW w:w="166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1200" w:type="dxa"/>
            <w:vAlign w:val="bottom"/>
            <w:tcBorders>
              <w:bottom w:val="single" w:sz="8" w:color="auto"/>
            </w:tcBorders>
          </w:tcPr>
          <w:p>
            <w:pPr>
              <w:jc w:val="right"/>
              <w:ind w:right="346"/>
              <w:spacing w:after="0"/>
              <w:rPr>
                <w:sz w:val="20"/>
                <w:szCs w:val="20"/>
                <w:color w:val="auto"/>
              </w:rPr>
            </w:pPr>
            <w:r>
              <w:rPr>
                <w:rFonts w:ascii="Arial" w:cs="Arial" w:eastAsia="Arial" w:hAnsi="Arial"/>
                <w:sz w:val="15"/>
                <w:szCs w:val="15"/>
                <w:b w:val="1"/>
                <w:bCs w:val="1"/>
                <w:color w:val="auto"/>
              </w:rPr>
              <w:t>Page</w:t>
            </w:r>
          </w:p>
        </w:tc>
      </w:tr>
      <w:tr>
        <w:trPr>
          <w:trHeight w:val="450"/>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5"/>
              </w:rPr>
              <w:t>ARTICLE 1</w:t>
            </w:r>
          </w:p>
        </w:tc>
        <w:tc>
          <w:tcPr>
            <w:tcW w:w="120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4"/>
              </w:rPr>
              <w:t>Definitions</w:t>
            </w:r>
          </w:p>
        </w:tc>
        <w:tc>
          <w:tcPr>
            <w:tcW w:w="1200" w:type="dxa"/>
            <w:vAlign w:val="bottom"/>
          </w:tcPr>
          <w:p>
            <w:pPr>
              <w:spacing w:after="0"/>
              <w:rPr>
                <w:sz w:val="24"/>
                <w:szCs w:val="24"/>
                <w:color w:val="auto"/>
              </w:rPr>
            </w:pPr>
          </w:p>
        </w:tc>
      </w:tr>
      <w:tr>
        <w:trPr>
          <w:trHeight w:val="456"/>
        </w:trPr>
        <w:tc>
          <w:tcPr>
            <w:tcW w:w="1660" w:type="dxa"/>
            <w:vAlign w:val="bottom"/>
          </w:tcPr>
          <w:p>
            <w:pPr>
              <w:spacing w:after="0"/>
              <w:rPr>
                <w:sz w:val="20"/>
                <w:szCs w:val="20"/>
                <w:color w:val="auto"/>
              </w:rPr>
            </w:pPr>
            <w:r>
              <w:rPr>
                <w:rFonts w:ascii="Arial" w:cs="Arial" w:eastAsia="Arial" w:hAnsi="Arial"/>
                <w:sz w:val="19"/>
                <w:szCs w:val="19"/>
                <w:color w:val="auto"/>
              </w:rPr>
              <w:t>SECTION 1.01.</w:t>
            </w:r>
          </w:p>
        </w:tc>
        <w:tc>
          <w:tcPr>
            <w:tcW w:w="9140" w:type="dxa"/>
            <w:vAlign w:val="bottom"/>
          </w:tcPr>
          <w:p>
            <w:pPr>
              <w:ind w:left="440"/>
              <w:spacing w:after="0"/>
              <w:rPr>
                <w:sz w:val="20"/>
                <w:szCs w:val="20"/>
                <w:color w:val="auto"/>
              </w:rPr>
            </w:pPr>
            <w:r>
              <w:rPr>
                <w:rFonts w:ascii="Arial" w:cs="Arial" w:eastAsia="Arial" w:hAnsi="Arial"/>
                <w:sz w:val="19"/>
                <w:szCs w:val="19"/>
                <w:color w:val="auto"/>
              </w:rPr>
              <w:t>Certain Terms Defined</w:t>
            </w:r>
          </w:p>
        </w:tc>
        <w:tc>
          <w:tcPr>
            <w:tcW w:w="1200" w:type="dxa"/>
            <w:vAlign w:val="bottom"/>
          </w:tcPr>
          <w:p>
            <w:pPr>
              <w:jc w:val="right"/>
              <w:spacing w:after="0"/>
              <w:rPr>
                <w:sz w:val="20"/>
                <w:szCs w:val="20"/>
                <w:color w:val="auto"/>
              </w:rPr>
            </w:pPr>
            <w:r>
              <w:rPr>
                <w:rFonts w:ascii="Arial" w:cs="Arial" w:eastAsia="Arial" w:hAnsi="Arial"/>
                <w:sz w:val="19"/>
                <w:szCs w:val="19"/>
                <w:color w:val="auto"/>
              </w:rPr>
              <w:t>1</w:t>
            </w:r>
          </w:p>
        </w:tc>
      </w:tr>
      <w:tr>
        <w:trPr>
          <w:trHeight w:val="456"/>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5"/>
              </w:rPr>
              <w:t>ARTICLE 2</w:t>
            </w:r>
          </w:p>
        </w:tc>
        <w:tc>
          <w:tcPr>
            <w:tcW w:w="120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1"/>
              </w:rPr>
              <w:t>Securities</w:t>
            </w:r>
          </w:p>
        </w:tc>
        <w:tc>
          <w:tcPr>
            <w:tcW w:w="120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2.01.</w:t>
            </w:r>
          </w:p>
        </w:tc>
        <w:tc>
          <w:tcPr>
            <w:tcW w:w="9140" w:type="dxa"/>
            <w:vAlign w:val="bottom"/>
          </w:tcPr>
          <w:p>
            <w:pPr>
              <w:ind w:left="440"/>
              <w:spacing w:after="0"/>
              <w:rPr>
                <w:sz w:val="20"/>
                <w:szCs w:val="20"/>
                <w:color w:val="auto"/>
              </w:rPr>
            </w:pPr>
            <w:r>
              <w:rPr>
                <w:rFonts w:ascii="Arial" w:cs="Arial" w:eastAsia="Arial" w:hAnsi="Arial"/>
                <w:sz w:val="19"/>
                <w:szCs w:val="19"/>
                <w:color w:val="auto"/>
              </w:rPr>
              <w:t>Forms Generally</w:t>
            </w:r>
          </w:p>
        </w:tc>
        <w:tc>
          <w:tcPr>
            <w:tcW w:w="12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2.02.</w:t>
            </w:r>
          </w:p>
        </w:tc>
        <w:tc>
          <w:tcPr>
            <w:tcW w:w="9140" w:type="dxa"/>
            <w:vAlign w:val="bottom"/>
          </w:tcPr>
          <w:p>
            <w:pPr>
              <w:ind w:left="440"/>
              <w:spacing w:after="0"/>
              <w:rPr>
                <w:sz w:val="20"/>
                <w:szCs w:val="20"/>
                <w:color w:val="auto"/>
              </w:rPr>
            </w:pPr>
            <w:r>
              <w:rPr>
                <w:rFonts w:ascii="Arial" w:cs="Arial" w:eastAsia="Arial" w:hAnsi="Arial"/>
                <w:sz w:val="19"/>
                <w:szCs w:val="19"/>
                <w:color w:val="auto"/>
              </w:rPr>
              <w:t>Form of Trusteeâ€™s Certification of Authentication</w:t>
            </w:r>
          </w:p>
        </w:tc>
        <w:tc>
          <w:tcPr>
            <w:tcW w:w="12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2.03.</w:t>
            </w:r>
          </w:p>
        </w:tc>
        <w:tc>
          <w:tcPr>
            <w:tcW w:w="9140" w:type="dxa"/>
            <w:vAlign w:val="bottom"/>
          </w:tcPr>
          <w:p>
            <w:pPr>
              <w:ind w:left="440"/>
              <w:spacing w:after="0"/>
              <w:rPr>
                <w:sz w:val="20"/>
                <w:szCs w:val="20"/>
                <w:color w:val="auto"/>
              </w:rPr>
            </w:pPr>
            <w:r>
              <w:rPr>
                <w:rFonts w:ascii="Arial" w:cs="Arial" w:eastAsia="Arial" w:hAnsi="Arial"/>
                <w:sz w:val="19"/>
                <w:szCs w:val="19"/>
                <w:color w:val="auto"/>
              </w:rPr>
              <w:t>Amount Unlimited; Issuable in Series</w:t>
            </w:r>
          </w:p>
        </w:tc>
        <w:tc>
          <w:tcPr>
            <w:tcW w:w="1200" w:type="dxa"/>
            <w:vAlign w:val="bottom"/>
          </w:tcPr>
          <w:p>
            <w:pPr>
              <w:jc w:val="right"/>
              <w:spacing w:after="0"/>
              <w:rPr>
                <w:sz w:val="20"/>
                <w:szCs w:val="20"/>
                <w:color w:val="auto"/>
              </w:rPr>
            </w:pPr>
            <w:r>
              <w:rPr>
                <w:rFonts w:ascii="Arial" w:cs="Arial" w:eastAsia="Arial" w:hAnsi="Arial"/>
                <w:sz w:val="19"/>
                <w:szCs w:val="19"/>
                <w:color w:val="auto"/>
              </w:rPr>
              <w:t>4</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2.04.</w:t>
            </w:r>
          </w:p>
        </w:tc>
        <w:tc>
          <w:tcPr>
            <w:tcW w:w="9140" w:type="dxa"/>
            <w:vAlign w:val="bottom"/>
          </w:tcPr>
          <w:p>
            <w:pPr>
              <w:ind w:left="440"/>
              <w:spacing w:after="0"/>
              <w:rPr>
                <w:sz w:val="20"/>
                <w:szCs w:val="20"/>
                <w:color w:val="auto"/>
              </w:rPr>
            </w:pPr>
            <w:r>
              <w:rPr>
                <w:rFonts w:ascii="Arial" w:cs="Arial" w:eastAsia="Arial" w:hAnsi="Arial"/>
                <w:sz w:val="19"/>
                <w:szCs w:val="19"/>
                <w:color w:val="auto"/>
              </w:rPr>
              <w:t>Authentication and Delivery of Securities</w:t>
            </w:r>
          </w:p>
        </w:tc>
        <w:tc>
          <w:tcPr>
            <w:tcW w:w="1200" w:type="dxa"/>
            <w:vAlign w:val="bottom"/>
          </w:tcPr>
          <w:p>
            <w:pPr>
              <w:jc w:val="right"/>
              <w:spacing w:after="0"/>
              <w:rPr>
                <w:sz w:val="20"/>
                <w:szCs w:val="20"/>
                <w:color w:val="auto"/>
              </w:rPr>
            </w:pPr>
            <w:r>
              <w:rPr>
                <w:rFonts w:ascii="Arial" w:cs="Arial" w:eastAsia="Arial" w:hAnsi="Arial"/>
                <w:sz w:val="19"/>
                <w:szCs w:val="19"/>
                <w:color w:val="auto"/>
              </w:rPr>
              <w:t>6</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2.05.</w:t>
            </w:r>
          </w:p>
        </w:tc>
        <w:tc>
          <w:tcPr>
            <w:tcW w:w="9140" w:type="dxa"/>
            <w:vAlign w:val="bottom"/>
          </w:tcPr>
          <w:p>
            <w:pPr>
              <w:ind w:left="440"/>
              <w:spacing w:after="0"/>
              <w:rPr>
                <w:sz w:val="20"/>
                <w:szCs w:val="20"/>
                <w:color w:val="auto"/>
              </w:rPr>
            </w:pPr>
            <w:r>
              <w:rPr>
                <w:rFonts w:ascii="Arial" w:cs="Arial" w:eastAsia="Arial" w:hAnsi="Arial"/>
                <w:sz w:val="19"/>
                <w:szCs w:val="19"/>
                <w:color w:val="auto"/>
              </w:rPr>
              <w:t>Execution of Securities</w:t>
            </w:r>
          </w:p>
        </w:tc>
        <w:tc>
          <w:tcPr>
            <w:tcW w:w="120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2.06.</w:t>
            </w:r>
          </w:p>
        </w:tc>
        <w:tc>
          <w:tcPr>
            <w:tcW w:w="9140" w:type="dxa"/>
            <w:vAlign w:val="bottom"/>
          </w:tcPr>
          <w:p>
            <w:pPr>
              <w:ind w:left="440"/>
              <w:spacing w:after="0"/>
              <w:rPr>
                <w:sz w:val="20"/>
                <w:szCs w:val="20"/>
                <w:color w:val="auto"/>
              </w:rPr>
            </w:pPr>
            <w:r>
              <w:rPr>
                <w:rFonts w:ascii="Arial" w:cs="Arial" w:eastAsia="Arial" w:hAnsi="Arial"/>
                <w:sz w:val="19"/>
                <w:szCs w:val="19"/>
                <w:color w:val="auto"/>
              </w:rPr>
              <w:t>Certificate of Authorization</w:t>
            </w:r>
          </w:p>
        </w:tc>
        <w:tc>
          <w:tcPr>
            <w:tcW w:w="1200" w:type="dxa"/>
            <w:vAlign w:val="bottom"/>
          </w:tcPr>
          <w:p>
            <w:pPr>
              <w:jc w:val="right"/>
              <w:spacing w:after="0"/>
              <w:rPr>
                <w:sz w:val="20"/>
                <w:szCs w:val="20"/>
                <w:color w:val="auto"/>
              </w:rPr>
            </w:pPr>
            <w:r>
              <w:rPr>
                <w:rFonts w:ascii="Arial" w:cs="Arial" w:eastAsia="Arial" w:hAnsi="Arial"/>
                <w:sz w:val="19"/>
                <w:szCs w:val="19"/>
                <w:color w:val="auto"/>
              </w:rPr>
              <w:t>7</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2.07.</w:t>
            </w:r>
          </w:p>
        </w:tc>
        <w:tc>
          <w:tcPr>
            <w:tcW w:w="9140" w:type="dxa"/>
            <w:vAlign w:val="bottom"/>
          </w:tcPr>
          <w:p>
            <w:pPr>
              <w:ind w:left="440"/>
              <w:spacing w:after="0"/>
              <w:rPr>
                <w:sz w:val="20"/>
                <w:szCs w:val="20"/>
                <w:color w:val="auto"/>
              </w:rPr>
            </w:pPr>
            <w:r>
              <w:rPr>
                <w:rFonts w:ascii="Arial" w:cs="Arial" w:eastAsia="Arial" w:hAnsi="Arial"/>
                <w:sz w:val="19"/>
                <w:szCs w:val="19"/>
                <w:color w:val="auto"/>
              </w:rPr>
              <w:t>Denomination and Date of Securities; Payments of Interest</w:t>
            </w:r>
          </w:p>
        </w:tc>
        <w:tc>
          <w:tcPr>
            <w:tcW w:w="120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2.08.</w:t>
            </w:r>
          </w:p>
        </w:tc>
        <w:tc>
          <w:tcPr>
            <w:tcW w:w="9140" w:type="dxa"/>
            <w:vAlign w:val="bottom"/>
          </w:tcPr>
          <w:p>
            <w:pPr>
              <w:ind w:left="440"/>
              <w:spacing w:after="0"/>
              <w:rPr>
                <w:sz w:val="20"/>
                <w:szCs w:val="20"/>
                <w:color w:val="auto"/>
              </w:rPr>
            </w:pPr>
            <w:r>
              <w:rPr>
                <w:rFonts w:ascii="Arial" w:cs="Arial" w:eastAsia="Arial" w:hAnsi="Arial"/>
                <w:sz w:val="19"/>
                <w:szCs w:val="19"/>
                <w:color w:val="auto"/>
              </w:rPr>
              <w:t>Regulation, Transfer and Exchange</w:t>
            </w:r>
          </w:p>
        </w:tc>
        <w:tc>
          <w:tcPr>
            <w:tcW w:w="1200" w:type="dxa"/>
            <w:vAlign w:val="bottom"/>
          </w:tcPr>
          <w:p>
            <w:pPr>
              <w:jc w:val="right"/>
              <w:spacing w:after="0"/>
              <w:rPr>
                <w:sz w:val="20"/>
                <w:szCs w:val="20"/>
                <w:color w:val="auto"/>
              </w:rPr>
            </w:pPr>
            <w:r>
              <w:rPr>
                <w:rFonts w:ascii="Arial" w:cs="Arial" w:eastAsia="Arial" w:hAnsi="Arial"/>
                <w:sz w:val="19"/>
                <w:szCs w:val="19"/>
                <w:color w:val="auto"/>
              </w:rPr>
              <w:t>8</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2.09.</w:t>
            </w:r>
          </w:p>
        </w:tc>
        <w:tc>
          <w:tcPr>
            <w:tcW w:w="9140" w:type="dxa"/>
            <w:vAlign w:val="bottom"/>
          </w:tcPr>
          <w:p>
            <w:pPr>
              <w:ind w:left="440"/>
              <w:spacing w:after="0"/>
              <w:rPr>
                <w:sz w:val="20"/>
                <w:szCs w:val="20"/>
                <w:color w:val="auto"/>
              </w:rPr>
            </w:pPr>
            <w:r>
              <w:rPr>
                <w:rFonts w:ascii="Arial" w:cs="Arial" w:eastAsia="Arial" w:hAnsi="Arial"/>
                <w:sz w:val="19"/>
                <w:szCs w:val="19"/>
                <w:color w:val="auto"/>
              </w:rPr>
              <w:t>Mutilated, Defaced, Destroyed, Lost and Stolen Securities</w:t>
            </w:r>
          </w:p>
        </w:tc>
        <w:tc>
          <w:tcPr>
            <w:tcW w:w="120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2.10.</w:t>
            </w:r>
          </w:p>
        </w:tc>
        <w:tc>
          <w:tcPr>
            <w:tcW w:w="9140" w:type="dxa"/>
            <w:vAlign w:val="bottom"/>
          </w:tcPr>
          <w:p>
            <w:pPr>
              <w:ind w:left="440"/>
              <w:spacing w:after="0"/>
              <w:rPr>
                <w:sz w:val="20"/>
                <w:szCs w:val="20"/>
                <w:color w:val="auto"/>
              </w:rPr>
            </w:pPr>
            <w:r>
              <w:rPr>
                <w:rFonts w:ascii="Arial" w:cs="Arial" w:eastAsia="Arial" w:hAnsi="Arial"/>
                <w:sz w:val="19"/>
                <w:szCs w:val="19"/>
                <w:color w:val="auto"/>
              </w:rPr>
              <w:t>Cancellation of Securities</w:t>
            </w:r>
          </w:p>
        </w:tc>
        <w:tc>
          <w:tcPr>
            <w:tcW w:w="1200" w:type="dxa"/>
            <w:vAlign w:val="bottom"/>
          </w:tcPr>
          <w:p>
            <w:pPr>
              <w:jc w:val="right"/>
              <w:spacing w:after="0"/>
              <w:rPr>
                <w:sz w:val="20"/>
                <w:szCs w:val="20"/>
                <w:color w:val="auto"/>
              </w:rPr>
            </w:pPr>
            <w:r>
              <w:rPr>
                <w:rFonts w:ascii="Arial" w:cs="Arial" w:eastAsia="Arial" w:hAnsi="Arial"/>
                <w:sz w:val="19"/>
                <w:szCs w:val="19"/>
                <w:color w:val="auto"/>
              </w:rPr>
              <w:t>9</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2.11.</w:t>
            </w:r>
          </w:p>
        </w:tc>
        <w:tc>
          <w:tcPr>
            <w:tcW w:w="9140" w:type="dxa"/>
            <w:vAlign w:val="bottom"/>
          </w:tcPr>
          <w:p>
            <w:pPr>
              <w:ind w:left="440"/>
              <w:spacing w:after="0"/>
              <w:rPr>
                <w:sz w:val="20"/>
                <w:szCs w:val="20"/>
                <w:color w:val="auto"/>
              </w:rPr>
            </w:pPr>
            <w:r>
              <w:rPr>
                <w:rFonts w:ascii="Arial" w:cs="Arial" w:eastAsia="Arial" w:hAnsi="Arial"/>
                <w:sz w:val="19"/>
                <w:szCs w:val="19"/>
                <w:color w:val="auto"/>
              </w:rPr>
              <w:t>Temporary Securities</w:t>
            </w:r>
          </w:p>
        </w:tc>
        <w:tc>
          <w:tcPr>
            <w:tcW w:w="12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2.12.</w:t>
            </w:r>
          </w:p>
        </w:tc>
        <w:tc>
          <w:tcPr>
            <w:tcW w:w="9140" w:type="dxa"/>
            <w:vAlign w:val="bottom"/>
          </w:tcPr>
          <w:p>
            <w:pPr>
              <w:ind w:left="440"/>
              <w:spacing w:after="0"/>
              <w:rPr>
                <w:sz w:val="20"/>
                <w:szCs w:val="20"/>
                <w:color w:val="auto"/>
              </w:rPr>
            </w:pPr>
            <w:r>
              <w:rPr>
                <w:rFonts w:ascii="Arial" w:cs="Arial" w:eastAsia="Arial" w:hAnsi="Arial"/>
                <w:sz w:val="19"/>
                <w:szCs w:val="19"/>
                <w:color w:val="auto"/>
              </w:rPr>
              <w:t>CUSIP Numbers</w:t>
            </w:r>
          </w:p>
        </w:tc>
        <w:tc>
          <w:tcPr>
            <w:tcW w:w="12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456"/>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5"/>
              </w:rPr>
              <w:t>ARTICLE 3</w:t>
            </w:r>
          </w:p>
        </w:tc>
        <w:tc>
          <w:tcPr>
            <w:tcW w:w="120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88"/>
              </w:rPr>
              <w:t>Covenants of the Issuer and the Trustee</w:t>
            </w:r>
          </w:p>
        </w:tc>
        <w:tc>
          <w:tcPr>
            <w:tcW w:w="120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3.01.</w:t>
            </w:r>
          </w:p>
        </w:tc>
        <w:tc>
          <w:tcPr>
            <w:tcW w:w="9140" w:type="dxa"/>
            <w:vAlign w:val="bottom"/>
          </w:tcPr>
          <w:p>
            <w:pPr>
              <w:ind w:left="440"/>
              <w:spacing w:after="0"/>
              <w:rPr>
                <w:sz w:val="20"/>
                <w:szCs w:val="20"/>
                <w:color w:val="auto"/>
              </w:rPr>
            </w:pPr>
            <w:r>
              <w:rPr>
                <w:rFonts w:ascii="Arial" w:cs="Arial" w:eastAsia="Arial" w:hAnsi="Arial"/>
                <w:sz w:val="19"/>
                <w:szCs w:val="19"/>
                <w:color w:val="auto"/>
              </w:rPr>
              <w:t>Payment of Principal and Interest</w:t>
            </w:r>
          </w:p>
        </w:tc>
        <w:tc>
          <w:tcPr>
            <w:tcW w:w="12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3.02.</w:t>
            </w:r>
          </w:p>
        </w:tc>
        <w:tc>
          <w:tcPr>
            <w:tcW w:w="9140" w:type="dxa"/>
            <w:vAlign w:val="bottom"/>
          </w:tcPr>
          <w:p>
            <w:pPr>
              <w:ind w:left="440"/>
              <w:spacing w:after="0"/>
              <w:rPr>
                <w:sz w:val="20"/>
                <w:szCs w:val="20"/>
                <w:color w:val="auto"/>
              </w:rPr>
            </w:pPr>
            <w:r>
              <w:rPr>
                <w:rFonts w:ascii="Arial" w:cs="Arial" w:eastAsia="Arial" w:hAnsi="Arial"/>
                <w:sz w:val="19"/>
                <w:szCs w:val="19"/>
                <w:color w:val="auto"/>
              </w:rPr>
              <w:t>Offices for Payments, etc</w:t>
            </w:r>
          </w:p>
        </w:tc>
        <w:tc>
          <w:tcPr>
            <w:tcW w:w="1200" w:type="dxa"/>
            <w:vAlign w:val="bottom"/>
          </w:tcPr>
          <w:p>
            <w:pPr>
              <w:jc w:val="right"/>
              <w:spacing w:after="0"/>
              <w:rPr>
                <w:sz w:val="20"/>
                <w:szCs w:val="20"/>
                <w:color w:val="auto"/>
              </w:rPr>
            </w:pPr>
            <w:r>
              <w:rPr>
                <w:rFonts w:ascii="Arial" w:cs="Arial" w:eastAsia="Arial" w:hAnsi="Arial"/>
                <w:sz w:val="19"/>
                <w:szCs w:val="19"/>
                <w:color w:val="auto"/>
              </w:rPr>
              <w:t>10</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3.03.</w:t>
            </w:r>
          </w:p>
        </w:tc>
        <w:tc>
          <w:tcPr>
            <w:tcW w:w="9140" w:type="dxa"/>
            <w:vAlign w:val="bottom"/>
          </w:tcPr>
          <w:p>
            <w:pPr>
              <w:ind w:left="440"/>
              <w:spacing w:after="0"/>
              <w:rPr>
                <w:sz w:val="20"/>
                <w:szCs w:val="20"/>
                <w:color w:val="auto"/>
              </w:rPr>
            </w:pPr>
            <w:r>
              <w:rPr>
                <w:rFonts w:ascii="Arial" w:cs="Arial" w:eastAsia="Arial" w:hAnsi="Arial"/>
                <w:sz w:val="19"/>
                <w:szCs w:val="19"/>
                <w:color w:val="auto"/>
              </w:rPr>
              <w:t>Appointment to Fill a Vacancy in Office of Trustee</w:t>
            </w:r>
          </w:p>
        </w:tc>
        <w:tc>
          <w:tcPr>
            <w:tcW w:w="12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3.04.</w:t>
            </w:r>
          </w:p>
        </w:tc>
        <w:tc>
          <w:tcPr>
            <w:tcW w:w="9140" w:type="dxa"/>
            <w:vAlign w:val="bottom"/>
          </w:tcPr>
          <w:p>
            <w:pPr>
              <w:ind w:left="440"/>
              <w:spacing w:after="0"/>
              <w:rPr>
                <w:sz w:val="20"/>
                <w:szCs w:val="20"/>
                <w:color w:val="auto"/>
              </w:rPr>
            </w:pPr>
            <w:r>
              <w:rPr>
                <w:rFonts w:ascii="Arial" w:cs="Arial" w:eastAsia="Arial" w:hAnsi="Arial"/>
                <w:sz w:val="19"/>
                <w:szCs w:val="19"/>
                <w:color w:val="auto"/>
              </w:rPr>
              <w:t>Paying Agents</w:t>
            </w:r>
          </w:p>
        </w:tc>
        <w:tc>
          <w:tcPr>
            <w:tcW w:w="12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3.05.</w:t>
            </w:r>
          </w:p>
        </w:tc>
        <w:tc>
          <w:tcPr>
            <w:tcW w:w="9140" w:type="dxa"/>
            <w:vAlign w:val="bottom"/>
          </w:tcPr>
          <w:p>
            <w:pPr>
              <w:ind w:left="440"/>
              <w:spacing w:after="0"/>
              <w:rPr>
                <w:sz w:val="20"/>
                <w:szCs w:val="20"/>
                <w:color w:val="auto"/>
              </w:rPr>
            </w:pPr>
            <w:r>
              <w:rPr>
                <w:rFonts w:ascii="Arial" w:cs="Arial" w:eastAsia="Arial" w:hAnsi="Arial"/>
                <w:sz w:val="19"/>
                <w:szCs w:val="19"/>
                <w:color w:val="auto"/>
              </w:rPr>
              <w:t>Certificate of the Issuer</w:t>
            </w:r>
          </w:p>
        </w:tc>
        <w:tc>
          <w:tcPr>
            <w:tcW w:w="1200" w:type="dxa"/>
            <w:vAlign w:val="bottom"/>
          </w:tcPr>
          <w:p>
            <w:pPr>
              <w:jc w:val="right"/>
              <w:spacing w:after="0"/>
              <w:rPr>
                <w:sz w:val="20"/>
                <w:szCs w:val="20"/>
                <w:color w:val="auto"/>
              </w:rPr>
            </w:pPr>
            <w:r>
              <w:rPr>
                <w:rFonts w:ascii="Arial" w:cs="Arial" w:eastAsia="Arial" w:hAnsi="Arial"/>
                <w:sz w:val="19"/>
                <w:szCs w:val="19"/>
                <w:color w:val="auto"/>
              </w:rPr>
              <w:t>11</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3.06.</w:t>
            </w:r>
          </w:p>
        </w:tc>
        <w:tc>
          <w:tcPr>
            <w:tcW w:w="9140" w:type="dxa"/>
            <w:vAlign w:val="bottom"/>
          </w:tcPr>
          <w:p>
            <w:pPr>
              <w:ind w:left="440"/>
              <w:spacing w:after="0"/>
              <w:rPr>
                <w:sz w:val="20"/>
                <w:szCs w:val="20"/>
                <w:color w:val="auto"/>
              </w:rPr>
            </w:pPr>
            <w:r>
              <w:rPr>
                <w:rFonts w:ascii="Arial" w:cs="Arial" w:eastAsia="Arial" w:hAnsi="Arial"/>
                <w:sz w:val="19"/>
                <w:szCs w:val="19"/>
                <w:color w:val="auto"/>
              </w:rPr>
              <w:t>Securityholders Lists</w:t>
            </w:r>
          </w:p>
        </w:tc>
        <w:tc>
          <w:tcPr>
            <w:tcW w:w="12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3.07.</w:t>
            </w:r>
          </w:p>
        </w:tc>
        <w:tc>
          <w:tcPr>
            <w:tcW w:w="9140" w:type="dxa"/>
            <w:vAlign w:val="bottom"/>
          </w:tcPr>
          <w:p>
            <w:pPr>
              <w:ind w:left="440"/>
              <w:spacing w:after="0"/>
              <w:rPr>
                <w:sz w:val="20"/>
                <w:szCs w:val="20"/>
                <w:color w:val="auto"/>
              </w:rPr>
            </w:pPr>
            <w:r>
              <w:rPr>
                <w:rFonts w:ascii="Arial" w:cs="Arial" w:eastAsia="Arial" w:hAnsi="Arial"/>
                <w:sz w:val="19"/>
                <w:szCs w:val="19"/>
                <w:color w:val="auto"/>
              </w:rPr>
              <w:t>Reports by the Issuer</w:t>
            </w:r>
          </w:p>
        </w:tc>
        <w:tc>
          <w:tcPr>
            <w:tcW w:w="12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3.08.</w:t>
            </w:r>
          </w:p>
        </w:tc>
        <w:tc>
          <w:tcPr>
            <w:tcW w:w="9140" w:type="dxa"/>
            <w:vAlign w:val="bottom"/>
          </w:tcPr>
          <w:p>
            <w:pPr>
              <w:ind w:left="440"/>
              <w:spacing w:after="0"/>
              <w:rPr>
                <w:sz w:val="20"/>
                <w:szCs w:val="20"/>
                <w:color w:val="auto"/>
              </w:rPr>
            </w:pPr>
            <w:r>
              <w:rPr>
                <w:rFonts w:ascii="Arial" w:cs="Arial" w:eastAsia="Arial" w:hAnsi="Arial"/>
                <w:sz w:val="19"/>
                <w:szCs w:val="19"/>
                <w:color w:val="auto"/>
              </w:rPr>
              <w:t>Reports by the Trustee</w:t>
            </w:r>
          </w:p>
        </w:tc>
        <w:tc>
          <w:tcPr>
            <w:tcW w:w="12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456"/>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5"/>
              </w:rPr>
              <w:t>ARTICLE 4</w:t>
            </w:r>
          </w:p>
        </w:tc>
        <w:tc>
          <w:tcPr>
            <w:tcW w:w="120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140" w:type="dxa"/>
            <w:vAlign w:val="bottom"/>
          </w:tcPr>
          <w:p>
            <w:pPr>
              <w:jc w:val="center"/>
              <w:ind w:right="365"/>
              <w:spacing w:after="0"/>
              <w:rPr>
                <w:sz w:val="20"/>
                <w:szCs w:val="20"/>
                <w:color w:val="auto"/>
              </w:rPr>
            </w:pPr>
            <w:r>
              <w:rPr>
                <w:rFonts w:ascii="Arial" w:cs="Arial" w:eastAsia="Arial" w:hAnsi="Arial"/>
                <w:sz w:val="19"/>
                <w:szCs w:val="19"/>
                <w:color w:val="auto"/>
                <w:w w:val="90"/>
              </w:rPr>
              <w:t>Remedies of the Trustee and Securityholders on Event of Default</w:t>
            </w:r>
          </w:p>
        </w:tc>
        <w:tc>
          <w:tcPr>
            <w:tcW w:w="120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4.01.</w:t>
            </w:r>
          </w:p>
        </w:tc>
        <w:tc>
          <w:tcPr>
            <w:tcW w:w="9140" w:type="dxa"/>
            <w:vAlign w:val="bottom"/>
          </w:tcPr>
          <w:p>
            <w:pPr>
              <w:ind w:left="440"/>
              <w:spacing w:after="0"/>
              <w:rPr>
                <w:sz w:val="20"/>
                <w:szCs w:val="20"/>
                <w:color w:val="auto"/>
              </w:rPr>
            </w:pPr>
            <w:r>
              <w:rPr>
                <w:rFonts w:ascii="Arial" w:cs="Arial" w:eastAsia="Arial" w:hAnsi="Arial"/>
                <w:sz w:val="19"/>
                <w:szCs w:val="19"/>
                <w:color w:val="auto"/>
              </w:rPr>
              <w:t>Event of Default; Acceleration of Maturity; Waiver of Default</w:t>
            </w:r>
          </w:p>
        </w:tc>
        <w:tc>
          <w:tcPr>
            <w:tcW w:w="1200" w:type="dxa"/>
            <w:vAlign w:val="bottom"/>
          </w:tcPr>
          <w:p>
            <w:pPr>
              <w:jc w:val="right"/>
              <w:spacing w:after="0"/>
              <w:rPr>
                <w:sz w:val="20"/>
                <w:szCs w:val="20"/>
                <w:color w:val="auto"/>
              </w:rPr>
            </w:pPr>
            <w:r>
              <w:rPr>
                <w:rFonts w:ascii="Arial" w:cs="Arial" w:eastAsia="Arial" w:hAnsi="Arial"/>
                <w:sz w:val="19"/>
                <w:szCs w:val="19"/>
                <w:color w:val="auto"/>
              </w:rPr>
              <w:t>12</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4.02.</w:t>
            </w:r>
          </w:p>
        </w:tc>
        <w:tc>
          <w:tcPr>
            <w:tcW w:w="9140" w:type="dxa"/>
            <w:vAlign w:val="bottom"/>
          </w:tcPr>
          <w:p>
            <w:pPr>
              <w:ind w:left="440"/>
              <w:spacing w:after="0"/>
              <w:rPr>
                <w:sz w:val="20"/>
                <w:szCs w:val="20"/>
                <w:color w:val="auto"/>
              </w:rPr>
            </w:pPr>
            <w:r>
              <w:rPr>
                <w:rFonts w:ascii="Arial" w:cs="Arial" w:eastAsia="Arial" w:hAnsi="Arial"/>
                <w:sz w:val="19"/>
                <w:szCs w:val="19"/>
                <w:color w:val="auto"/>
              </w:rPr>
              <w:t>Collection of Indebtedness by Trustee; Trustee May Prove Debt</w:t>
            </w:r>
          </w:p>
        </w:tc>
        <w:tc>
          <w:tcPr>
            <w:tcW w:w="1200" w:type="dxa"/>
            <w:vAlign w:val="bottom"/>
          </w:tcPr>
          <w:p>
            <w:pPr>
              <w:jc w:val="right"/>
              <w:spacing w:after="0"/>
              <w:rPr>
                <w:sz w:val="20"/>
                <w:szCs w:val="20"/>
                <w:color w:val="auto"/>
              </w:rPr>
            </w:pPr>
            <w:r>
              <w:rPr>
                <w:rFonts w:ascii="Arial" w:cs="Arial" w:eastAsia="Arial" w:hAnsi="Arial"/>
                <w:sz w:val="19"/>
                <w:szCs w:val="19"/>
                <w:color w:val="auto"/>
              </w:rPr>
              <w:t>14</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4.03.</w:t>
            </w:r>
          </w:p>
        </w:tc>
        <w:tc>
          <w:tcPr>
            <w:tcW w:w="9140" w:type="dxa"/>
            <w:vAlign w:val="bottom"/>
          </w:tcPr>
          <w:p>
            <w:pPr>
              <w:ind w:left="440"/>
              <w:spacing w:after="0"/>
              <w:rPr>
                <w:sz w:val="20"/>
                <w:szCs w:val="20"/>
                <w:color w:val="auto"/>
              </w:rPr>
            </w:pPr>
            <w:r>
              <w:rPr>
                <w:rFonts w:ascii="Arial" w:cs="Arial" w:eastAsia="Arial" w:hAnsi="Arial"/>
                <w:sz w:val="19"/>
                <w:szCs w:val="19"/>
                <w:color w:val="auto"/>
              </w:rPr>
              <w:t>Application of Proceeds</w:t>
            </w:r>
          </w:p>
        </w:tc>
        <w:tc>
          <w:tcPr>
            <w:tcW w:w="12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4.04.</w:t>
            </w:r>
          </w:p>
        </w:tc>
        <w:tc>
          <w:tcPr>
            <w:tcW w:w="9140" w:type="dxa"/>
            <w:vAlign w:val="bottom"/>
          </w:tcPr>
          <w:p>
            <w:pPr>
              <w:ind w:left="440"/>
              <w:spacing w:after="0"/>
              <w:rPr>
                <w:sz w:val="20"/>
                <w:szCs w:val="20"/>
                <w:color w:val="auto"/>
              </w:rPr>
            </w:pPr>
            <w:r>
              <w:rPr>
                <w:rFonts w:ascii="Arial" w:cs="Arial" w:eastAsia="Arial" w:hAnsi="Arial"/>
                <w:sz w:val="19"/>
                <w:szCs w:val="19"/>
                <w:color w:val="auto"/>
              </w:rPr>
              <w:t>Suits for Enforcement</w:t>
            </w:r>
          </w:p>
        </w:tc>
        <w:tc>
          <w:tcPr>
            <w:tcW w:w="12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4.05.</w:t>
            </w:r>
          </w:p>
        </w:tc>
        <w:tc>
          <w:tcPr>
            <w:tcW w:w="9140" w:type="dxa"/>
            <w:vAlign w:val="bottom"/>
          </w:tcPr>
          <w:p>
            <w:pPr>
              <w:ind w:left="440"/>
              <w:spacing w:after="0"/>
              <w:rPr>
                <w:sz w:val="20"/>
                <w:szCs w:val="20"/>
                <w:color w:val="auto"/>
              </w:rPr>
            </w:pPr>
            <w:r>
              <w:rPr>
                <w:rFonts w:ascii="Arial" w:cs="Arial" w:eastAsia="Arial" w:hAnsi="Arial"/>
                <w:sz w:val="19"/>
                <w:szCs w:val="19"/>
                <w:color w:val="auto"/>
              </w:rPr>
              <w:t>Restoration of Rights on Abandonment of Proceeding</w:t>
            </w:r>
          </w:p>
        </w:tc>
        <w:tc>
          <w:tcPr>
            <w:tcW w:w="1200" w:type="dxa"/>
            <w:vAlign w:val="bottom"/>
          </w:tcPr>
          <w:p>
            <w:pPr>
              <w:jc w:val="right"/>
              <w:spacing w:after="0"/>
              <w:rPr>
                <w:sz w:val="20"/>
                <w:szCs w:val="20"/>
                <w:color w:val="auto"/>
              </w:rPr>
            </w:pPr>
            <w:r>
              <w:rPr>
                <w:rFonts w:ascii="Arial" w:cs="Arial" w:eastAsia="Arial" w:hAnsi="Arial"/>
                <w:sz w:val="19"/>
                <w:szCs w:val="19"/>
                <w:color w:val="auto"/>
              </w:rPr>
              <w:t>16</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4.06.</w:t>
            </w:r>
          </w:p>
        </w:tc>
        <w:tc>
          <w:tcPr>
            <w:tcW w:w="9140" w:type="dxa"/>
            <w:vAlign w:val="bottom"/>
          </w:tcPr>
          <w:p>
            <w:pPr>
              <w:ind w:left="440"/>
              <w:spacing w:after="0"/>
              <w:rPr>
                <w:sz w:val="20"/>
                <w:szCs w:val="20"/>
                <w:color w:val="auto"/>
              </w:rPr>
            </w:pPr>
            <w:r>
              <w:rPr>
                <w:rFonts w:ascii="Arial" w:cs="Arial" w:eastAsia="Arial" w:hAnsi="Arial"/>
                <w:sz w:val="19"/>
                <w:szCs w:val="19"/>
                <w:color w:val="auto"/>
              </w:rPr>
              <w:t>Limitations on Suits by Securityholder</w:t>
            </w:r>
          </w:p>
        </w:tc>
        <w:tc>
          <w:tcPr>
            <w:tcW w:w="12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4.07.</w:t>
            </w:r>
          </w:p>
        </w:tc>
        <w:tc>
          <w:tcPr>
            <w:tcW w:w="9140" w:type="dxa"/>
            <w:vAlign w:val="bottom"/>
          </w:tcPr>
          <w:p>
            <w:pPr>
              <w:ind w:left="440"/>
              <w:spacing w:after="0"/>
              <w:rPr>
                <w:sz w:val="20"/>
                <w:szCs w:val="20"/>
                <w:color w:val="auto"/>
              </w:rPr>
            </w:pPr>
            <w:r>
              <w:rPr>
                <w:rFonts w:ascii="Arial" w:cs="Arial" w:eastAsia="Arial" w:hAnsi="Arial"/>
                <w:sz w:val="19"/>
                <w:szCs w:val="19"/>
                <w:color w:val="auto"/>
              </w:rPr>
              <w:t>Unconditional Right of Securityholders to Institute Certain Suits</w:t>
            </w:r>
          </w:p>
        </w:tc>
        <w:tc>
          <w:tcPr>
            <w:tcW w:w="12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4.08.</w:t>
            </w:r>
          </w:p>
        </w:tc>
        <w:tc>
          <w:tcPr>
            <w:tcW w:w="9140" w:type="dxa"/>
            <w:vAlign w:val="bottom"/>
          </w:tcPr>
          <w:p>
            <w:pPr>
              <w:ind w:left="440"/>
              <w:spacing w:after="0"/>
              <w:rPr>
                <w:sz w:val="20"/>
                <w:szCs w:val="20"/>
                <w:color w:val="auto"/>
              </w:rPr>
            </w:pPr>
            <w:r>
              <w:rPr>
                <w:rFonts w:ascii="Arial" w:cs="Arial" w:eastAsia="Arial" w:hAnsi="Arial"/>
                <w:sz w:val="19"/>
                <w:szCs w:val="19"/>
                <w:color w:val="auto"/>
              </w:rPr>
              <w:t>Powers and Remedies Cumulative; Delay or Omission Not Waiver of Default</w:t>
            </w:r>
          </w:p>
        </w:tc>
        <w:tc>
          <w:tcPr>
            <w:tcW w:w="12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4.09.</w:t>
            </w:r>
          </w:p>
        </w:tc>
        <w:tc>
          <w:tcPr>
            <w:tcW w:w="9140" w:type="dxa"/>
            <w:vAlign w:val="bottom"/>
          </w:tcPr>
          <w:p>
            <w:pPr>
              <w:ind w:left="440"/>
              <w:spacing w:after="0"/>
              <w:rPr>
                <w:sz w:val="20"/>
                <w:szCs w:val="20"/>
                <w:color w:val="auto"/>
              </w:rPr>
            </w:pPr>
            <w:r>
              <w:rPr>
                <w:rFonts w:ascii="Arial" w:cs="Arial" w:eastAsia="Arial" w:hAnsi="Arial"/>
                <w:sz w:val="19"/>
                <w:szCs w:val="19"/>
                <w:color w:val="auto"/>
              </w:rPr>
              <w:t>Control by Securityholders</w:t>
            </w:r>
          </w:p>
        </w:tc>
        <w:tc>
          <w:tcPr>
            <w:tcW w:w="1200" w:type="dxa"/>
            <w:vAlign w:val="bottom"/>
          </w:tcPr>
          <w:p>
            <w:pPr>
              <w:jc w:val="right"/>
              <w:spacing w:after="0"/>
              <w:rPr>
                <w:sz w:val="20"/>
                <w:szCs w:val="20"/>
                <w:color w:val="auto"/>
              </w:rPr>
            </w:pPr>
            <w:r>
              <w:rPr>
                <w:rFonts w:ascii="Arial" w:cs="Arial" w:eastAsia="Arial" w:hAnsi="Arial"/>
                <w:sz w:val="19"/>
                <w:szCs w:val="19"/>
                <w:color w:val="auto"/>
              </w:rPr>
              <w:t>17</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4.10.</w:t>
            </w:r>
          </w:p>
        </w:tc>
        <w:tc>
          <w:tcPr>
            <w:tcW w:w="9140" w:type="dxa"/>
            <w:vAlign w:val="bottom"/>
          </w:tcPr>
          <w:p>
            <w:pPr>
              <w:ind w:left="440"/>
              <w:spacing w:after="0"/>
              <w:rPr>
                <w:sz w:val="20"/>
                <w:szCs w:val="20"/>
                <w:color w:val="auto"/>
              </w:rPr>
            </w:pPr>
            <w:r>
              <w:rPr>
                <w:rFonts w:ascii="Arial" w:cs="Arial" w:eastAsia="Arial" w:hAnsi="Arial"/>
                <w:sz w:val="19"/>
                <w:szCs w:val="19"/>
                <w:color w:val="auto"/>
              </w:rPr>
              <w:t>Waiver of Past Defaults</w:t>
            </w:r>
          </w:p>
        </w:tc>
        <w:tc>
          <w:tcPr>
            <w:tcW w:w="1200" w:type="dxa"/>
            <w:vAlign w:val="bottom"/>
          </w:tcPr>
          <w:p>
            <w:pPr>
              <w:jc w:val="right"/>
              <w:spacing w:after="0"/>
              <w:rPr>
                <w:sz w:val="20"/>
                <w:szCs w:val="20"/>
                <w:color w:val="auto"/>
              </w:rPr>
            </w:pPr>
            <w:r>
              <w:rPr>
                <w:rFonts w:ascii="Arial" w:cs="Arial" w:eastAsia="Arial" w:hAnsi="Arial"/>
                <w:sz w:val="19"/>
                <w:szCs w:val="19"/>
                <w:color w:val="auto"/>
              </w:rPr>
              <w:t>18</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42" w:name="page43"/>
    <w:bookmarkEnd w:id="42"/>
    <w:tbl>
      <w:tblPr>
        <w:tblLayout w:type="fixed"/>
        <w:tblInd w:w="0" w:type="dxa"/>
        <w:tblCellMar>
          <w:top w:w="0" w:type="dxa"/>
          <w:left w:w="0" w:type="dxa"/>
          <w:bottom w:w="0" w:type="dxa"/>
          <w:right w:w="0" w:type="dxa"/>
        </w:tblCellMar>
      </w:tblP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4.11.</w:t>
            </w:r>
          </w:p>
        </w:tc>
        <w:tc>
          <w:tcPr>
            <w:tcW w:w="9060" w:type="dxa"/>
            <w:vAlign w:val="bottom"/>
          </w:tcPr>
          <w:p>
            <w:pPr>
              <w:ind w:left="440"/>
              <w:spacing w:after="0"/>
              <w:rPr>
                <w:sz w:val="20"/>
                <w:szCs w:val="20"/>
                <w:color w:val="auto"/>
              </w:rPr>
            </w:pPr>
            <w:r>
              <w:rPr>
                <w:rFonts w:ascii="Arial" w:cs="Arial" w:eastAsia="Arial" w:hAnsi="Arial"/>
                <w:sz w:val="19"/>
                <w:szCs w:val="19"/>
                <w:color w:val="auto"/>
              </w:rPr>
              <w:t>Trustee to Give Notice of Default, But May Withhold in Certain Circumstances</w:t>
            </w:r>
          </w:p>
        </w:tc>
        <w:tc>
          <w:tcPr>
            <w:tcW w:w="12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4.12.</w:t>
            </w:r>
          </w:p>
        </w:tc>
        <w:tc>
          <w:tcPr>
            <w:tcW w:w="9060" w:type="dxa"/>
            <w:vAlign w:val="bottom"/>
          </w:tcPr>
          <w:p>
            <w:pPr>
              <w:ind w:left="440"/>
              <w:spacing w:after="0"/>
              <w:rPr>
                <w:sz w:val="20"/>
                <w:szCs w:val="20"/>
                <w:color w:val="auto"/>
              </w:rPr>
            </w:pPr>
            <w:r>
              <w:rPr>
                <w:rFonts w:ascii="Arial" w:cs="Arial" w:eastAsia="Arial" w:hAnsi="Arial"/>
                <w:sz w:val="19"/>
                <w:szCs w:val="19"/>
                <w:color w:val="auto"/>
              </w:rPr>
              <w:t>Right of Court to Require Filing of Undertaking to Pay Costs</w:t>
            </w:r>
          </w:p>
        </w:tc>
        <w:tc>
          <w:tcPr>
            <w:tcW w:w="1280" w:type="dxa"/>
            <w:vAlign w:val="bottom"/>
          </w:tcPr>
          <w:p>
            <w:pPr>
              <w:jc w:val="right"/>
              <w:spacing w:after="0"/>
              <w:rPr>
                <w:sz w:val="20"/>
                <w:szCs w:val="20"/>
                <w:color w:val="auto"/>
              </w:rPr>
            </w:pPr>
            <w:r>
              <w:rPr>
                <w:rFonts w:ascii="Arial" w:cs="Arial" w:eastAsia="Arial" w:hAnsi="Arial"/>
                <w:sz w:val="19"/>
                <w:szCs w:val="19"/>
                <w:color w:val="auto"/>
              </w:rPr>
              <w:t>18</w:t>
            </w: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5"/>
              </w:rPr>
              <w:t>ARTICLE 5</w:t>
            </w:r>
          </w:p>
        </w:tc>
        <w:tc>
          <w:tcPr>
            <w:tcW w:w="128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305"/>
              <w:spacing w:after="0"/>
              <w:rPr>
                <w:sz w:val="20"/>
                <w:szCs w:val="20"/>
                <w:color w:val="auto"/>
              </w:rPr>
            </w:pPr>
            <w:r>
              <w:rPr>
                <w:rFonts w:ascii="Arial" w:cs="Arial" w:eastAsia="Arial" w:hAnsi="Arial"/>
                <w:sz w:val="19"/>
                <w:szCs w:val="19"/>
                <w:color w:val="auto"/>
                <w:w w:val="89"/>
              </w:rPr>
              <w:t>Concerning the Trustee</w:t>
            </w:r>
          </w:p>
        </w:tc>
        <w:tc>
          <w:tcPr>
            <w:tcW w:w="128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5.01.</w:t>
            </w:r>
          </w:p>
        </w:tc>
        <w:tc>
          <w:tcPr>
            <w:tcW w:w="9060" w:type="dxa"/>
            <w:vAlign w:val="bottom"/>
          </w:tcPr>
          <w:p>
            <w:pPr>
              <w:ind w:left="440"/>
              <w:spacing w:after="0"/>
              <w:rPr>
                <w:sz w:val="20"/>
                <w:szCs w:val="20"/>
                <w:color w:val="auto"/>
              </w:rPr>
            </w:pPr>
            <w:r>
              <w:rPr>
                <w:rFonts w:ascii="Arial" w:cs="Arial" w:eastAsia="Arial" w:hAnsi="Arial"/>
                <w:sz w:val="19"/>
                <w:szCs w:val="19"/>
                <w:color w:val="auto"/>
              </w:rPr>
              <w:t>Duties and Responsibilities of the Trustee; During Default; Prior to Default</w:t>
            </w:r>
          </w:p>
        </w:tc>
        <w:tc>
          <w:tcPr>
            <w:tcW w:w="1280" w:type="dxa"/>
            <w:vAlign w:val="bottom"/>
          </w:tcPr>
          <w:p>
            <w:pPr>
              <w:jc w:val="right"/>
              <w:spacing w:after="0"/>
              <w:rPr>
                <w:sz w:val="20"/>
                <w:szCs w:val="20"/>
                <w:color w:val="auto"/>
              </w:rPr>
            </w:pPr>
            <w:r>
              <w:rPr>
                <w:rFonts w:ascii="Arial" w:cs="Arial" w:eastAsia="Arial" w:hAnsi="Arial"/>
                <w:sz w:val="19"/>
                <w:szCs w:val="19"/>
                <w:color w:val="auto"/>
              </w:rPr>
              <w:t>19</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5.02.</w:t>
            </w:r>
          </w:p>
        </w:tc>
        <w:tc>
          <w:tcPr>
            <w:tcW w:w="9060" w:type="dxa"/>
            <w:vAlign w:val="bottom"/>
          </w:tcPr>
          <w:p>
            <w:pPr>
              <w:ind w:left="440"/>
              <w:spacing w:after="0"/>
              <w:rPr>
                <w:sz w:val="20"/>
                <w:szCs w:val="20"/>
                <w:color w:val="auto"/>
              </w:rPr>
            </w:pPr>
            <w:r>
              <w:rPr>
                <w:rFonts w:ascii="Arial" w:cs="Arial" w:eastAsia="Arial" w:hAnsi="Arial"/>
                <w:sz w:val="19"/>
                <w:szCs w:val="19"/>
                <w:color w:val="auto"/>
              </w:rPr>
              <w:t>Certain Rights of the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20</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5.03.</w:t>
            </w:r>
          </w:p>
        </w:tc>
        <w:tc>
          <w:tcPr>
            <w:tcW w:w="9060" w:type="dxa"/>
            <w:vAlign w:val="bottom"/>
          </w:tcPr>
          <w:p>
            <w:pPr>
              <w:ind w:left="440"/>
              <w:spacing w:after="0"/>
              <w:rPr>
                <w:sz w:val="20"/>
                <w:szCs w:val="20"/>
                <w:color w:val="auto"/>
              </w:rPr>
            </w:pPr>
            <w:r>
              <w:rPr>
                <w:rFonts w:ascii="Arial" w:cs="Arial" w:eastAsia="Arial" w:hAnsi="Arial"/>
                <w:sz w:val="19"/>
                <w:szCs w:val="19"/>
                <w:color w:val="auto"/>
              </w:rPr>
              <w:t>Trustee Not Responsible for Recitals, Disposition of Securities or Application of Proceeds Thereof</w:t>
            </w:r>
          </w:p>
        </w:tc>
        <w:tc>
          <w:tcPr>
            <w:tcW w:w="128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5.04.</w:t>
            </w:r>
          </w:p>
        </w:tc>
        <w:tc>
          <w:tcPr>
            <w:tcW w:w="9060" w:type="dxa"/>
            <w:vAlign w:val="bottom"/>
          </w:tcPr>
          <w:p>
            <w:pPr>
              <w:ind w:left="440"/>
              <w:spacing w:after="0"/>
              <w:rPr>
                <w:sz w:val="20"/>
                <w:szCs w:val="20"/>
                <w:color w:val="auto"/>
              </w:rPr>
            </w:pPr>
            <w:r>
              <w:rPr>
                <w:rFonts w:ascii="Arial" w:cs="Arial" w:eastAsia="Arial" w:hAnsi="Arial"/>
                <w:sz w:val="19"/>
                <w:szCs w:val="19"/>
                <w:color w:val="auto"/>
              </w:rPr>
              <w:t>Trustee and Agents May Hold Securities; Collections, etc</w:t>
            </w:r>
          </w:p>
        </w:tc>
        <w:tc>
          <w:tcPr>
            <w:tcW w:w="128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5.05.</w:t>
            </w:r>
          </w:p>
        </w:tc>
        <w:tc>
          <w:tcPr>
            <w:tcW w:w="9060" w:type="dxa"/>
            <w:vAlign w:val="bottom"/>
          </w:tcPr>
          <w:p>
            <w:pPr>
              <w:ind w:left="440"/>
              <w:spacing w:after="0"/>
              <w:rPr>
                <w:sz w:val="20"/>
                <w:szCs w:val="20"/>
                <w:color w:val="auto"/>
              </w:rPr>
            </w:pPr>
            <w:r>
              <w:rPr>
                <w:rFonts w:ascii="Arial" w:cs="Arial" w:eastAsia="Arial" w:hAnsi="Arial"/>
                <w:sz w:val="19"/>
                <w:szCs w:val="19"/>
                <w:color w:val="auto"/>
              </w:rPr>
              <w:t>Moneys Held by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5.06.</w:t>
            </w:r>
          </w:p>
        </w:tc>
        <w:tc>
          <w:tcPr>
            <w:tcW w:w="9060" w:type="dxa"/>
            <w:vAlign w:val="bottom"/>
          </w:tcPr>
          <w:p>
            <w:pPr>
              <w:ind w:left="440"/>
              <w:spacing w:after="0"/>
              <w:rPr>
                <w:sz w:val="20"/>
                <w:szCs w:val="20"/>
                <w:color w:val="auto"/>
              </w:rPr>
            </w:pPr>
            <w:r>
              <w:rPr>
                <w:rFonts w:ascii="Arial" w:cs="Arial" w:eastAsia="Arial" w:hAnsi="Arial"/>
                <w:sz w:val="19"/>
                <w:szCs w:val="19"/>
                <w:color w:val="auto"/>
              </w:rPr>
              <w:t>Compensation and Indemnification of Trustee and its Prior Claim</w:t>
            </w:r>
          </w:p>
        </w:tc>
        <w:tc>
          <w:tcPr>
            <w:tcW w:w="1280" w:type="dxa"/>
            <w:vAlign w:val="bottom"/>
          </w:tcPr>
          <w:p>
            <w:pPr>
              <w:jc w:val="right"/>
              <w:spacing w:after="0"/>
              <w:rPr>
                <w:sz w:val="20"/>
                <w:szCs w:val="20"/>
                <w:color w:val="auto"/>
              </w:rPr>
            </w:pPr>
            <w:r>
              <w:rPr>
                <w:rFonts w:ascii="Arial" w:cs="Arial" w:eastAsia="Arial" w:hAnsi="Arial"/>
                <w:sz w:val="19"/>
                <w:szCs w:val="19"/>
                <w:color w:val="auto"/>
              </w:rPr>
              <w:t>21</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5.07.</w:t>
            </w:r>
          </w:p>
        </w:tc>
        <w:tc>
          <w:tcPr>
            <w:tcW w:w="9060" w:type="dxa"/>
            <w:vAlign w:val="bottom"/>
          </w:tcPr>
          <w:p>
            <w:pPr>
              <w:ind w:left="440"/>
              <w:spacing w:after="0"/>
              <w:rPr>
                <w:sz w:val="20"/>
                <w:szCs w:val="20"/>
                <w:color w:val="auto"/>
              </w:rPr>
            </w:pPr>
            <w:r>
              <w:rPr>
                <w:rFonts w:ascii="Arial" w:cs="Arial" w:eastAsia="Arial" w:hAnsi="Arial"/>
                <w:sz w:val="19"/>
                <w:szCs w:val="19"/>
                <w:color w:val="auto"/>
              </w:rPr>
              <w:t>Right of Trustee to Rely on Officersâ€™ Certificate, etc</w:t>
            </w:r>
          </w:p>
        </w:tc>
        <w:tc>
          <w:tcPr>
            <w:tcW w:w="12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5.08.</w:t>
            </w:r>
          </w:p>
        </w:tc>
        <w:tc>
          <w:tcPr>
            <w:tcW w:w="9060" w:type="dxa"/>
            <w:vAlign w:val="bottom"/>
          </w:tcPr>
          <w:p>
            <w:pPr>
              <w:ind w:left="440"/>
              <w:spacing w:after="0"/>
              <w:rPr>
                <w:sz w:val="20"/>
                <w:szCs w:val="20"/>
                <w:color w:val="auto"/>
              </w:rPr>
            </w:pPr>
            <w:r>
              <w:rPr>
                <w:rFonts w:ascii="Arial" w:cs="Arial" w:eastAsia="Arial" w:hAnsi="Arial"/>
                <w:sz w:val="19"/>
                <w:szCs w:val="19"/>
                <w:color w:val="auto"/>
              </w:rPr>
              <w:t>Persons Eligible for Appointment as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5.09.</w:t>
            </w:r>
          </w:p>
        </w:tc>
        <w:tc>
          <w:tcPr>
            <w:tcW w:w="9060" w:type="dxa"/>
            <w:vAlign w:val="bottom"/>
          </w:tcPr>
          <w:p>
            <w:pPr>
              <w:ind w:left="440"/>
              <w:spacing w:after="0"/>
              <w:rPr>
                <w:sz w:val="20"/>
                <w:szCs w:val="20"/>
                <w:color w:val="auto"/>
              </w:rPr>
            </w:pPr>
            <w:r>
              <w:rPr>
                <w:rFonts w:ascii="Arial" w:cs="Arial" w:eastAsia="Arial" w:hAnsi="Arial"/>
                <w:sz w:val="19"/>
                <w:szCs w:val="19"/>
                <w:color w:val="auto"/>
              </w:rPr>
              <w:t>Resignation and Removal; Appointment of Successor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22</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5.10.</w:t>
            </w:r>
          </w:p>
        </w:tc>
        <w:tc>
          <w:tcPr>
            <w:tcW w:w="9060" w:type="dxa"/>
            <w:vAlign w:val="bottom"/>
          </w:tcPr>
          <w:p>
            <w:pPr>
              <w:ind w:left="440"/>
              <w:spacing w:after="0"/>
              <w:rPr>
                <w:sz w:val="20"/>
                <w:szCs w:val="20"/>
                <w:color w:val="auto"/>
              </w:rPr>
            </w:pPr>
            <w:r>
              <w:rPr>
                <w:rFonts w:ascii="Arial" w:cs="Arial" w:eastAsia="Arial" w:hAnsi="Arial"/>
                <w:sz w:val="19"/>
                <w:szCs w:val="19"/>
                <w:color w:val="auto"/>
              </w:rPr>
              <w:t>Acceptance of Appointment by Successor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23</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5.11.</w:t>
            </w:r>
          </w:p>
        </w:tc>
        <w:tc>
          <w:tcPr>
            <w:tcW w:w="9060" w:type="dxa"/>
            <w:vAlign w:val="bottom"/>
          </w:tcPr>
          <w:p>
            <w:pPr>
              <w:ind w:left="440"/>
              <w:spacing w:after="0"/>
              <w:rPr>
                <w:sz w:val="20"/>
                <w:szCs w:val="20"/>
                <w:color w:val="auto"/>
              </w:rPr>
            </w:pPr>
            <w:r>
              <w:rPr>
                <w:rFonts w:ascii="Arial" w:cs="Arial" w:eastAsia="Arial" w:hAnsi="Arial"/>
                <w:sz w:val="19"/>
                <w:szCs w:val="19"/>
                <w:color w:val="auto"/>
              </w:rPr>
              <w:t>Merger, Conversion, Consolidation or Succession to Business of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5"/>
              </w:rPr>
              <w:t>ARTICLE 6</w:t>
            </w:r>
          </w:p>
        </w:tc>
        <w:tc>
          <w:tcPr>
            <w:tcW w:w="128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0"/>
              </w:rPr>
              <w:t>Concerning the Securityholders</w:t>
            </w:r>
          </w:p>
        </w:tc>
        <w:tc>
          <w:tcPr>
            <w:tcW w:w="128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6.01.</w:t>
            </w:r>
          </w:p>
        </w:tc>
        <w:tc>
          <w:tcPr>
            <w:tcW w:w="9060" w:type="dxa"/>
            <w:vAlign w:val="bottom"/>
          </w:tcPr>
          <w:p>
            <w:pPr>
              <w:ind w:left="440"/>
              <w:spacing w:after="0"/>
              <w:rPr>
                <w:sz w:val="20"/>
                <w:szCs w:val="20"/>
                <w:color w:val="auto"/>
              </w:rPr>
            </w:pPr>
            <w:r>
              <w:rPr>
                <w:rFonts w:ascii="Arial" w:cs="Arial" w:eastAsia="Arial" w:hAnsi="Arial"/>
                <w:sz w:val="19"/>
                <w:szCs w:val="19"/>
                <w:color w:val="auto"/>
              </w:rPr>
              <w:t>Evidence of Action Taken by Securityholders</w:t>
            </w:r>
          </w:p>
        </w:tc>
        <w:tc>
          <w:tcPr>
            <w:tcW w:w="128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6.02.</w:t>
            </w:r>
          </w:p>
        </w:tc>
        <w:tc>
          <w:tcPr>
            <w:tcW w:w="9060" w:type="dxa"/>
            <w:vAlign w:val="bottom"/>
          </w:tcPr>
          <w:p>
            <w:pPr>
              <w:ind w:left="440"/>
              <w:spacing w:after="0"/>
              <w:rPr>
                <w:sz w:val="20"/>
                <w:szCs w:val="20"/>
                <w:color w:val="auto"/>
              </w:rPr>
            </w:pPr>
            <w:r>
              <w:rPr>
                <w:rFonts w:ascii="Arial" w:cs="Arial" w:eastAsia="Arial" w:hAnsi="Arial"/>
                <w:sz w:val="19"/>
                <w:szCs w:val="19"/>
                <w:color w:val="auto"/>
              </w:rPr>
              <w:t>Proof of Execution of Instruments and of Holding of Securities; Record Date</w:t>
            </w:r>
          </w:p>
        </w:tc>
        <w:tc>
          <w:tcPr>
            <w:tcW w:w="128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6.03.</w:t>
            </w:r>
          </w:p>
        </w:tc>
        <w:tc>
          <w:tcPr>
            <w:tcW w:w="9060" w:type="dxa"/>
            <w:vAlign w:val="bottom"/>
          </w:tcPr>
          <w:p>
            <w:pPr>
              <w:ind w:left="440"/>
              <w:spacing w:after="0"/>
              <w:rPr>
                <w:sz w:val="20"/>
                <w:szCs w:val="20"/>
                <w:color w:val="auto"/>
              </w:rPr>
            </w:pPr>
            <w:r>
              <w:rPr>
                <w:rFonts w:ascii="Arial" w:cs="Arial" w:eastAsia="Arial" w:hAnsi="Arial"/>
                <w:sz w:val="19"/>
                <w:szCs w:val="19"/>
                <w:color w:val="auto"/>
              </w:rPr>
              <w:t>Holders to be Treated as Owners</w:t>
            </w:r>
          </w:p>
        </w:tc>
        <w:tc>
          <w:tcPr>
            <w:tcW w:w="1280" w:type="dxa"/>
            <w:vAlign w:val="bottom"/>
          </w:tcPr>
          <w:p>
            <w:pPr>
              <w:jc w:val="right"/>
              <w:spacing w:after="0"/>
              <w:rPr>
                <w:sz w:val="20"/>
                <w:szCs w:val="20"/>
                <w:color w:val="auto"/>
              </w:rPr>
            </w:pPr>
            <w:r>
              <w:rPr>
                <w:rFonts w:ascii="Arial" w:cs="Arial" w:eastAsia="Arial" w:hAnsi="Arial"/>
                <w:sz w:val="19"/>
                <w:szCs w:val="19"/>
                <w:color w:val="auto"/>
              </w:rPr>
              <w:t>24</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6.04.</w:t>
            </w:r>
          </w:p>
        </w:tc>
        <w:tc>
          <w:tcPr>
            <w:tcW w:w="9060" w:type="dxa"/>
            <w:vAlign w:val="bottom"/>
          </w:tcPr>
          <w:p>
            <w:pPr>
              <w:ind w:left="440"/>
              <w:spacing w:after="0"/>
              <w:rPr>
                <w:sz w:val="20"/>
                <w:szCs w:val="20"/>
                <w:color w:val="auto"/>
              </w:rPr>
            </w:pPr>
            <w:r>
              <w:rPr>
                <w:rFonts w:ascii="Arial" w:cs="Arial" w:eastAsia="Arial" w:hAnsi="Arial"/>
                <w:sz w:val="19"/>
                <w:szCs w:val="19"/>
                <w:color w:val="auto"/>
              </w:rPr>
              <w:t>Securities Owned by Issuer Deemed Not Outstanding</w:t>
            </w:r>
          </w:p>
        </w:tc>
        <w:tc>
          <w:tcPr>
            <w:tcW w:w="128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6.05.</w:t>
            </w:r>
          </w:p>
        </w:tc>
        <w:tc>
          <w:tcPr>
            <w:tcW w:w="9060" w:type="dxa"/>
            <w:vAlign w:val="bottom"/>
          </w:tcPr>
          <w:p>
            <w:pPr>
              <w:ind w:left="440"/>
              <w:spacing w:after="0"/>
              <w:rPr>
                <w:sz w:val="20"/>
                <w:szCs w:val="20"/>
                <w:color w:val="auto"/>
              </w:rPr>
            </w:pPr>
            <w:r>
              <w:rPr>
                <w:rFonts w:ascii="Arial" w:cs="Arial" w:eastAsia="Arial" w:hAnsi="Arial"/>
                <w:sz w:val="19"/>
                <w:szCs w:val="19"/>
                <w:color w:val="auto"/>
              </w:rPr>
              <w:t>Right of Revocation of Action Taken</w:t>
            </w:r>
          </w:p>
        </w:tc>
        <w:tc>
          <w:tcPr>
            <w:tcW w:w="128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5"/>
              </w:rPr>
              <w:t>ARTICLE 7</w:t>
            </w:r>
          </w:p>
        </w:tc>
        <w:tc>
          <w:tcPr>
            <w:tcW w:w="128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88"/>
              </w:rPr>
              <w:t>Supplemental Indentures</w:t>
            </w:r>
          </w:p>
        </w:tc>
        <w:tc>
          <w:tcPr>
            <w:tcW w:w="128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7.01.</w:t>
            </w:r>
          </w:p>
        </w:tc>
        <w:tc>
          <w:tcPr>
            <w:tcW w:w="9060" w:type="dxa"/>
            <w:vAlign w:val="bottom"/>
          </w:tcPr>
          <w:p>
            <w:pPr>
              <w:ind w:left="440"/>
              <w:spacing w:after="0"/>
              <w:rPr>
                <w:sz w:val="20"/>
                <w:szCs w:val="20"/>
                <w:color w:val="auto"/>
              </w:rPr>
            </w:pPr>
            <w:r>
              <w:rPr>
                <w:rFonts w:ascii="Arial" w:cs="Arial" w:eastAsia="Arial" w:hAnsi="Arial"/>
                <w:sz w:val="19"/>
                <w:szCs w:val="19"/>
                <w:color w:val="auto"/>
              </w:rPr>
              <w:t>Supplemental Indentures Without Consent of Securityholders</w:t>
            </w:r>
          </w:p>
        </w:tc>
        <w:tc>
          <w:tcPr>
            <w:tcW w:w="1280" w:type="dxa"/>
            <w:vAlign w:val="bottom"/>
          </w:tcPr>
          <w:p>
            <w:pPr>
              <w:jc w:val="right"/>
              <w:spacing w:after="0"/>
              <w:rPr>
                <w:sz w:val="20"/>
                <w:szCs w:val="20"/>
                <w:color w:val="auto"/>
              </w:rPr>
            </w:pPr>
            <w:r>
              <w:rPr>
                <w:rFonts w:ascii="Arial" w:cs="Arial" w:eastAsia="Arial" w:hAnsi="Arial"/>
                <w:sz w:val="19"/>
                <w:szCs w:val="19"/>
                <w:color w:val="auto"/>
              </w:rPr>
              <w:t>25</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7.02.</w:t>
            </w:r>
          </w:p>
        </w:tc>
        <w:tc>
          <w:tcPr>
            <w:tcW w:w="9060" w:type="dxa"/>
            <w:vAlign w:val="bottom"/>
          </w:tcPr>
          <w:p>
            <w:pPr>
              <w:ind w:left="440"/>
              <w:spacing w:after="0"/>
              <w:rPr>
                <w:sz w:val="20"/>
                <w:szCs w:val="20"/>
                <w:color w:val="auto"/>
              </w:rPr>
            </w:pPr>
            <w:r>
              <w:rPr>
                <w:rFonts w:ascii="Arial" w:cs="Arial" w:eastAsia="Arial" w:hAnsi="Arial"/>
                <w:sz w:val="19"/>
                <w:szCs w:val="19"/>
                <w:color w:val="auto"/>
              </w:rPr>
              <w:t>Supplemental Indentures With Consent of Securityholders</w:t>
            </w:r>
          </w:p>
        </w:tc>
        <w:tc>
          <w:tcPr>
            <w:tcW w:w="1280" w:type="dxa"/>
            <w:vAlign w:val="bottom"/>
          </w:tcPr>
          <w:p>
            <w:pPr>
              <w:jc w:val="right"/>
              <w:spacing w:after="0"/>
              <w:rPr>
                <w:sz w:val="20"/>
                <w:szCs w:val="20"/>
                <w:color w:val="auto"/>
              </w:rPr>
            </w:pPr>
            <w:r>
              <w:rPr>
                <w:rFonts w:ascii="Arial" w:cs="Arial" w:eastAsia="Arial" w:hAnsi="Arial"/>
                <w:sz w:val="19"/>
                <w:szCs w:val="19"/>
                <w:color w:val="auto"/>
              </w:rPr>
              <w:t>26</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7.03.</w:t>
            </w:r>
          </w:p>
        </w:tc>
        <w:tc>
          <w:tcPr>
            <w:tcW w:w="9060" w:type="dxa"/>
            <w:vAlign w:val="bottom"/>
          </w:tcPr>
          <w:p>
            <w:pPr>
              <w:ind w:left="440"/>
              <w:spacing w:after="0"/>
              <w:rPr>
                <w:sz w:val="20"/>
                <w:szCs w:val="20"/>
                <w:color w:val="auto"/>
              </w:rPr>
            </w:pPr>
            <w:r>
              <w:rPr>
                <w:rFonts w:ascii="Arial" w:cs="Arial" w:eastAsia="Arial" w:hAnsi="Arial"/>
                <w:sz w:val="19"/>
                <w:szCs w:val="19"/>
                <w:color w:val="auto"/>
              </w:rPr>
              <w:t>Effect of Supplemental Indenture</w:t>
            </w:r>
          </w:p>
        </w:tc>
        <w:tc>
          <w:tcPr>
            <w:tcW w:w="128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7.04.</w:t>
            </w:r>
          </w:p>
        </w:tc>
        <w:tc>
          <w:tcPr>
            <w:tcW w:w="9060" w:type="dxa"/>
            <w:vAlign w:val="bottom"/>
          </w:tcPr>
          <w:p>
            <w:pPr>
              <w:ind w:left="440"/>
              <w:spacing w:after="0"/>
              <w:rPr>
                <w:sz w:val="20"/>
                <w:szCs w:val="20"/>
                <w:color w:val="auto"/>
              </w:rPr>
            </w:pPr>
            <w:r>
              <w:rPr>
                <w:rFonts w:ascii="Arial" w:cs="Arial" w:eastAsia="Arial" w:hAnsi="Arial"/>
                <w:sz w:val="19"/>
                <w:szCs w:val="19"/>
                <w:color w:val="auto"/>
              </w:rPr>
              <w:t>Documents to Be Given to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27</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7.05.</w:t>
            </w:r>
          </w:p>
        </w:tc>
        <w:tc>
          <w:tcPr>
            <w:tcW w:w="9060" w:type="dxa"/>
            <w:vAlign w:val="bottom"/>
          </w:tcPr>
          <w:p>
            <w:pPr>
              <w:ind w:left="440"/>
              <w:spacing w:after="0"/>
              <w:rPr>
                <w:sz w:val="20"/>
                <w:szCs w:val="20"/>
                <w:color w:val="auto"/>
              </w:rPr>
            </w:pPr>
            <w:r>
              <w:rPr>
                <w:rFonts w:ascii="Arial" w:cs="Arial" w:eastAsia="Arial" w:hAnsi="Arial"/>
                <w:sz w:val="19"/>
                <w:szCs w:val="19"/>
                <w:color w:val="auto"/>
              </w:rPr>
              <w:t>Notation on Securities in Respect of Supplemental Indentures</w:t>
            </w:r>
          </w:p>
        </w:tc>
        <w:tc>
          <w:tcPr>
            <w:tcW w:w="128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5"/>
              </w:rPr>
              <w:t>ARTICLE 8</w:t>
            </w:r>
          </w:p>
        </w:tc>
        <w:tc>
          <w:tcPr>
            <w:tcW w:w="128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0"/>
              </w:rPr>
              <w:t>Consolidation, Merger, Sale or Conveyance</w:t>
            </w:r>
          </w:p>
        </w:tc>
        <w:tc>
          <w:tcPr>
            <w:tcW w:w="128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8.01.</w:t>
            </w:r>
          </w:p>
        </w:tc>
        <w:tc>
          <w:tcPr>
            <w:tcW w:w="9060" w:type="dxa"/>
            <w:vAlign w:val="bottom"/>
          </w:tcPr>
          <w:p>
            <w:pPr>
              <w:ind w:left="440"/>
              <w:spacing w:after="0"/>
              <w:rPr>
                <w:sz w:val="20"/>
                <w:szCs w:val="20"/>
                <w:color w:val="auto"/>
              </w:rPr>
            </w:pPr>
            <w:r>
              <w:rPr>
                <w:rFonts w:ascii="Arial" w:cs="Arial" w:eastAsia="Arial" w:hAnsi="Arial"/>
                <w:sz w:val="19"/>
                <w:szCs w:val="19"/>
                <w:color w:val="auto"/>
              </w:rPr>
              <w:t>Issuer May Consolidate, etc., on Certain Terms</w:t>
            </w:r>
          </w:p>
        </w:tc>
        <w:tc>
          <w:tcPr>
            <w:tcW w:w="128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28"/>
        </w:trPr>
        <w:tc>
          <w:tcPr>
            <w:tcW w:w="1660" w:type="dxa"/>
            <w:vAlign w:val="bottom"/>
          </w:tcPr>
          <w:p>
            <w:pPr>
              <w:spacing w:after="0"/>
              <w:rPr>
                <w:sz w:val="20"/>
                <w:szCs w:val="20"/>
                <w:color w:val="auto"/>
              </w:rPr>
            </w:pPr>
            <w:r>
              <w:rPr>
                <w:rFonts w:ascii="Arial" w:cs="Arial" w:eastAsia="Arial" w:hAnsi="Arial"/>
                <w:sz w:val="19"/>
                <w:szCs w:val="19"/>
                <w:color w:val="auto"/>
              </w:rPr>
              <w:t>SECTION 8.02.</w:t>
            </w:r>
          </w:p>
        </w:tc>
        <w:tc>
          <w:tcPr>
            <w:tcW w:w="9060" w:type="dxa"/>
            <w:vAlign w:val="bottom"/>
          </w:tcPr>
          <w:p>
            <w:pPr>
              <w:ind w:left="440"/>
              <w:spacing w:after="0"/>
              <w:rPr>
                <w:sz w:val="20"/>
                <w:szCs w:val="20"/>
                <w:color w:val="auto"/>
              </w:rPr>
            </w:pPr>
            <w:r>
              <w:rPr>
                <w:rFonts w:ascii="Arial" w:cs="Arial" w:eastAsia="Arial" w:hAnsi="Arial"/>
                <w:sz w:val="19"/>
                <w:szCs w:val="19"/>
                <w:color w:val="auto"/>
              </w:rPr>
              <w:t>Successor Substituted</w:t>
            </w:r>
          </w:p>
        </w:tc>
        <w:tc>
          <w:tcPr>
            <w:tcW w:w="128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8.03.</w:t>
            </w:r>
          </w:p>
        </w:tc>
        <w:tc>
          <w:tcPr>
            <w:tcW w:w="9060" w:type="dxa"/>
            <w:vAlign w:val="bottom"/>
          </w:tcPr>
          <w:p>
            <w:pPr>
              <w:ind w:left="440"/>
              <w:spacing w:after="0"/>
              <w:rPr>
                <w:sz w:val="20"/>
                <w:szCs w:val="20"/>
                <w:color w:val="auto"/>
              </w:rPr>
            </w:pPr>
            <w:r>
              <w:rPr>
                <w:rFonts w:ascii="Arial" w:cs="Arial" w:eastAsia="Arial" w:hAnsi="Arial"/>
                <w:sz w:val="19"/>
                <w:szCs w:val="19"/>
                <w:color w:val="auto"/>
              </w:rPr>
              <w:t>Opinion of Counsel to Trustee</w:t>
            </w:r>
          </w:p>
        </w:tc>
        <w:tc>
          <w:tcPr>
            <w:tcW w:w="1280" w:type="dxa"/>
            <w:vAlign w:val="bottom"/>
          </w:tcPr>
          <w:p>
            <w:pPr>
              <w:jc w:val="right"/>
              <w:spacing w:after="0"/>
              <w:rPr>
                <w:sz w:val="20"/>
                <w:szCs w:val="20"/>
                <w:color w:val="auto"/>
              </w:rPr>
            </w:pPr>
            <w:r>
              <w:rPr>
                <w:rFonts w:ascii="Arial" w:cs="Arial" w:eastAsia="Arial" w:hAnsi="Arial"/>
                <w:sz w:val="19"/>
                <w:szCs w:val="19"/>
                <w:color w:val="auto"/>
              </w:rPr>
              <w:t>28</w:t>
            </w: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5"/>
              </w:rPr>
              <w:t>ARTICLE 9</w:t>
            </w:r>
          </w:p>
        </w:tc>
        <w:tc>
          <w:tcPr>
            <w:tcW w:w="1280" w:type="dxa"/>
            <w:vAlign w:val="bottom"/>
          </w:tcPr>
          <w:p>
            <w:pPr>
              <w:spacing w:after="0"/>
              <w:rPr>
                <w:sz w:val="24"/>
                <w:szCs w:val="24"/>
                <w:color w:val="auto"/>
              </w:rPr>
            </w:pPr>
          </w:p>
        </w:tc>
      </w:tr>
      <w:tr>
        <w:trPr>
          <w:trHeight w:val="456"/>
        </w:trPr>
        <w:tc>
          <w:tcPr>
            <w:tcW w:w="1660" w:type="dxa"/>
            <w:vAlign w:val="bottom"/>
          </w:tcPr>
          <w:p>
            <w:pPr>
              <w:spacing w:after="0"/>
              <w:rPr>
                <w:sz w:val="24"/>
                <w:szCs w:val="24"/>
                <w:color w:val="auto"/>
              </w:rPr>
            </w:pPr>
          </w:p>
        </w:tc>
        <w:tc>
          <w:tcPr>
            <w:tcW w:w="9060" w:type="dxa"/>
            <w:vAlign w:val="bottom"/>
          </w:tcPr>
          <w:p>
            <w:pPr>
              <w:jc w:val="center"/>
              <w:ind w:right="285"/>
              <w:spacing w:after="0"/>
              <w:rPr>
                <w:sz w:val="20"/>
                <w:szCs w:val="20"/>
                <w:color w:val="auto"/>
              </w:rPr>
            </w:pPr>
            <w:r>
              <w:rPr>
                <w:rFonts w:ascii="Arial" w:cs="Arial" w:eastAsia="Arial" w:hAnsi="Arial"/>
                <w:sz w:val="19"/>
                <w:szCs w:val="19"/>
                <w:color w:val="auto"/>
                <w:w w:val="91"/>
              </w:rPr>
              <w:t>Satisfaction and Discharge of Indenture; Unclaimed Moneys</w:t>
            </w:r>
          </w:p>
        </w:tc>
        <w:tc>
          <w:tcPr>
            <w:tcW w:w="1280" w:type="dxa"/>
            <w:vAlign w:val="bottom"/>
          </w:tcPr>
          <w:p>
            <w:pPr>
              <w:spacing w:after="0"/>
              <w:rPr>
                <w:sz w:val="24"/>
                <w:szCs w:val="24"/>
                <w:color w:val="auto"/>
              </w:rPr>
            </w:pPr>
          </w:p>
        </w:tc>
      </w:tr>
      <w:tr>
        <w:trPr>
          <w:trHeight w:val="443"/>
        </w:trPr>
        <w:tc>
          <w:tcPr>
            <w:tcW w:w="1660" w:type="dxa"/>
            <w:vAlign w:val="bottom"/>
          </w:tcPr>
          <w:p>
            <w:pPr>
              <w:spacing w:after="0"/>
              <w:rPr>
                <w:sz w:val="20"/>
                <w:szCs w:val="20"/>
                <w:color w:val="auto"/>
              </w:rPr>
            </w:pPr>
            <w:r>
              <w:rPr>
                <w:rFonts w:ascii="Arial" w:cs="Arial" w:eastAsia="Arial" w:hAnsi="Arial"/>
                <w:sz w:val="19"/>
                <w:szCs w:val="19"/>
                <w:color w:val="auto"/>
              </w:rPr>
              <w:t>SECTION 9.01.</w:t>
            </w:r>
          </w:p>
        </w:tc>
        <w:tc>
          <w:tcPr>
            <w:tcW w:w="9060" w:type="dxa"/>
            <w:vAlign w:val="bottom"/>
          </w:tcPr>
          <w:p>
            <w:pPr>
              <w:ind w:left="440"/>
              <w:spacing w:after="0"/>
              <w:rPr>
                <w:sz w:val="20"/>
                <w:szCs w:val="20"/>
                <w:color w:val="auto"/>
              </w:rPr>
            </w:pPr>
            <w:r>
              <w:rPr>
                <w:rFonts w:ascii="Arial" w:cs="Arial" w:eastAsia="Arial" w:hAnsi="Arial"/>
                <w:sz w:val="19"/>
                <w:szCs w:val="19"/>
                <w:color w:val="auto"/>
              </w:rPr>
              <w:t>Satisfaction and Discharge of Indenture</w:t>
            </w:r>
          </w:p>
        </w:tc>
        <w:tc>
          <w:tcPr>
            <w:tcW w:w="1280" w:type="dxa"/>
            <w:vAlign w:val="bottom"/>
          </w:tcPr>
          <w:p>
            <w:pPr>
              <w:jc w:val="right"/>
              <w:spacing w:after="0"/>
              <w:rPr>
                <w:sz w:val="20"/>
                <w:szCs w:val="20"/>
                <w:color w:val="auto"/>
              </w:rPr>
            </w:pPr>
            <w:r>
              <w:rPr>
                <w:rFonts w:ascii="Arial" w:cs="Arial" w:eastAsia="Arial" w:hAnsi="Arial"/>
                <w:sz w:val="19"/>
                <w:szCs w:val="19"/>
                <w:color w:val="auto"/>
              </w:rPr>
              <w:t>29</w:t>
            </w:r>
          </w:p>
        </w:tc>
      </w:tr>
      <w:tr>
        <w:trPr>
          <w:trHeight w:val="241"/>
        </w:trPr>
        <w:tc>
          <w:tcPr>
            <w:tcW w:w="1660" w:type="dxa"/>
            <w:vAlign w:val="bottom"/>
          </w:tcPr>
          <w:p>
            <w:pPr>
              <w:spacing w:after="0"/>
              <w:rPr>
                <w:sz w:val="20"/>
                <w:szCs w:val="20"/>
                <w:color w:val="auto"/>
              </w:rPr>
            </w:pPr>
            <w:r>
              <w:rPr>
                <w:rFonts w:ascii="Arial" w:cs="Arial" w:eastAsia="Arial" w:hAnsi="Arial"/>
                <w:sz w:val="19"/>
                <w:szCs w:val="19"/>
                <w:color w:val="auto"/>
              </w:rPr>
              <w:t>SECTION 9.02.</w:t>
            </w:r>
          </w:p>
        </w:tc>
        <w:tc>
          <w:tcPr>
            <w:tcW w:w="9060" w:type="dxa"/>
            <w:vAlign w:val="bottom"/>
          </w:tcPr>
          <w:p>
            <w:pPr>
              <w:ind w:left="440"/>
              <w:spacing w:after="0"/>
              <w:rPr>
                <w:sz w:val="20"/>
                <w:szCs w:val="20"/>
                <w:color w:val="auto"/>
              </w:rPr>
            </w:pPr>
            <w:r>
              <w:rPr>
                <w:rFonts w:ascii="Arial" w:cs="Arial" w:eastAsia="Arial" w:hAnsi="Arial"/>
                <w:sz w:val="19"/>
                <w:szCs w:val="19"/>
                <w:color w:val="auto"/>
              </w:rPr>
              <w:t>Application by Trustee of Funds Deposited for Payment of Securities</w:t>
            </w:r>
          </w:p>
        </w:tc>
        <w:tc>
          <w:tcPr>
            <w:tcW w:w="1280" w:type="dxa"/>
            <w:vAlign w:val="bottom"/>
          </w:tcPr>
          <w:p>
            <w:pPr>
              <w:jc w:val="right"/>
              <w:spacing w:after="0"/>
              <w:rPr>
                <w:sz w:val="20"/>
                <w:szCs w:val="20"/>
                <w:color w:val="auto"/>
              </w:rPr>
            </w:pPr>
            <w:r>
              <w:rPr>
                <w:rFonts w:ascii="Arial" w:cs="Arial" w:eastAsia="Arial" w:hAnsi="Arial"/>
                <w:sz w:val="19"/>
                <w:szCs w:val="19"/>
                <w:color w:val="auto"/>
              </w:rPr>
              <w:t>31</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9.03.</w:t>
            </w:r>
          </w:p>
        </w:tc>
        <w:tc>
          <w:tcPr>
            <w:tcW w:w="9240" w:type="dxa"/>
            <w:vAlign w:val="bottom"/>
          </w:tcPr>
          <w:p>
            <w:pPr>
              <w:ind w:left="380"/>
              <w:spacing w:after="0"/>
              <w:rPr>
                <w:sz w:val="20"/>
                <w:szCs w:val="20"/>
                <w:color w:val="auto"/>
              </w:rPr>
            </w:pPr>
            <w:r>
              <w:rPr>
                <w:rFonts w:ascii="Arial" w:cs="Arial" w:eastAsia="Arial" w:hAnsi="Arial"/>
                <w:sz w:val="19"/>
                <w:szCs w:val="19"/>
                <w:color w:val="auto"/>
              </w:rPr>
              <w:t>Repayment of Moneys Held by Paying Agent</w:t>
            </w:r>
          </w:p>
        </w:tc>
        <w:tc>
          <w:tcPr>
            <w:tcW w:w="104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241"/>
        </w:trPr>
        <w:tc>
          <w:tcPr>
            <w:tcW w:w="1720" w:type="dxa"/>
            <w:vAlign w:val="bottom"/>
          </w:tcPr>
          <w:p>
            <w:pPr>
              <w:spacing w:after="0"/>
              <w:rPr>
                <w:sz w:val="20"/>
                <w:szCs w:val="20"/>
                <w:color w:val="auto"/>
              </w:rPr>
            </w:pPr>
            <w:r>
              <w:rPr>
                <w:rFonts w:ascii="Arial" w:cs="Arial" w:eastAsia="Arial" w:hAnsi="Arial"/>
                <w:sz w:val="19"/>
                <w:szCs w:val="19"/>
                <w:color w:val="auto"/>
              </w:rPr>
              <w:t>SECTION 9.04.</w:t>
            </w:r>
          </w:p>
        </w:tc>
        <w:tc>
          <w:tcPr>
            <w:tcW w:w="9240" w:type="dxa"/>
            <w:vAlign w:val="bottom"/>
          </w:tcPr>
          <w:p>
            <w:pPr>
              <w:ind w:left="380"/>
              <w:spacing w:after="0"/>
              <w:rPr>
                <w:sz w:val="20"/>
                <w:szCs w:val="20"/>
                <w:color w:val="auto"/>
              </w:rPr>
            </w:pPr>
            <w:r>
              <w:rPr>
                <w:rFonts w:ascii="Arial" w:cs="Arial" w:eastAsia="Arial" w:hAnsi="Arial"/>
                <w:sz w:val="19"/>
                <w:szCs w:val="19"/>
                <w:color w:val="auto"/>
              </w:rPr>
              <w:t>Return of Moneys Held by Trustee and Paying Agent Unclaimed for Two Years</w:t>
            </w:r>
          </w:p>
        </w:tc>
        <w:tc>
          <w:tcPr>
            <w:tcW w:w="1040" w:type="dxa"/>
            <w:vAlign w:val="bottom"/>
          </w:tcPr>
          <w:p>
            <w:pPr>
              <w:jc w:val="right"/>
              <w:spacing w:after="0"/>
              <w:rPr>
                <w:sz w:val="20"/>
                <w:szCs w:val="20"/>
                <w:color w:val="auto"/>
              </w:rPr>
            </w:pPr>
            <w:r>
              <w:rPr>
                <w:rFonts w:ascii="Arial" w:cs="Arial" w:eastAsia="Arial" w:hAnsi="Arial"/>
                <w:sz w:val="19"/>
                <w:szCs w:val="19"/>
                <w:color w:val="auto"/>
              </w:rPr>
              <w:t>31</w:t>
            </w:r>
          </w:p>
        </w:tc>
      </w:tr>
      <w:tr>
        <w:trPr>
          <w:trHeight w:val="456"/>
        </w:trPr>
        <w:tc>
          <w:tcPr>
            <w:tcW w:w="1720" w:type="dxa"/>
            <w:vAlign w:val="bottom"/>
          </w:tcPr>
          <w:p>
            <w:pPr>
              <w:spacing w:after="0"/>
              <w:rPr>
                <w:sz w:val="24"/>
                <w:szCs w:val="24"/>
                <w:color w:val="auto"/>
              </w:rPr>
            </w:pPr>
          </w:p>
        </w:tc>
        <w:tc>
          <w:tcPr>
            <w:tcW w:w="9240" w:type="dxa"/>
            <w:vAlign w:val="bottom"/>
          </w:tcPr>
          <w:p>
            <w:pPr>
              <w:jc w:val="center"/>
              <w:ind w:right="585"/>
              <w:spacing w:after="0"/>
              <w:rPr>
                <w:sz w:val="20"/>
                <w:szCs w:val="20"/>
                <w:color w:val="auto"/>
              </w:rPr>
            </w:pPr>
            <w:r>
              <w:rPr>
                <w:rFonts w:ascii="Arial" w:cs="Arial" w:eastAsia="Arial" w:hAnsi="Arial"/>
                <w:sz w:val="19"/>
                <w:szCs w:val="19"/>
                <w:color w:val="auto"/>
                <w:w w:val="97"/>
              </w:rPr>
              <w:t>ARTICLE 10</w:t>
            </w:r>
          </w:p>
        </w:tc>
        <w:tc>
          <w:tcPr>
            <w:tcW w:w="1040" w:type="dxa"/>
            <w:vAlign w:val="bottom"/>
          </w:tcPr>
          <w:p>
            <w:pPr>
              <w:spacing w:after="0"/>
              <w:rPr>
                <w:sz w:val="24"/>
                <w:szCs w:val="24"/>
                <w:color w:val="auto"/>
              </w:rPr>
            </w:pPr>
          </w:p>
        </w:tc>
      </w:tr>
      <w:tr>
        <w:trPr>
          <w:trHeight w:val="456"/>
        </w:trPr>
        <w:tc>
          <w:tcPr>
            <w:tcW w:w="1720" w:type="dxa"/>
            <w:vAlign w:val="bottom"/>
          </w:tcPr>
          <w:p>
            <w:pPr>
              <w:spacing w:after="0"/>
              <w:rPr>
                <w:sz w:val="24"/>
                <w:szCs w:val="24"/>
                <w:color w:val="auto"/>
              </w:rPr>
            </w:pPr>
          </w:p>
        </w:tc>
        <w:tc>
          <w:tcPr>
            <w:tcW w:w="9240" w:type="dxa"/>
            <w:vAlign w:val="bottom"/>
          </w:tcPr>
          <w:p>
            <w:pPr>
              <w:jc w:val="center"/>
              <w:ind w:right="585"/>
              <w:spacing w:after="0"/>
              <w:rPr>
                <w:sz w:val="20"/>
                <w:szCs w:val="20"/>
                <w:color w:val="auto"/>
              </w:rPr>
            </w:pPr>
            <w:r>
              <w:rPr>
                <w:rFonts w:ascii="Arial" w:cs="Arial" w:eastAsia="Arial" w:hAnsi="Arial"/>
                <w:sz w:val="19"/>
                <w:szCs w:val="19"/>
                <w:color w:val="auto"/>
                <w:w w:val="91"/>
              </w:rPr>
              <w:t>Miscellaneous Provisions</w:t>
            </w:r>
          </w:p>
        </w:tc>
        <w:tc>
          <w:tcPr>
            <w:tcW w:w="1040" w:type="dxa"/>
            <w:vAlign w:val="bottom"/>
          </w:tcPr>
          <w:p>
            <w:pPr>
              <w:spacing w:after="0"/>
              <w:rPr>
                <w:sz w:val="24"/>
                <w:szCs w:val="24"/>
                <w:color w:val="auto"/>
              </w:rPr>
            </w:pPr>
          </w:p>
        </w:tc>
      </w:tr>
      <w:tr>
        <w:trPr>
          <w:trHeight w:val="443"/>
        </w:trPr>
        <w:tc>
          <w:tcPr>
            <w:tcW w:w="1720" w:type="dxa"/>
            <w:vAlign w:val="bottom"/>
          </w:tcPr>
          <w:p>
            <w:pPr>
              <w:spacing w:after="0"/>
              <w:rPr>
                <w:sz w:val="20"/>
                <w:szCs w:val="20"/>
                <w:color w:val="auto"/>
              </w:rPr>
            </w:pPr>
            <w:r>
              <w:rPr>
                <w:rFonts w:ascii="Arial" w:cs="Arial" w:eastAsia="Arial" w:hAnsi="Arial"/>
                <w:sz w:val="19"/>
                <w:szCs w:val="19"/>
                <w:color w:val="auto"/>
              </w:rPr>
              <w:t>SECTION 10.01.</w:t>
            </w:r>
          </w:p>
        </w:tc>
        <w:tc>
          <w:tcPr>
            <w:tcW w:w="9240" w:type="dxa"/>
            <w:vAlign w:val="bottom"/>
          </w:tcPr>
          <w:p>
            <w:pPr>
              <w:ind w:left="380"/>
              <w:spacing w:after="0"/>
              <w:rPr>
                <w:sz w:val="20"/>
                <w:szCs w:val="20"/>
                <w:color w:val="auto"/>
              </w:rPr>
            </w:pPr>
            <w:r>
              <w:rPr>
                <w:rFonts w:ascii="Arial" w:cs="Arial" w:eastAsia="Arial" w:hAnsi="Arial"/>
                <w:sz w:val="19"/>
                <w:szCs w:val="19"/>
                <w:color w:val="auto"/>
              </w:rPr>
              <w:t>Incorporators, Stockholders, Members, Officers and Directors of Issuer Exempt from Individual Liability</w:t>
            </w:r>
          </w:p>
        </w:tc>
        <w:tc>
          <w:tcPr>
            <w:tcW w:w="10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10.02.</w:t>
            </w:r>
          </w:p>
        </w:tc>
        <w:tc>
          <w:tcPr>
            <w:tcW w:w="9240" w:type="dxa"/>
            <w:vAlign w:val="bottom"/>
          </w:tcPr>
          <w:p>
            <w:pPr>
              <w:ind w:left="380"/>
              <w:spacing w:after="0"/>
              <w:rPr>
                <w:sz w:val="20"/>
                <w:szCs w:val="20"/>
                <w:color w:val="auto"/>
              </w:rPr>
            </w:pPr>
            <w:r>
              <w:rPr>
                <w:rFonts w:ascii="Arial" w:cs="Arial" w:eastAsia="Arial" w:hAnsi="Arial"/>
                <w:sz w:val="19"/>
                <w:szCs w:val="19"/>
                <w:color w:val="auto"/>
              </w:rPr>
              <w:t>Provisions of Indenture for the Sole Benefit of Parties and Securityholders</w:t>
            </w:r>
          </w:p>
        </w:tc>
        <w:tc>
          <w:tcPr>
            <w:tcW w:w="10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10.03.</w:t>
            </w:r>
          </w:p>
        </w:tc>
        <w:tc>
          <w:tcPr>
            <w:tcW w:w="9240" w:type="dxa"/>
            <w:vAlign w:val="bottom"/>
          </w:tcPr>
          <w:p>
            <w:pPr>
              <w:ind w:left="380"/>
              <w:spacing w:after="0"/>
              <w:rPr>
                <w:sz w:val="20"/>
                <w:szCs w:val="20"/>
                <w:color w:val="auto"/>
              </w:rPr>
            </w:pPr>
            <w:r>
              <w:rPr>
                <w:rFonts w:ascii="Arial" w:cs="Arial" w:eastAsia="Arial" w:hAnsi="Arial"/>
                <w:sz w:val="19"/>
                <w:szCs w:val="19"/>
                <w:color w:val="auto"/>
              </w:rPr>
              <w:t>Successors and Assigns of Issuer Bound by Indenture</w:t>
            </w:r>
          </w:p>
        </w:tc>
        <w:tc>
          <w:tcPr>
            <w:tcW w:w="10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10.04.</w:t>
            </w:r>
          </w:p>
        </w:tc>
        <w:tc>
          <w:tcPr>
            <w:tcW w:w="9240" w:type="dxa"/>
            <w:vAlign w:val="bottom"/>
          </w:tcPr>
          <w:p>
            <w:pPr>
              <w:ind w:left="380"/>
              <w:spacing w:after="0"/>
              <w:rPr>
                <w:sz w:val="20"/>
                <w:szCs w:val="20"/>
                <w:color w:val="auto"/>
              </w:rPr>
            </w:pPr>
            <w:r>
              <w:rPr>
                <w:rFonts w:ascii="Arial" w:cs="Arial" w:eastAsia="Arial" w:hAnsi="Arial"/>
                <w:sz w:val="19"/>
                <w:szCs w:val="19"/>
                <w:color w:val="auto"/>
              </w:rPr>
              <w:t>Notices and Demands on Issuer, Trustee and Securityholders</w:t>
            </w:r>
          </w:p>
        </w:tc>
        <w:tc>
          <w:tcPr>
            <w:tcW w:w="1040" w:type="dxa"/>
            <w:vAlign w:val="bottom"/>
          </w:tcPr>
          <w:p>
            <w:pPr>
              <w:jc w:val="right"/>
              <w:spacing w:after="0"/>
              <w:rPr>
                <w:sz w:val="20"/>
                <w:szCs w:val="20"/>
                <w:color w:val="auto"/>
              </w:rPr>
            </w:pPr>
            <w:r>
              <w:rPr>
                <w:rFonts w:ascii="Arial" w:cs="Arial" w:eastAsia="Arial" w:hAnsi="Arial"/>
                <w:sz w:val="19"/>
                <w:szCs w:val="19"/>
                <w:color w:val="auto"/>
              </w:rPr>
              <w:t>32</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10.05.</w:t>
            </w:r>
          </w:p>
        </w:tc>
        <w:tc>
          <w:tcPr>
            <w:tcW w:w="9240" w:type="dxa"/>
            <w:vAlign w:val="bottom"/>
          </w:tcPr>
          <w:p>
            <w:pPr>
              <w:ind w:left="380"/>
              <w:spacing w:after="0"/>
              <w:rPr>
                <w:sz w:val="20"/>
                <w:szCs w:val="20"/>
                <w:color w:val="auto"/>
              </w:rPr>
            </w:pPr>
            <w:r>
              <w:rPr>
                <w:rFonts w:ascii="Arial" w:cs="Arial" w:eastAsia="Arial" w:hAnsi="Arial"/>
                <w:sz w:val="19"/>
                <w:szCs w:val="19"/>
                <w:color w:val="auto"/>
              </w:rPr>
              <w:t>Communication by Securityholders with Other Securityholders</w:t>
            </w:r>
          </w:p>
        </w:tc>
        <w:tc>
          <w:tcPr>
            <w:tcW w:w="1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10.06.</w:t>
            </w:r>
          </w:p>
        </w:tc>
        <w:tc>
          <w:tcPr>
            <w:tcW w:w="9240" w:type="dxa"/>
            <w:vAlign w:val="bottom"/>
          </w:tcPr>
          <w:p>
            <w:pPr>
              <w:ind w:left="380"/>
              <w:spacing w:after="0"/>
              <w:rPr>
                <w:sz w:val="20"/>
                <w:szCs w:val="20"/>
                <w:color w:val="auto"/>
              </w:rPr>
            </w:pPr>
            <w:r>
              <w:rPr>
                <w:rFonts w:ascii="Arial" w:cs="Arial" w:eastAsia="Arial" w:hAnsi="Arial"/>
                <w:sz w:val="19"/>
                <w:szCs w:val="19"/>
                <w:color w:val="auto"/>
              </w:rPr>
              <w:t>Officersâ€™ Certificates and Opinions of Counsel; Statements to be Contained Therein</w:t>
            </w:r>
          </w:p>
        </w:tc>
        <w:tc>
          <w:tcPr>
            <w:tcW w:w="1040" w:type="dxa"/>
            <w:vAlign w:val="bottom"/>
          </w:tcPr>
          <w:p>
            <w:pPr>
              <w:jc w:val="right"/>
              <w:spacing w:after="0"/>
              <w:rPr>
                <w:sz w:val="20"/>
                <w:szCs w:val="20"/>
                <w:color w:val="auto"/>
              </w:rPr>
            </w:pPr>
            <w:r>
              <w:rPr>
                <w:rFonts w:ascii="Arial" w:cs="Arial" w:eastAsia="Arial" w:hAnsi="Arial"/>
                <w:sz w:val="19"/>
                <w:szCs w:val="19"/>
                <w:color w:val="auto"/>
              </w:rPr>
              <w:t>33</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10.07.</w:t>
            </w:r>
          </w:p>
        </w:tc>
        <w:tc>
          <w:tcPr>
            <w:tcW w:w="9240" w:type="dxa"/>
            <w:vAlign w:val="bottom"/>
          </w:tcPr>
          <w:p>
            <w:pPr>
              <w:ind w:left="380"/>
              <w:spacing w:after="0"/>
              <w:rPr>
                <w:sz w:val="20"/>
                <w:szCs w:val="20"/>
                <w:color w:val="auto"/>
              </w:rPr>
            </w:pPr>
            <w:r>
              <w:rPr>
                <w:rFonts w:ascii="Arial" w:cs="Arial" w:eastAsia="Arial" w:hAnsi="Arial"/>
                <w:sz w:val="19"/>
                <w:szCs w:val="19"/>
                <w:color w:val="auto"/>
              </w:rPr>
              <w:t>Payments Due on Saturdays, Sundays and Holidays</w:t>
            </w:r>
          </w:p>
        </w:tc>
        <w:tc>
          <w:tcPr>
            <w:tcW w:w="10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10.08.</w:t>
            </w:r>
          </w:p>
        </w:tc>
        <w:tc>
          <w:tcPr>
            <w:tcW w:w="9240" w:type="dxa"/>
            <w:vAlign w:val="bottom"/>
          </w:tcPr>
          <w:p>
            <w:pPr>
              <w:ind w:left="380"/>
              <w:spacing w:after="0"/>
              <w:rPr>
                <w:sz w:val="20"/>
                <w:szCs w:val="20"/>
                <w:color w:val="auto"/>
              </w:rPr>
            </w:pPr>
            <w:r>
              <w:rPr>
                <w:rFonts w:ascii="Arial" w:cs="Arial" w:eastAsia="Arial" w:hAnsi="Arial"/>
                <w:sz w:val="19"/>
                <w:szCs w:val="19"/>
                <w:color w:val="auto"/>
              </w:rPr>
              <w:t>Conflict of any Provision of Indenture with Trust Indenture Act of 1939</w:t>
            </w:r>
          </w:p>
        </w:tc>
        <w:tc>
          <w:tcPr>
            <w:tcW w:w="10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10.09.</w:t>
            </w:r>
          </w:p>
        </w:tc>
        <w:tc>
          <w:tcPr>
            <w:tcW w:w="9240" w:type="dxa"/>
            <w:vAlign w:val="bottom"/>
          </w:tcPr>
          <w:p>
            <w:pPr>
              <w:ind w:left="380"/>
              <w:spacing w:after="0"/>
              <w:rPr>
                <w:sz w:val="20"/>
                <w:szCs w:val="20"/>
                <w:color w:val="auto"/>
              </w:rPr>
            </w:pPr>
            <w:r>
              <w:rPr>
                <w:rFonts w:ascii="Arial" w:cs="Arial" w:eastAsia="Arial" w:hAnsi="Arial"/>
                <w:sz w:val="19"/>
                <w:szCs w:val="19"/>
                <w:color w:val="auto"/>
              </w:rPr>
              <w:t>New York Law to Govern</w:t>
            </w:r>
          </w:p>
        </w:tc>
        <w:tc>
          <w:tcPr>
            <w:tcW w:w="10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10.10.</w:t>
            </w:r>
          </w:p>
        </w:tc>
        <w:tc>
          <w:tcPr>
            <w:tcW w:w="9240" w:type="dxa"/>
            <w:vAlign w:val="bottom"/>
          </w:tcPr>
          <w:p>
            <w:pPr>
              <w:ind w:left="380"/>
              <w:spacing w:after="0"/>
              <w:rPr>
                <w:sz w:val="20"/>
                <w:szCs w:val="20"/>
                <w:color w:val="auto"/>
              </w:rPr>
            </w:pPr>
            <w:r>
              <w:rPr>
                <w:rFonts w:ascii="Arial" w:cs="Arial" w:eastAsia="Arial" w:hAnsi="Arial"/>
                <w:sz w:val="19"/>
                <w:szCs w:val="19"/>
                <w:color w:val="auto"/>
              </w:rPr>
              <w:t>Counterparts</w:t>
            </w:r>
          </w:p>
        </w:tc>
        <w:tc>
          <w:tcPr>
            <w:tcW w:w="10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10.11.</w:t>
            </w:r>
          </w:p>
        </w:tc>
        <w:tc>
          <w:tcPr>
            <w:tcW w:w="9240" w:type="dxa"/>
            <w:vAlign w:val="bottom"/>
          </w:tcPr>
          <w:p>
            <w:pPr>
              <w:ind w:left="380"/>
              <w:spacing w:after="0"/>
              <w:rPr>
                <w:sz w:val="20"/>
                <w:szCs w:val="20"/>
                <w:color w:val="auto"/>
              </w:rPr>
            </w:pPr>
            <w:r>
              <w:rPr>
                <w:rFonts w:ascii="Arial" w:cs="Arial" w:eastAsia="Arial" w:hAnsi="Arial"/>
                <w:sz w:val="19"/>
                <w:szCs w:val="19"/>
                <w:color w:val="auto"/>
              </w:rPr>
              <w:t>Effect of Headings</w:t>
            </w:r>
          </w:p>
        </w:tc>
        <w:tc>
          <w:tcPr>
            <w:tcW w:w="10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10.12.</w:t>
            </w:r>
          </w:p>
        </w:tc>
        <w:tc>
          <w:tcPr>
            <w:tcW w:w="9240" w:type="dxa"/>
            <w:vAlign w:val="bottom"/>
          </w:tcPr>
          <w:p>
            <w:pPr>
              <w:ind w:left="380"/>
              <w:spacing w:after="0"/>
              <w:rPr>
                <w:sz w:val="20"/>
                <w:szCs w:val="20"/>
                <w:color w:val="auto"/>
              </w:rPr>
            </w:pPr>
            <w:r>
              <w:rPr>
                <w:rFonts w:ascii="Arial" w:cs="Arial" w:eastAsia="Arial" w:hAnsi="Arial"/>
                <w:sz w:val="19"/>
                <w:szCs w:val="19"/>
                <w:color w:val="auto"/>
              </w:rPr>
              <w:t>Securities in a Non-U.S. Currency</w:t>
            </w:r>
          </w:p>
        </w:tc>
        <w:tc>
          <w:tcPr>
            <w:tcW w:w="1040" w:type="dxa"/>
            <w:vAlign w:val="bottom"/>
          </w:tcPr>
          <w:p>
            <w:pPr>
              <w:jc w:val="right"/>
              <w:spacing w:after="0"/>
              <w:rPr>
                <w:sz w:val="20"/>
                <w:szCs w:val="20"/>
                <w:color w:val="auto"/>
              </w:rPr>
            </w:pPr>
            <w:r>
              <w:rPr>
                <w:rFonts w:ascii="Arial" w:cs="Arial" w:eastAsia="Arial" w:hAnsi="Arial"/>
                <w:sz w:val="19"/>
                <w:szCs w:val="19"/>
                <w:color w:val="auto"/>
              </w:rPr>
              <w:t>34</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10.13.</w:t>
            </w:r>
          </w:p>
        </w:tc>
        <w:tc>
          <w:tcPr>
            <w:tcW w:w="9240" w:type="dxa"/>
            <w:vAlign w:val="bottom"/>
          </w:tcPr>
          <w:p>
            <w:pPr>
              <w:ind w:left="380"/>
              <w:spacing w:after="0"/>
              <w:rPr>
                <w:sz w:val="20"/>
                <w:szCs w:val="20"/>
                <w:color w:val="auto"/>
              </w:rPr>
            </w:pPr>
            <w:r>
              <w:rPr>
                <w:rFonts w:ascii="Arial" w:cs="Arial" w:eastAsia="Arial" w:hAnsi="Arial"/>
                <w:sz w:val="19"/>
                <w:szCs w:val="19"/>
                <w:color w:val="auto"/>
              </w:rPr>
              <w:t>Submission to Jurisdiction</w:t>
            </w:r>
          </w:p>
        </w:tc>
        <w:tc>
          <w:tcPr>
            <w:tcW w:w="10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10.14.</w:t>
            </w:r>
          </w:p>
        </w:tc>
        <w:tc>
          <w:tcPr>
            <w:tcW w:w="9240" w:type="dxa"/>
            <w:vAlign w:val="bottom"/>
          </w:tcPr>
          <w:p>
            <w:pPr>
              <w:ind w:left="380"/>
              <w:spacing w:after="0"/>
              <w:rPr>
                <w:sz w:val="20"/>
                <w:szCs w:val="20"/>
                <w:color w:val="auto"/>
              </w:rPr>
            </w:pPr>
            <w:r>
              <w:rPr>
                <w:rFonts w:ascii="Arial" w:cs="Arial" w:eastAsia="Arial" w:hAnsi="Arial"/>
                <w:sz w:val="19"/>
                <w:szCs w:val="19"/>
                <w:color w:val="auto"/>
              </w:rPr>
              <w:t>Judgment Currency</w:t>
            </w:r>
          </w:p>
        </w:tc>
        <w:tc>
          <w:tcPr>
            <w:tcW w:w="10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10.15.</w:t>
            </w:r>
          </w:p>
        </w:tc>
        <w:tc>
          <w:tcPr>
            <w:tcW w:w="9240" w:type="dxa"/>
            <w:vAlign w:val="bottom"/>
          </w:tcPr>
          <w:p>
            <w:pPr>
              <w:ind w:left="380"/>
              <w:spacing w:after="0"/>
              <w:rPr>
                <w:sz w:val="20"/>
                <w:szCs w:val="20"/>
                <w:color w:val="auto"/>
              </w:rPr>
            </w:pPr>
            <w:r>
              <w:rPr>
                <w:rFonts w:ascii="Arial" w:cs="Arial" w:eastAsia="Arial" w:hAnsi="Arial"/>
                <w:sz w:val="19"/>
                <w:szCs w:val="19"/>
                <w:color w:val="auto"/>
              </w:rPr>
              <w:t>Waiver of Jury Trial</w:t>
            </w:r>
          </w:p>
        </w:tc>
        <w:tc>
          <w:tcPr>
            <w:tcW w:w="1040" w:type="dxa"/>
            <w:vAlign w:val="bottom"/>
          </w:tcPr>
          <w:p>
            <w:pPr>
              <w:jc w:val="right"/>
              <w:spacing w:after="0"/>
              <w:rPr>
                <w:sz w:val="20"/>
                <w:szCs w:val="20"/>
                <w:color w:val="auto"/>
              </w:rPr>
            </w:pPr>
            <w:r>
              <w:rPr>
                <w:rFonts w:ascii="Arial" w:cs="Arial" w:eastAsia="Arial" w:hAnsi="Arial"/>
                <w:sz w:val="19"/>
                <w:szCs w:val="19"/>
                <w:color w:val="auto"/>
              </w:rPr>
              <w:t>35</w:t>
            </w:r>
          </w:p>
        </w:tc>
      </w:tr>
      <w:tr>
        <w:trPr>
          <w:trHeight w:val="241"/>
        </w:trPr>
        <w:tc>
          <w:tcPr>
            <w:tcW w:w="1720" w:type="dxa"/>
            <w:vAlign w:val="bottom"/>
          </w:tcPr>
          <w:p>
            <w:pPr>
              <w:spacing w:after="0"/>
              <w:rPr>
                <w:sz w:val="20"/>
                <w:szCs w:val="20"/>
                <w:color w:val="auto"/>
              </w:rPr>
            </w:pPr>
            <w:r>
              <w:rPr>
                <w:rFonts w:ascii="Arial" w:cs="Arial" w:eastAsia="Arial" w:hAnsi="Arial"/>
                <w:sz w:val="19"/>
                <w:szCs w:val="19"/>
                <w:color w:val="auto"/>
              </w:rPr>
              <w:t>SECTION 10.16.</w:t>
            </w:r>
          </w:p>
        </w:tc>
        <w:tc>
          <w:tcPr>
            <w:tcW w:w="9240" w:type="dxa"/>
            <w:vAlign w:val="bottom"/>
          </w:tcPr>
          <w:p>
            <w:pPr>
              <w:ind w:left="380"/>
              <w:spacing w:after="0"/>
              <w:rPr>
                <w:sz w:val="20"/>
                <w:szCs w:val="20"/>
                <w:color w:val="auto"/>
              </w:rPr>
            </w:pPr>
            <w:r>
              <w:rPr>
                <w:rFonts w:ascii="Arial" w:cs="Arial" w:eastAsia="Arial" w:hAnsi="Arial"/>
                <w:sz w:val="19"/>
                <w:szCs w:val="19"/>
                <w:color w:val="auto"/>
              </w:rPr>
              <w:t>Force Majeure</w:t>
            </w:r>
          </w:p>
        </w:tc>
        <w:tc>
          <w:tcPr>
            <w:tcW w:w="10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456"/>
        </w:trPr>
        <w:tc>
          <w:tcPr>
            <w:tcW w:w="1720" w:type="dxa"/>
            <w:vAlign w:val="bottom"/>
          </w:tcPr>
          <w:p>
            <w:pPr>
              <w:spacing w:after="0"/>
              <w:rPr>
                <w:sz w:val="24"/>
                <w:szCs w:val="24"/>
                <w:color w:val="auto"/>
              </w:rPr>
            </w:pPr>
          </w:p>
        </w:tc>
        <w:tc>
          <w:tcPr>
            <w:tcW w:w="9240" w:type="dxa"/>
            <w:vAlign w:val="bottom"/>
          </w:tcPr>
          <w:p>
            <w:pPr>
              <w:jc w:val="center"/>
              <w:ind w:right="605"/>
              <w:spacing w:after="0"/>
              <w:rPr>
                <w:sz w:val="20"/>
                <w:szCs w:val="20"/>
                <w:color w:val="auto"/>
              </w:rPr>
            </w:pPr>
            <w:r>
              <w:rPr>
                <w:rFonts w:ascii="Arial" w:cs="Arial" w:eastAsia="Arial" w:hAnsi="Arial"/>
                <w:sz w:val="19"/>
                <w:szCs w:val="19"/>
                <w:color w:val="auto"/>
                <w:w w:val="95"/>
              </w:rPr>
              <w:t>ARTICLE 11</w:t>
            </w:r>
          </w:p>
        </w:tc>
        <w:tc>
          <w:tcPr>
            <w:tcW w:w="1040" w:type="dxa"/>
            <w:vAlign w:val="bottom"/>
          </w:tcPr>
          <w:p>
            <w:pPr>
              <w:spacing w:after="0"/>
              <w:rPr>
                <w:sz w:val="24"/>
                <w:szCs w:val="24"/>
                <w:color w:val="auto"/>
              </w:rPr>
            </w:pPr>
          </w:p>
        </w:tc>
      </w:tr>
      <w:tr>
        <w:trPr>
          <w:trHeight w:val="456"/>
        </w:trPr>
        <w:tc>
          <w:tcPr>
            <w:tcW w:w="1720" w:type="dxa"/>
            <w:vAlign w:val="bottom"/>
          </w:tcPr>
          <w:p>
            <w:pPr>
              <w:spacing w:after="0"/>
              <w:rPr>
                <w:sz w:val="24"/>
                <w:szCs w:val="24"/>
                <w:color w:val="auto"/>
              </w:rPr>
            </w:pPr>
          </w:p>
        </w:tc>
        <w:tc>
          <w:tcPr>
            <w:tcW w:w="9240" w:type="dxa"/>
            <w:vAlign w:val="bottom"/>
          </w:tcPr>
          <w:p>
            <w:pPr>
              <w:jc w:val="center"/>
              <w:ind w:right="585"/>
              <w:spacing w:after="0"/>
              <w:rPr>
                <w:sz w:val="20"/>
                <w:szCs w:val="20"/>
                <w:color w:val="auto"/>
              </w:rPr>
            </w:pPr>
            <w:r>
              <w:rPr>
                <w:rFonts w:ascii="Arial" w:cs="Arial" w:eastAsia="Arial" w:hAnsi="Arial"/>
                <w:sz w:val="19"/>
                <w:szCs w:val="19"/>
                <w:color w:val="auto"/>
                <w:w w:val="90"/>
              </w:rPr>
              <w:t>Redemption of Securities</w:t>
            </w:r>
          </w:p>
        </w:tc>
        <w:tc>
          <w:tcPr>
            <w:tcW w:w="1040" w:type="dxa"/>
            <w:vAlign w:val="bottom"/>
          </w:tcPr>
          <w:p>
            <w:pPr>
              <w:spacing w:after="0"/>
              <w:rPr>
                <w:sz w:val="24"/>
                <w:szCs w:val="24"/>
                <w:color w:val="auto"/>
              </w:rPr>
            </w:pPr>
          </w:p>
        </w:tc>
      </w:tr>
      <w:tr>
        <w:trPr>
          <w:trHeight w:val="443"/>
        </w:trPr>
        <w:tc>
          <w:tcPr>
            <w:tcW w:w="1720" w:type="dxa"/>
            <w:vAlign w:val="bottom"/>
          </w:tcPr>
          <w:p>
            <w:pPr>
              <w:spacing w:after="0"/>
              <w:rPr>
                <w:sz w:val="20"/>
                <w:szCs w:val="20"/>
                <w:color w:val="auto"/>
              </w:rPr>
            </w:pPr>
            <w:r>
              <w:rPr>
                <w:rFonts w:ascii="Arial" w:cs="Arial" w:eastAsia="Arial" w:hAnsi="Arial"/>
                <w:sz w:val="19"/>
                <w:szCs w:val="19"/>
                <w:color w:val="auto"/>
              </w:rPr>
              <w:t>SECTION 11.01.</w:t>
            </w:r>
          </w:p>
        </w:tc>
        <w:tc>
          <w:tcPr>
            <w:tcW w:w="9240" w:type="dxa"/>
            <w:vAlign w:val="bottom"/>
          </w:tcPr>
          <w:p>
            <w:pPr>
              <w:ind w:left="380"/>
              <w:spacing w:after="0"/>
              <w:rPr>
                <w:sz w:val="20"/>
                <w:szCs w:val="20"/>
                <w:color w:val="auto"/>
              </w:rPr>
            </w:pPr>
            <w:r>
              <w:rPr>
                <w:rFonts w:ascii="Arial" w:cs="Arial" w:eastAsia="Arial" w:hAnsi="Arial"/>
                <w:sz w:val="19"/>
                <w:szCs w:val="19"/>
                <w:color w:val="auto"/>
              </w:rPr>
              <w:t>Applicability Of Article</w:t>
            </w:r>
          </w:p>
        </w:tc>
        <w:tc>
          <w:tcPr>
            <w:tcW w:w="10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11.02.</w:t>
            </w:r>
          </w:p>
        </w:tc>
        <w:tc>
          <w:tcPr>
            <w:tcW w:w="9240" w:type="dxa"/>
            <w:vAlign w:val="bottom"/>
          </w:tcPr>
          <w:p>
            <w:pPr>
              <w:ind w:left="380"/>
              <w:spacing w:after="0"/>
              <w:rPr>
                <w:sz w:val="20"/>
                <w:szCs w:val="20"/>
                <w:color w:val="auto"/>
              </w:rPr>
            </w:pPr>
            <w:r>
              <w:rPr>
                <w:rFonts w:ascii="Arial" w:cs="Arial" w:eastAsia="Arial" w:hAnsi="Arial"/>
                <w:sz w:val="19"/>
                <w:szCs w:val="19"/>
                <w:color w:val="auto"/>
              </w:rPr>
              <w:t>Notice Of Redemption; Partial Redemptions</w:t>
            </w:r>
          </w:p>
        </w:tc>
        <w:tc>
          <w:tcPr>
            <w:tcW w:w="1040" w:type="dxa"/>
            <w:vAlign w:val="bottom"/>
          </w:tcPr>
          <w:p>
            <w:pPr>
              <w:jc w:val="right"/>
              <w:spacing w:after="0"/>
              <w:rPr>
                <w:sz w:val="20"/>
                <w:szCs w:val="20"/>
                <w:color w:val="auto"/>
              </w:rPr>
            </w:pPr>
            <w:r>
              <w:rPr>
                <w:rFonts w:ascii="Arial" w:cs="Arial" w:eastAsia="Arial" w:hAnsi="Arial"/>
                <w:sz w:val="19"/>
                <w:szCs w:val="19"/>
                <w:color w:val="auto"/>
              </w:rPr>
              <w:t>36</w:t>
            </w:r>
          </w:p>
        </w:tc>
      </w:tr>
      <w:tr>
        <w:trPr>
          <w:trHeight w:val="228"/>
        </w:trPr>
        <w:tc>
          <w:tcPr>
            <w:tcW w:w="1720" w:type="dxa"/>
            <w:vAlign w:val="bottom"/>
          </w:tcPr>
          <w:p>
            <w:pPr>
              <w:spacing w:after="0"/>
              <w:rPr>
                <w:sz w:val="20"/>
                <w:szCs w:val="20"/>
                <w:color w:val="auto"/>
              </w:rPr>
            </w:pPr>
            <w:r>
              <w:rPr>
                <w:rFonts w:ascii="Arial" w:cs="Arial" w:eastAsia="Arial" w:hAnsi="Arial"/>
                <w:sz w:val="19"/>
                <w:szCs w:val="19"/>
                <w:color w:val="auto"/>
              </w:rPr>
              <w:t>SECTION 11.03.</w:t>
            </w:r>
          </w:p>
        </w:tc>
        <w:tc>
          <w:tcPr>
            <w:tcW w:w="9240" w:type="dxa"/>
            <w:vAlign w:val="bottom"/>
          </w:tcPr>
          <w:p>
            <w:pPr>
              <w:ind w:left="380"/>
              <w:spacing w:after="0"/>
              <w:rPr>
                <w:sz w:val="20"/>
                <w:szCs w:val="20"/>
                <w:color w:val="auto"/>
              </w:rPr>
            </w:pPr>
            <w:r>
              <w:rPr>
                <w:rFonts w:ascii="Arial" w:cs="Arial" w:eastAsia="Arial" w:hAnsi="Arial"/>
                <w:sz w:val="19"/>
                <w:szCs w:val="19"/>
                <w:color w:val="auto"/>
              </w:rPr>
              <w:t>Payment of Securities Called for Redemption</w:t>
            </w:r>
          </w:p>
        </w:tc>
        <w:tc>
          <w:tcPr>
            <w:tcW w:w="1040" w:type="dxa"/>
            <w:vAlign w:val="bottom"/>
          </w:tcPr>
          <w:p>
            <w:pPr>
              <w:jc w:val="right"/>
              <w:spacing w:after="0"/>
              <w:rPr>
                <w:sz w:val="20"/>
                <w:szCs w:val="20"/>
                <w:color w:val="auto"/>
              </w:rPr>
            </w:pPr>
            <w:r>
              <w:rPr>
                <w:rFonts w:ascii="Arial" w:cs="Arial" w:eastAsia="Arial" w:hAnsi="Arial"/>
                <w:sz w:val="19"/>
                <w:szCs w:val="19"/>
                <w:color w:val="auto"/>
              </w:rPr>
              <w:t>37</w:t>
            </w:r>
          </w:p>
        </w:tc>
      </w:tr>
      <w:tr>
        <w:trPr>
          <w:trHeight w:val="241"/>
        </w:trPr>
        <w:tc>
          <w:tcPr>
            <w:tcW w:w="1720" w:type="dxa"/>
            <w:vAlign w:val="bottom"/>
          </w:tcPr>
          <w:p>
            <w:pPr>
              <w:spacing w:after="0"/>
              <w:rPr>
                <w:sz w:val="20"/>
                <w:szCs w:val="20"/>
                <w:color w:val="auto"/>
              </w:rPr>
            </w:pPr>
            <w:r>
              <w:rPr>
                <w:rFonts w:ascii="Arial" w:cs="Arial" w:eastAsia="Arial" w:hAnsi="Arial"/>
                <w:sz w:val="19"/>
                <w:szCs w:val="19"/>
                <w:color w:val="auto"/>
              </w:rPr>
              <w:t>SECTION 11.04.</w:t>
            </w:r>
          </w:p>
        </w:tc>
        <w:tc>
          <w:tcPr>
            <w:tcW w:w="9240" w:type="dxa"/>
            <w:vAlign w:val="bottom"/>
          </w:tcPr>
          <w:p>
            <w:pPr>
              <w:ind w:left="380"/>
              <w:spacing w:after="0"/>
              <w:rPr>
                <w:sz w:val="20"/>
                <w:szCs w:val="20"/>
                <w:color w:val="auto"/>
              </w:rPr>
            </w:pPr>
            <w:r>
              <w:rPr>
                <w:rFonts w:ascii="Arial" w:cs="Arial" w:eastAsia="Arial" w:hAnsi="Arial"/>
                <w:sz w:val="19"/>
                <w:szCs w:val="19"/>
                <w:color w:val="auto"/>
              </w:rPr>
              <w:t>Exclusion of Certain Securities from Eligibility for Selection for Redemption</w:t>
            </w:r>
          </w:p>
        </w:tc>
        <w:tc>
          <w:tcPr>
            <w:tcW w:w="1040" w:type="dxa"/>
            <w:vAlign w:val="bottom"/>
          </w:tcPr>
          <w:p>
            <w:pPr>
              <w:jc w:val="right"/>
              <w:spacing w:after="0"/>
              <w:rPr>
                <w:sz w:val="20"/>
                <w:szCs w:val="20"/>
                <w:color w:val="auto"/>
              </w:rPr>
            </w:pPr>
            <w:r>
              <w:rPr>
                <w:rFonts w:ascii="Arial" w:cs="Arial" w:eastAsia="Arial" w:hAnsi="Arial"/>
                <w:sz w:val="19"/>
                <w:szCs w:val="19"/>
                <w:color w:val="auto"/>
              </w:rPr>
              <w:t>37</w:t>
            </w: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44" w:name="page45"/>
    <w:bookmarkEnd w:id="44"/>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47"/>
        </w:trPr>
        <w:tc>
          <w:tcPr>
            <w:tcW w:w="560" w:type="dxa"/>
            <w:vAlign w:val="bottom"/>
          </w:tcPr>
          <w:p>
            <w:pPr>
              <w:spacing w:after="0"/>
              <w:rPr>
                <w:sz w:val="21"/>
                <w:szCs w:val="21"/>
                <w:color w:val="auto"/>
              </w:rPr>
            </w:pPr>
          </w:p>
        </w:tc>
        <w:tc>
          <w:tcPr>
            <w:tcW w:w="2880" w:type="dxa"/>
            <w:vAlign w:val="bottom"/>
          </w:tcPr>
          <w:p>
            <w:pPr>
              <w:spacing w:after="0"/>
              <w:rPr>
                <w:sz w:val="21"/>
                <w:szCs w:val="21"/>
                <w:color w:val="auto"/>
              </w:rPr>
            </w:pPr>
          </w:p>
        </w:tc>
        <w:tc>
          <w:tcPr>
            <w:tcW w:w="8560" w:type="dxa"/>
            <w:vAlign w:val="bottom"/>
            <w:gridSpan w:val="3"/>
          </w:tcPr>
          <w:p>
            <w:pPr>
              <w:ind w:left="1240"/>
              <w:spacing w:after="0"/>
              <w:rPr>
                <w:sz w:val="20"/>
                <w:szCs w:val="20"/>
                <w:color w:val="auto"/>
              </w:rPr>
            </w:pPr>
            <w:r>
              <w:rPr>
                <w:rFonts w:ascii="Arial" w:cs="Arial" w:eastAsia="Arial" w:hAnsi="Arial"/>
                <w:sz w:val="19"/>
                <w:szCs w:val="19"/>
                <w:b w:val="1"/>
                <w:bCs w:val="1"/>
                <w:color w:val="auto"/>
              </w:rPr>
              <w:t>CROSS-REFERENCE TABLE*</w:t>
            </w:r>
          </w:p>
        </w:tc>
      </w:tr>
      <w:tr>
        <w:trPr>
          <w:trHeight w:val="386"/>
        </w:trPr>
        <w:tc>
          <w:tcPr>
            <w:tcW w:w="3440" w:type="dxa"/>
            <w:vAlign w:val="bottom"/>
            <w:tcBorders>
              <w:bottom w:val="single" w:sz="8" w:color="auto"/>
            </w:tcBorders>
            <w:gridSpan w:val="2"/>
          </w:tcPr>
          <w:p>
            <w:pPr>
              <w:spacing w:after="0"/>
              <w:rPr>
                <w:sz w:val="20"/>
                <w:szCs w:val="20"/>
                <w:color w:val="auto"/>
              </w:rPr>
            </w:pPr>
            <w:r>
              <w:rPr>
                <w:rFonts w:ascii="Arial" w:cs="Arial" w:eastAsia="Arial" w:hAnsi="Arial"/>
                <w:sz w:val="15"/>
                <w:szCs w:val="15"/>
                <w:b w:val="1"/>
                <w:bCs w:val="1"/>
                <w:color w:val="auto"/>
              </w:rPr>
              <w:t>Trust Indenture Act Section</w:t>
            </w:r>
          </w:p>
        </w:tc>
        <w:tc>
          <w:tcPr>
            <w:tcW w:w="5580" w:type="dxa"/>
            <w:vAlign w:val="bottom"/>
            <w:tcBorders>
              <w:bottom w:val="single" w:sz="8" w:color="auto"/>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760" w:type="dxa"/>
            <w:vAlign w:val="bottom"/>
            <w:tcBorders>
              <w:bottom w:val="single" w:sz="8" w:color="auto"/>
            </w:tcBorders>
          </w:tcPr>
          <w:p>
            <w:pPr>
              <w:ind w:left="800"/>
              <w:spacing w:after="0"/>
              <w:rPr>
                <w:sz w:val="20"/>
                <w:szCs w:val="20"/>
                <w:color w:val="auto"/>
              </w:rPr>
            </w:pPr>
            <w:r>
              <w:rPr>
                <w:rFonts w:ascii="Arial" w:cs="Arial" w:eastAsia="Arial" w:hAnsi="Arial"/>
                <w:sz w:val="15"/>
                <w:szCs w:val="15"/>
                <w:b w:val="1"/>
                <w:bCs w:val="1"/>
                <w:color w:val="auto"/>
              </w:rPr>
              <w:t>Indenture Section</w:t>
            </w:r>
          </w:p>
        </w:tc>
      </w:tr>
      <w:tr>
        <w:trPr>
          <w:trHeight w:val="222"/>
        </w:trPr>
        <w:tc>
          <w:tcPr>
            <w:tcW w:w="560" w:type="dxa"/>
            <w:vAlign w:val="bottom"/>
            <w:shd w:val="clear" w:color="auto" w:fill="CCEEFF"/>
          </w:tcPr>
          <w:p>
            <w:pPr>
              <w:spacing w:after="0"/>
              <w:rPr>
                <w:sz w:val="20"/>
                <w:szCs w:val="20"/>
                <w:color w:val="auto"/>
              </w:rPr>
            </w:pPr>
            <w:r>
              <w:rPr>
                <w:rFonts w:ascii="Arial" w:cs="Arial" w:eastAsia="Arial" w:hAnsi="Arial"/>
                <w:sz w:val="19"/>
                <w:szCs w:val="19"/>
                <w:color w:val="auto"/>
              </w:rPr>
              <w:t>310</w:t>
            </w: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(a)(1)</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60" w:type="dxa"/>
            <w:vAlign w:val="bottom"/>
            <w:shd w:val="clear" w:color="auto" w:fill="CCEEFF"/>
          </w:tcPr>
          <w:p>
            <w:pPr>
              <w:jc w:val="center"/>
              <w:spacing w:after="0"/>
              <w:rPr>
                <w:sz w:val="20"/>
                <w:szCs w:val="20"/>
                <w:color w:val="auto"/>
              </w:rPr>
            </w:pPr>
            <w:r>
              <w:rPr>
                <w:rFonts w:ascii="Arial" w:cs="Arial" w:eastAsia="Arial" w:hAnsi="Arial"/>
                <w:sz w:val="19"/>
                <w:szCs w:val="19"/>
                <w:color w:val="auto"/>
                <w:w w:val="91"/>
              </w:rPr>
              <w:t>5.08</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(a)(2)</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5.08</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(a)(3)</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(a)(4)</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(a)(5)</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5.08</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jc w:val="center"/>
              <w:spacing w:after="0"/>
              <w:rPr>
                <w:sz w:val="20"/>
                <w:szCs w:val="20"/>
                <w:color w:val="auto"/>
              </w:rPr>
            </w:pPr>
            <w:r>
              <w:rPr>
                <w:rFonts w:ascii="Arial" w:cs="Arial" w:eastAsia="Arial" w:hAnsi="Arial"/>
                <w:sz w:val="19"/>
                <w:szCs w:val="19"/>
                <w:color w:val="auto"/>
                <w:w w:val="92"/>
              </w:rPr>
              <w:t>5.09(b)</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tcPr>
          <w:p>
            <w:pPr>
              <w:spacing w:after="0"/>
              <w:rPr>
                <w:sz w:val="20"/>
                <w:szCs w:val="20"/>
                <w:color w:val="auto"/>
              </w:rPr>
            </w:pPr>
            <w:r>
              <w:rPr>
                <w:rFonts w:ascii="Arial" w:cs="Arial" w:eastAsia="Arial" w:hAnsi="Arial"/>
                <w:sz w:val="19"/>
                <w:szCs w:val="19"/>
                <w:color w:val="auto"/>
              </w:rPr>
              <w:t>311</w:t>
            </w:r>
          </w:p>
        </w:tc>
        <w:tc>
          <w:tcPr>
            <w:tcW w:w="2880" w:type="dxa"/>
            <w:vAlign w:val="bottom"/>
          </w:tcPr>
          <w:p>
            <w:pPr>
              <w:ind w:left="280"/>
              <w:spacing w:after="0"/>
              <w:rPr>
                <w:sz w:val="20"/>
                <w:szCs w:val="20"/>
                <w:color w:val="auto"/>
              </w:rPr>
            </w:pPr>
            <w:r>
              <w:rPr>
                <w:rFonts w:ascii="Arial" w:cs="Arial" w:eastAsia="Arial" w:hAnsi="Arial"/>
                <w:sz w:val="19"/>
                <w:szCs w:val="19"/>
                <w:color w:val="auto"/>
              </w:rPr>
              <w:t>(a)</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5.04</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(b)</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5.04</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(c)</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shd w:val="clear" w:color="auto" w:fill="CCEEFF"/>
          </w:tcPr>
          <w:p>
            <w:pPr>
              <w:spacing w:after="0"/>
              <w:rPr>
                <w:sz w:val="20"/>
                <w:szCs w:val="20"/>
                <w:color w:val="auto"/>
              </w:rPr>
            </w:pPr>
            <w:r>
              <w:rPr>
                <w:rFonts w:ascii="Arial" w:cs="Arial" w:eastAsia="Arial" w:hAnsi="Arial"/>
                <w:sz w:val="19"/>
                <w:szCs w:val="19"/>
                <w:color w:val="auto"/>
              </w:rPr>
              <w:t>312</w:t>
            </w: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3.06</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88"/>
              </w:rPr>
              <w:t>10.05</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88"/>
              </w:rPr>
              <w:t>10.05</w:t>
            </w:r>
          </w:p>
        </w:tc>
      </w:tr>
      <w:tr>
        <w:trPr>
          <w:trHeight w:val="228"/>
        </w:trPr>
        <w:tc>
          <w:tcPr>
            <w:tcW w:w="560" w:type="dxa"/>
            <w:vAlign w:val="bottom"/>
          </w:tcPr>
          <w:p>
            <w:pPr>
              <w:spacing w:after="0"/>
              <w:rPr>
                <w:sz w:val="20"/>
                <w:szCs w:val="20"/>
                <w:color w:val="auto"/>
              </w:rPr>
            </w:pPr>
            <w:r>
              <w:rPr>
                <w:rFonts w:ascii="Arial" w:cs="Arial" w:eastAsia="Arial" w:hAnsi="Arial"/>
                <w:sz w:val="19"/>
                <w:szCs w:val="19"/>
                <w:color w:val="auto"/>
              </w:rPr>
              <w:t>313</w:t>
            </w:r>
          </w:p>
        </w:tc>
        <w:tc>
          <w:tcPr>
            <w:tcW w:w="2880" w:type="dxa"/>
            <w:vAlign w:val="bottom"/>
          </w:tcPr>
          <w:p>
            <w:pPr>
              <w:ind w:left="280"/>
              <w:spacing w:after="0"/>
              <w:rPr>
                <w:sz w:val="20"/>
                <w:szCs w:val="20"/>
                <w:color w:val="auto"/>
              </w:rPr>
            </w:pPr>
            <w:r>
              <w:rPr>
                <w:rFonts w:ascii="Arial" w:cs="Arial" w:eastAsia="Arial" w:hAnsi="Arial"/>
                <w:sz w:val="19"/>
                <w:szCs w:val="19"/>
                <w:color w:val="auto"/>
              </w:rPr>
              <w:t>(a)</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3.08</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(b)(1)</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(b)(2)</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3.08</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0"/>
              </w:rPr>
              <w:t>3.08; 10.02</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(d)</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3.08</w:t>
            </w:r>
          </w:p>
        </w:tc>
      </w:tr>
      <w:tr>
        <w:trPr>
          <w:trHeight w:val="228"/>
        </w:trPr>
        <w:tc>
          <w:tcPr>
            <w:tcW w:w="560" w:type="dxa"/>
            <w:vAlign w:val="bottom"/>
            <w:shd w:val="clear" w:color="auto" w:fill="CCEEFF"/>
          </w:tcPr>
          <w:p>
            <w:pPr>
              <w:spacing w:after="0"/>
              <w:rPr>
                <w:sz w:val="20"/>
                <w:szCs w:val="20"/>
                <w:color w:val="auto"/>
              </w:rPr>
            </w:pPr>
            <w:r>
              <w:rPr>
                <w:rFonts w:ascii="Arial" w:cs="Arial" w:eastAsia="Arial" w:hAnsi="Arial"/>
                <w:sz w:val="19"/>
                <w:szCs w:val="19"/>
                <w:color w:val="auto"/>
              </w:rPr>
              <w:t>314</w:t>
            </w: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w:t>
            </w:r>
          </w:p>
        </w:tc>
        <w:tc>
          <w:tcPr>
            <w:tcW w:w="8560" w:type="dxa"/>
            <w:vAlign w:val="bottom"/>
            <w:gridSpan w:val="3"/>
            <w:shd w:val="clear" w:color="auto" w:fill="CCEEFF"/>
          </w:tcPr>
          <w:p>
            <w:pPr>
              <w:jc w:val="center"/>
              <w:ind w:left="5705"/>
              <w:spacing w:after="0"/>
              <w:rPr>
                <w:sz w:val="20"/>
                <w:szCs w:val="20"/>
                <w:color w:val="auto"/>
              </w:rPr>
            </w:pPr>
            <w:r>
              <w:rPr>
                <w:rFonts w:ascii="Arial" w:cs="Arial" w:eastAsia="Arial" w:hAnsi="Arial"/>
                <w:sz w:val="19"/>
                <w:szCs w:val="19"/>
                <w:color w:val="auto"/>
                <w:w w:val="89"/>
              </w:rPr>
              <w:t>3.05; 3.07</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(c)(1)</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88"/>
              </w:rPr>
              <w:t>10.06</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(c)(2)</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88"/>
              </w:rPr>
              <w:t>10.06</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(c)(3)</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88"/>
              </w:rPr>
              <w:t>10.06</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(d)</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(e)</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88"/>
              </w:rPr>
              <w:t>10.06</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(f)</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shd w:val="clear" w:color="auto" w:fill="CCEEFF"/>
          </w:tcPr>
          <w:p>
            <w:pPr>
              <w:spacing w:after="0"/>
              <w:rPr>
                <w:sz w:val="20"/>
                <w:szCs w:val="20"/>
                <w:color w:val="auto"/>
              </w:rPr>
            </w:pPr>
            <w:r>
              <w:rPr>
                <w:rFonts w:ascii="Arial" w:cs="Arial" w:eastAsia="Arial" w:hAnsi="Arial"/>
                <w:sz w:val="19"/>
                <w:szCs w:val="19"/>
                <w:color w:val="auto"/>
              </w:rPr>
              <w:t>315</w:t>
            </w: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5.01</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w:t>
            </w:r>
          </w:p>
        </w:tc>
        <w:tc>
          <w:tcPr>
            <w:tcW w:w="8560" w:type="dxa"/>
            <w:vAlign w:val="bottom"/>
            <w:gridSpan w:val="3"/>
          </w:tcPr>
          <w:p>
            <w:pPr>
              <w:jc w:val="center"/>
              <w:ind w:left="5705"/>
              <w:spacing w:after="0"/>
              <w:rPr>
                <w:sz w:val="20"/>
                <w:szCs w:val="20"/>
                <w:color w:val="auto"/>
              </w:rPr>
            </w:pPr>
            <w:r>
              <w:rPr>
                <w:rFonts w:ascii="Arial" w:cs="Arial" w:eastAsia="Arial" w:hAnsi="Arial"/>
                <w:sz w:val="19"/>
                <w:szCs w:val="19"/>
                <w:color w:val="auto"/>
                <w:w w:val="86"/>
              </w:rPr>
              <w:t>4.11</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5.01</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(d)</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5.01</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(e)</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4.12</w:t>
            </w:r>
          </w:p>
        </w:tc>
      </w:tr>
      <w:tr>
        <w:trPr>
          <w:trHeight w:val="228"/>
        </w:trPr>
        <w:tc>
          <w:tcPr>
            <w:tcW w:w="560" w:type="dxa"/>
            <w:vAlign w:val="bottom"/>
          </w:tcPr>
          <w:p>
            <w:pPr>
              <w:spacing w:after="0"/>
              <w:rPr>
                <w:sz w:val="20"/>
                <w:szCs w:val="20"/>
                <w:color w:val="auto"/>
              </w:rPr>
            </w:pPr>
            <w:r>
              <w:rPr>
                <w:rFonts w:ascii="Arial" w:cs="Arial" w:eastAsia="Arial" w:hAnsi="Arial"/>
                <w:sz w:val="19"/>
                <w:szCs w:val="19"/>
                <w:color w:val="auto"/>
              </w:rPr>
              <w:t>316</w:t>
            </w:r>
          </w:p>
        </w:tc>
        <w:tc>
          <w:tcPr>
            <w:tcW w:w="2880" w:type="dxa"/>
            <w:vAlign w:val="bottom"/>
          </w:tcPr>
          <w:p>
            <w:pPr>
              <w:ind w:left="280"/>
              <w:spacing w:after="0"/>
              <w:rPr>
                <w:sz w:val="20"/>
                <w:szCs w:val="20"/>
                <w:color w:val="auto"/>
              </w:rPr>
            </w:pPr>
            <w:r>
              <w:rPr>
                <w:rFonts w:ascii="Arial" w:cs="Arial" w:eastAsia="Arial" w:hAnsi="Arial"/>
                <w:sz w:val="19"/>
                <w:szCs w:val="19"/>
                <w:color w:val="auto"/>
              </w:rPr>
              <w:t>(a) (last sentence)</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6.04</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(a)(1)(A)</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4.09</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(a)(1)(B)</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4.10</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(a)(2)</w:t>
            </w:r>
          </w:p>
        </w:tc>
        <w:tc>
          <w:tcPr>
            <w:tcW w:w="55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760" w:type="dxa"/>
            <w:vAlign w:val="bottom"/>
            <w:shd w:val="clear" w:color="auto" w:fill="CCEEFF"/>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4.07</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6.02</w:t>
            </w:r>
          </w:p>
        </w:tc>
      </w:tr>
      <w:tr>
        <w:trPr>
          <w:trHeight w:val="228"/>
        </w:trPr>
        <w:tc>
          <w:tcPr>
            <w:tcW w:w="560" w:type="dxa"/>
            <w:vAlign w:val="bottom"/>
          </w:tcPr>
          <w:p>
            <w:pPr>
              <w:spacing w:after="0"/>
              <w:rPr>
                <w:sz w:val="20"/>
                <w:szCs w:val="20"/>
                <w:color w:val="auto"/>
              </w:rPr>
            </w:pPr>
            <w:r>
              <w:rPr>
                <w:rFonts w:ascii="Arial" w:cs="Arial" w:eastAsia="Arial" w:hAnsi="Arial"/>
                <w:sz w:val="19"/>
                <w:szCs w:val="19"/>
                <w:color w:val="auto"/>
              </w:rPr>
              <w:t>317</w:t>
            </w:r>
          </w:p>
        </w:tc>
        <w:tc>
          <w:tcPr>
            <w:tcW w:w="2880" w:type="dxa"/>
            <w:vAlign w:val="bottom"/>
          </w:tcPr>
          <w:p>
            <w:pPr>
              <w:ind w:left="280"/>
              <w:spacing w:after="0"/>
              <w:rPr>
                <w:sz w:val="20"/>
                <w:szCs w:val="20"/>
                <w:color w:val="auto"/>
              </w:rPr>
            </w:pPr>
            <w:r>
              <w:rPr>
                <w:rFonts w:ascii="Arial" w:cs="Arial" w:eastAsia="Arial" w:hAnsi="Arial"/>
                <w:sz w:val="19"/>
                <w:szCs w:val="19"/>
                <w:color w:val="auto"/>
              </w:rPr>
              <w:t>(a)(1)</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4.02</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(a)(2)</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91"/>
              </w:rPr>
              <w:t>4.02</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w:t>
            </w:r>
          </w:p>
        </w:tc>
        <w:tc>
          <w:tcPr>
            <w:tcW w:w="8560" w:type="dxa"/>
            <w:vAlign w:val="bottom"/>
            <w:gridSpan w:val="3"/>
          </w:tcPr>
          <w:p>
            <w:pPr>
              <w:jc w:val="center"/>
              <w:ind w:left="5725"/>
              <w:spacing w:after="0"/>
              <w:rPr>
                <w:sz w:val="20"/>
                <w:szCs w:val="20"/>
                <w:color w:val="auto"/>
              </w:rPr>
            </w:pPr>
            <w:r>
              <w:rPr>
                <w:rFonts w:ascii="Arial" w:cs="Arial" w:eastAsia="Arial" w:hAnsi="Arial"/>
                <w:sz w:val="19"/>
                <w:szCs w:val="19"/>
                <w:color w:val="auto"/>
                <w:w w:val="91"/>
              </w:rPr>
              <w:t>3.04</w:t>
            </w:r>
          </w:p>
        </w:tc>
      </w:tr>
      <w:tr>
        <w:trPr>
          <w:trHeight w:val="228"/>
        </w:trPr>
        <w:tc>
          <w:tcPr>
            <w:tcW w:w="560" w:type="dxa"/>
            <w:vAlign w:val="bottom"/>
            <w:shd w:val="clear" w:color="auto" w:fill="CCEEFF"/>
          </w:tcPr>
          <w:p>
            <w:pPr>
              <w:spacing w:after="0"/>
              <w:rPr>
                <w:sz w:val="20"/>
                <w:szCs w:val="20"/>
                <w:color w:val="auto"/>
              </w:rPr>
            </w:pPr>
            <w:r>
              <w:rPr>
                <w:rFonts w:ascii="Arial" w:cs="Arial" w:eastAsia="Arial" w:hAnsi="Arial"/>
                <w:sz w:val="19"/>
                <w:szCs w:val="19"/>
                <w:color w:val="auto"/>
              </w:rPr>
              <w:t>318</w:t>
            </w: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(a)</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88"/>
              </w:rPr>
              <w:t>10.08</w:t>
            </w:r>
          </w:p>
        </w:tc>
      </w:tr>
      <w:tr>
        <w:trPr>
          <w:trHeight w:val="228"/>
        </w:trPr>
        <w:tc>
          <w:tcPr>
            <w:tcW w:w="560" w:type="dxa"/>
            <w:vAlign w:val="bottom"/>
          </w:tcPr>
          <w:p>
            <w:pPr>
              <w:spacing w:after="0"/>
              <w:rPr>
                <w:sz w:val="19"/>
                <w:szCs w:val="19"/>
                <w:color w:val="auto"/>
              </w:rPr>
            </w:pPr>
          </w:p>
        </w:tc>
        <w:tc>
          <w:tcPr>
            <w:tcW w:w="2880" w:type="dxa"/>
            <w:vAlign w:val="bottom"/>
          </w:tcPr>
          <w:p>
            <w:pPr>
              <w:ind w:left="280"/>
              <w:spacing w:after="0"/>
              <w:rPr>
                <w:sz w:val="20"/>
                <w:szCs w:val="20"/>
                <w:color w:val="auto"/>
              </w:rPr>
            </w:pPr>
            <w:r>
              <w:rPr>
                <w:rFonts w:ascii="Arial" w:cs="Arial" w:eastAsia="Arial" w:hAnsi="Arial"/>
                <w:sz w:val="19"/>
                <w:szCs w:val="19"/>
                <w:color w:val="auto"/>
              </w:rPr>
              <w:t>(b)</w:t>
            </w:r>
          </w:p>
        </w:tc>
        <w:tc>
          <w:tcPr>
            <w:tcW w:w="5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760" w:type="dxa"/>
            <w:vAlign w:val="bottom"/>
          </w:tcPr>
          <w:p>
            <w:pPr>
              <w:ind w:left="800"/>
              <w:spacing w:after="0"/>
              <w:rPr>
                <w:sz w:val="20"/>
                <w:szCs w:val="20"/>
                <w:color w:val="auto"/>
              </w:rPr>
            </w:pPr>
            <w:r>
              <w:rPr>
                <w:rFonts w:ascii="Arial" w:cs="Arial" w:eastAsia="Arial" w:hAnsi="Arial"/>
                <w:sz w:val="19"/>
                <w:szCs w:val="19"/>
                <w:color w:val="auto"/>
              </w:rPr>
              <w:t>Not Applicable</w:t>
            </w:r>
          </w:p>
        </w:tc>
      </w:tr>
      <w:tr>
        <w:trPr>
          <w:trHeight w:val="228"/>
        </w:trPr>
        <w:tc>
          <w:tcPr>
            <w:tcW w:w="560" w:type="dxa"/>
            <w:vAlign w:val="bottom"/>
            <w:shd w:val="clear" w:color="auto" w:fill="CCEEFF"/>
          </w:tcPr>
          <w:p>
            <w:pPr>
              <w:spacing w:after="0"/>
              <w:rPr>
                <w:sz w:val="19"/>
                <w:szCs w:val="19"/>
                <w:color w:val="auto"/>
              </w:rPr>
            </w:pPr>
          </w:p>
        </w:tc>
        <w:tc>
          <w:tcPr>
            <w:tcW w:w="2880" w:type="dxa"/>
            <w:vAlign w:val="bottom"/>
            <w:shd w:val="clear" w:color="auto" w:fill="CCEEFF"/>
          </w:tcPr>
          <w:p>
            <w:pPr>
              <w:ind w:left="280"/>
              <w:spacing w:after="0"/>
              <w:rPr>
                <w:sz w:val="20"/>
                <w:szCs w:val="20"/>
                <w:color w:val="auto"/>
              </w:rPr>
            </w:pPr>
            <w:r>
              <w:rPr>
                <w:rFonts w:ascii="Arial" w:cs="Arial" w:eastAsia="Arial" w:hAnsi="Arial"/>
                <w:sz w:val="19"/>
                <w:szCs w:val="19"/>
                <w:color w:val="auto"/>
              </w:rPr>
              <w:t>(c)</w:t>
            </w:r>
          </w:p>
        </w:tc>
        <w:tc>
          <w:tcPr>
            <w:tcW w:w="8560" w:type="dxa"/>
            <w:vAlign w:val="bottom"/>
            <w:gridSpan w:val="3"/>
            <w:shd w:val="clear" w:color="auto" w:fill="CCEEFF"/>
          </w:tcPr>
          <w:p>
            <w:pPr>
              <w:jc w:val="center"/>
              <w:ind w:left="5725"/>
              <w:spacing w:after="0"/>
              <w:rPr>
                <w:sz w:val="20"/>
                <w:szCs w:val="20"/>
                <w:color w:val="auto"/>
              </w:rPr>
            </w:pPr>
            <w:r>
              <w:rPr>
                <w:rFonts w:ascii="Arial" w:cs="Arial" w:eastAsia="Arial" w:hAnsi="Arial"/>
                <w:sz w:val="19"/>
                <w:szCs w:val="19"/>
                <w:color w:val="auto"/>
                <w:w w:val="88"/>
              </w:rPr>
              <w:t>10.08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192913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1929130" cy="8890"/>
                    </a:xfrm>
                    <a:prstGeom prst="rect">
                      <a:avLst/>
                    </a:prstGeom>
                    <a:noFill/>
                  </pic:spPr>
                </pic:pic>
              </a:graphicData>
            </a:graphic>
          </wp:anchor>
        </w:drawing>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color w:val="auto"/>
        </w:rPr>
        <w:t>*This Cross-Reference Table does not constitute part of the Indenture and shall not have any bearing on the interpretation of any of its terms or provisions.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40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500" w:type="dxa"/>
            <w:vAlign w:val="bottom"/>
            <w:gridSpan w:val="3"/>
          </w:tcPr>
          <w:p>
            <w:pPr>
              <w:ind w:left="380"/>
              <w:spacing w:after="0"/>
              <w:rPr>
                <w:sz w:val="20"/>
                <w:szCs w:val="20"/>
                <w:color w:val="auto"/>
              </w:rPr>
            </w:pPr>
            <w:r>
              <w:rPr>
                <w:rFonts w:ascii="Arial" w:cs="Arial" w:eastAsia="Arial" w:hAnsi="Arial"/>
                <w:sz w:val="19"/>
                <w:szCs w:val="19"/>
                <w:color w:val="auto"/>
              </w:rPr>
              <w:t>iv</w:t>
            </w:r>
          </w:p>
        </w:tc>
      </w:tr>
      <w:tr>
        <w:trPr>
          <w:trHeight w:val="141"/>
        </w:trPr>
        <w:tc>
          <w:tcPr>
            <w:tcW w:w="4060" w:type="dxa"/>
            <w:vAlign w:val="bottom"/>
            <w:tcBorders>
              <w:bottom w:val="single" w:sz="8" w:color="808080"/>
            </w:tcBorders>
          </w:tcPr>
          <w:p>
            <w:pPr>
              <w:spacing w:after="0"/>
              <w:rPr>
                <w:sz w:val="12"/>
                <w:szCs w:val="12"/>
                <w:color w:val="auto"/>
              </w:rPr>
            </w:pPr>
          </w:p>
        </w:tc>
        <w:tc>
          <w:tcPr>
            <w:tcW w:w="560" w:type="dxa"/>
            <w:vAlign w:val="bottom"/>
            <w:tcBorders>
              <w:bottom w:val="single" w:sz="8" w:color="808080"/>
            </w:tcBorders>
          </w:tcPr>
          <w:p>
            <w:pPr>
              <w:spacing w:after="0"/>
              <w:rPr>
                <w:sz w:val="12"/>
                <w:szCs w:val="12"/>
                <w:color w:val="auto"/>
              </w:rPr>
            </w:pPr>
          </w:p>
        </w:tc>
        <w:tc>
          <w:tcPr>
            <w:tcW w:w="920" w:type="dxa"/>
            <w:vAlign w:val="bottom"/>
            <w:tcBorders>
              <w:bottom w:val="single" w:sz="8" w:color="808080"/>
            </w:tcBorders>
          </w:tcPr>
          <w:p>
            <w:pPr>
              <w:spacing w:after="0"/>
              <w:rPr>
                <w:sz w:val="12"/>
                <w:szCs w:val="12"/>
                <w:color w:val="auto"/>
              </w:rPr>
            </w:pPr>
          </w:p>
        </w:tc>
        <w:tc>
          <w:tcPr>
            <w:tcW w:w="5520" w:type="dxa"/>
            <w:vAlign w:val="bottom"/>
            <w:tcBorders>
              <w:bottom w:val="single" w:sz="8" w:color="808080"/>
            </w:tcBorders>
          </w:tcPr>
          <w:p>
            <w:pPr>
              <w:spacing w:after="0"/>
              <w:rPr>
                <w:sz w:val="12"/>
                <w:szCs w:val="12"/>
                <w:color w:val="auto"/>
              </w:rPr>
            </w:pPr>
          </w:p>
        </w:tc>
        <w:tc>
          <w:tcPr>
            <w:tcW w:w="460" w:type="dxa"/>
            <w:vAlign w:val="bottom"/>
            <w:tcBorders>
              <w:bottom w:val="single" w:sz="8" w:color="808080"/>
            </w:tcBorders>
          </w:tcPr>
          <w:p>
            <w:pPr>
              <w:spacing w:after="0"/>
              <w:rPr>
                <w:sz w:val="12"/>
                <w:szCs w:val="12"/>
                <w:color w:val="auto"/>
              </w:rPr>
            </w:pPr>
          </w:p>
        </w:tc>
        <w:tc>
          <w:tcPr>
            <w:tcW w:w="520" w:type="dxa"/>
            <w:vAlign w:val="bottom"/>
            <w:tcBorders>
              <w:bottom w:val="single" w:sz="8" w:color="808080"/>
            </w:tcBorders>
          </w:tcPr>
          <w:p>
            <w:pPr>
              <w:spacing w:after="0"/>
              <w:rPr>
                <w:sz w:val="12"/>
                <w:szCs w:val="12"/>
                <w:color w:val="auto"/>
              </w:rPr>
            </w:pPr>
          </w:p>
        </w:tc>
      </w:tr>
      <w:tr>
        <w:trPr>
          <w:trHeight w:val="525"/>
        </w:trPr>
        <w:tc>
          <w:tcPr>
            <w:tcW w:w="5540" w:type="dxa"/>
            <w:vAlign w:val="bottom"/>
            <w:gridSpan w:val="3"/>
          </w:tcPr>
          <w:p>
            <w:pPr>
              <w:ind w:left="2740"/>
              <w:spacing w:after="0"/>
              <w:rPr>
                <w:sz w:val="20"/>
                <w:szCs w:val="20"/>
                <w:color w:val="auto"/>
              </w:rPr>
            </w:pPr>
            <w:r>
              <w:rPr>
                <w:rFonts w:ascii="Arial" w:cs="Arial" w:eastAsia="Arial" w:hAnsi="Arial"/>
                <w:sz w:val="19"/>
                <w:szCs w:val="19"/>
                <w:color w:val="auto"/>
              </w:rPr>
              <w:t>THIS INDENTURE, dated as of</w:t>
            </w:r>
          </w:p>
        </w:tc>
        <w:tc>
          <w:tcPr>
            <w:tcW w:w="6500" w:type="dxa"/>
            <w:vAlign w:val="bottom"/>
            <w:gridSpan w:val="3"/>
          </w:tcPr>
          <w:p>
            <w:pPr>
              <w:ind w:left="340"/>
              <w:spacing w:after="0"/>
              <w:rPr>
                <w:sz w:val="20"/>
                <w:szCs w:val="20"/>
                <w:color w:val="auto"/>
              </w:rPr>
            </w:pPr>
            <w:r>
              <w:rPr>
                <w:rFonts w:ascii="Arial" w:cs="Arial" w:eastAsia="Arial" w:hAnsi="Arial"/>
                <w:sz w:val="19"/>
                <w:szCs w:val="19"/>
                <w:color w:val="auto"/>
                <w:w w:val="93"/>
              </w:rPr>
              <w:t>,    between GasLog Ltd., a Bermuda exempted company (the â€œIssuerâ€ ),</w:t>
            </w:r>
          </w:p>
        </w:tc>
      </w:tr>
      <w:tr>
        <w:trPr>
          <w:trHeight w:val="208"/>
        </w:trPr>
        <w:tc>
          <w:tcPr>
            <w:tcW w:w="5540" w:type="dxa"/>
            <w:vAlign w:val="bottom"/>
            <w:gridSpan w:val="3"/>
          </w:tcPr>
          <w:p>
            <w:pPr>
              <w:ind w:left="2040"/>
              <w:spacing w:after="0" w:line="208" w:lineRule="exact"/>
              <w:rPr>
                <w:sz w:val="20"/>
                <w:szCs w:val="20"/>
                <w:color w:val="auto"/>
              </w:rPr>
            </w:pPr>
            <w:r>
              <w:rPr>
                <w:rFonts w:ascii="Arial" w:cs="Arial" w:eastAsia="Arial" w:hAnsi="Arial"/>
                <w:sz w:val="19"/>
                <w:szCs w:val="19"/>
                <w:color w:val="auto"/>
              </w:rPr>
              <w:t>and [ ], as trustee (the â€œTrusteeâ€ ),</w:t>
            </w:r>
          </w:p>
        </w:tc>
        <w:tc>
          <w:tcPr>
            <w:tcW w:w="55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r>
      <w:tr>
        <w:trPr>
          <w:trHeight w:val="20"/>
        </w:trPr>
        <w:tc>
          <w:tcPr>
            <w:tcW w:w="40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7628255</wp:posOffset>
            </wp:positionH>
            <wp:positionV relativeFrom="paragraph">
              <wp:posOffset>-517525</wp:posOffset>
            </wp:positionV>
            <wp:extent cx="12700" cy="311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12700" cy="311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-517525</wp:posOffset>
            </wp:positionV>
            <wp:extent cx="12700" cy="311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12700" cy="31115"/>
                    </a:xfrm>
                    <a:prstGeom prst="rect">
                      <a:avLst/>
                    </a:prstGeom>
                    <a:noFill/>
                  </pic:spPr>
                </pic:pic>
              </a:graphicData>
            </a:graphic>
          </wp:anchor>
        </w:drawing>
      </w:r>
    </w:p>
    <w:p>
      <w:pPr>
        <w:spacing w:after="0" w:line="222" w:lineRule="exact"/>
        <w:rPr>
          <w:sz w:val="20"/>
          <w:szCs w:val="20"/>
          <w:color w:val="auto"/>
        </w:rPr>
      </w:pPr>
    </w:p>
    <w:p>
      <w:pPr>
        <w:ind w:right="180" w:firstLine="1369"/>
        <w:spacing w:after="0" w:line="263" w:lineRule="auto"/>
        <w:rPr>
          <w:sz w:val="20"/>
          <w:szCs w:val="20"/>
          <w:color w:val="auto"/>
        </w:rPr>
      </w:pPr>
      <w:r>
        <w:rPr>
          <w:rFonts w:ascii="Arial" w:cs="Arial" w:eastAsia="Arial" w:hAnsi="Arial"/>
          <w:sz w:val="19"/>
          <w:szCs w:val="19"/>
          <w:color w:val="auto"/>
        </w:rPr>
        <w:t>In consideration of the premises and the purchases of the debentures, notes or other evidences of indebtedness of the Issuer to be issued in one or more series (the â€œ</w:t>
      </w:r>
      <w:r>
        <w:rPr>
          <w:rFonts w:ascii="Arial" w:cs="Arial" w:eastAsia="Arial" w:hAnsi="Arial"/>
          <w:sz w:val="19"/>
          <w:szCs w:val="19"/>
          <w:u w:val="single" w:color="auto"/>
          <w:color w:val="auto"/>
        </w:rPr>
        <w:t>Securities</w:t>
      </w:r>
      <w:r>
        <w:rPr>
          <w:rFonts w:ascii="Arial" w:cs="Arial" w:eastAsia="Arial" w:hAnsi="Arial"/>
          <w:sz w:val="19"/>
          <w:szCs w:val="19"/>
          <w:color w:val="auto"/>
        </w:rPr>
        <w:t>â€ ) by the holders thereof, the Issuer and the Trustee mutually covenant and agree for the equal and proportionate benefit of the respective holders from time to time of the Securities as follows:</w:t>
      </w:r>
    </w:p>
    <w:p>
      <w:pPr>
        <w:spacing w:after="0" w:line="194" w:lineRule="exact"/>
        <w:rPr>
          <w:sz w:val="20"/>
          <w:szCs w:val="20"/>
          <w:color w:val="auto"/>
        </w:rPr>
      </w:pPr>
    </w:p>
    <w:p>
      <w:pPr>
        <w:jc w:val="center"/>
        <w:ind w:right="40"/>
        <w:spacing w:after="0"/>
        <w:rPr>
          <w:sz w:val="20"/>
          <w:szCs w:val="20"/>
          <w:color w:val="auto"/>
        </w:rPr>
      </w:pPr>
      <w:r>
        <w:rPr>
          <w:rFonts w:ascii="Arial" w:cs="Arial" w:eastAsia="Arial" w:hAnsi="Arial"/>
          <w:sz w:val="19"/>
          <w:szCs w:val="19"/>
          <w:color w:val="auto"/>
        </w:rPr>
        <w:t>ARTICLE 1</w:t>
      </w:r>
    </w:p>
    <w:p>
      <w:pPr>
        <w:spacing w:after="0" w:line="238" w:lineRule="exact"/>
        <w:rPr>
          <w:sz w:val="20"/>
          <w:szCs w:val="20"/>
          <w:color w:val="auto"/>
        </w:rPr>
      </w:pPr>
    </w:p>
    <w:p>
      <w:pPr>
        <w:jc w:val="center"/>
        <w:ind w:right="40"/>
        <w:spacing w:after="0"/>
        <w:rPr>
          <w:sz w:val="20"/>
          <w:szCs w:val="20"/>
          <w:color w:val="auto"/>
        </w:rPr>
      </w:pPr>
      <w:r>
        <w:rPr>
          <w:rFonts w:ascii="Arial" w:cs="Arial" w:eastAsia="Arial" w:hAnsi="Arial"/>
          <w:sz w:val="19"/>
          <w:szCs w:val="19"/>
          <w:u w:val="single" w:color="auto"/>
          <w:color w:val="auto"/>
        </w:rPr>
        <w:t>Definitions</w:t>
      </w:r>
    </w:p>
    <w:p>
      <w:pPr>
        <w:spacing w:after="0" w:line="238" w:lineRule="exact"/>
        <w:rPr>
          <w:sz w:val="20"/>
          <w:szCs w:val="20"/>
          <w:color w:val="auto"/>
        </w:rPr>
      </w:pPr>
    </w:p>
    <w:p>
      <w:pPr>
        <w:ind w:right="200" w:firstLine="1369"/>
        <w:spacing w:after="0" w:line="298" w:lineRule="auto"/>
        <w:rPr>
          <w:sz w:val="20"/>
          <w:szCs w:val="20"/>
          <w:color w:val="auto"/>
        </w:rPr>
      </w:pPr>
      <w:r>
        <w:rPr>
          <w:rFonts w:ascii="Arial" w:cs="Arial" w:eastAsia="Arial" w:hAnsi="Arial"/>
          <w:sz w:val="17"/>
          <w:szCs w:val="17"/>
          <w:color w:val="auto"/>
        </w:rPr>
        <w:t xml:space="preserve">SECTION 1.01. </w:t>
      </w:r>
      <w:r>
        <w:rPr>
          <w:rFonts w:ascii="Arial" w:cs="Arial" w:eastAsia="Arial" w:hAnsi="Arial"/>
          <w:sz w:val="17"/>
          <w:szCs w:val="17"/>
          <w:u w:val="single" w:color="auto"/>
          <w:color w:val="auto"/>
        </w:rPr>
        <w:t>Certain Terms Defined.</w:t>
      </w:r>
      <w:r>
        <w:rPr>
          <w:rFonts w:ascii="Arial" w:cs="Arial" w:eastAsia="Arial" w:hAnsi="Arial"/>
          <w:sz w:val="17"/>
          <w:szCs w:val="17"/>
          <w:color w:val="auto"/>
        </w:rPr>
        <w:t xml:space="preserve"> The following terms (except as otherwise expressly provided herein or in any indenture supplemental hereto,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as amended, are referred to in the Trust Indenture Act of 1939, including terms defined therein by reference to the</w:t>
      </w:r>
    </w:p>
    <w:p>
      <w:pPr>
        <w:sectPr>
          <w:pgSz w:w="12240" w:h="15988" w:orient="portrait"/>
          <w:cols w:equalWidth="0" w:num="1">
            <w:col w:w="12040"/>
          </w:cols>
          <w:pgMar w:left="120" w:top="207" w:right="80" w:bottom="0" w:gutter="0" w:footer="0" w:header="0"/>
        </w:sectPr>
      </w:pPr>
    </w:p>
    <w:bookmarkStart w:id="45" w:name="page46"/>
    <w:bookmarkEnd w:id="45"/>
    <w:p>
      <w:pPr>
        <w:spacing w:after="0" w:line="286" w:lineRule="auto"/>
        <w:rPr>
          <w:sz w:val="20"/>
          <w:szCs w:val="20"/>
          <w:color w:val="auto"/>
        </w:rPr>
      </w:pPr>
      <w:r>
        <w:rPr>
          <w:rFonts w:ascii="Arial" w:cs="Arial" w:eastAsia="Arial" w:hAnsi="Arial"/>
          <w:sz w:val="17"/>
          <w:szCs w:val="17"/>
          <w:color w:val="auto"/>
        </w:rPr>
        <w:t>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 shall have the meanings assigned to such terms in accordance with generally accepted accounting principles, and the term â€œgenerally accepted accounting principlesâ€ means such accounting principles as are generally accepted at the time of any computation. The words â€œhereinâ€ , â€œhereofâ€ and â€œhereunderâ€ and other words of similar import refer to this Indenture as a whole and not to any particular Article, Section or other subdivision. The terms defined in this Article have the meanings assigned to them in this Article and include the plural as well as the singular. The words â€œincludingâ€ , â€œincludesâ€ and similar words shall be deemed to be followed by â€œwithout limitationâ€ .</w:t>
      </w:r>
    </w:p>
    <w:p>
      <w:pPr>
        <w:spacing w:after="0" w:line="181" w:lineRule="exact"/>
        <w:rPr>
          <w:sz w:val="20"/>
          <w:szCs w:val="20"/>
          <w:color w:val="auto"/>
        </w:rPr>
      </w:pPr>
    </w:p>
    <w:p>
      <w:pPr>
        <w:ind w:left="1360"/>
        <w:spacing w:after="0"/>
        <w:tabs>
          <w:tab w:leader="none" w:pos="336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Authorized Agent</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shall have the meaning set forth in Section 10.13.</w:t>
      </w:r>
    </w:p>
    <w:p>
      <w:pPr>
        <w:spacing w:after="0" w:line="238" w:lineRule="exact"/>
        <w:rPr>
          <w:sz w:val="20"/>
          <w:szCs w:val="20"/>
          <w:color w:val="auto"/>
        </w:rPr>
      </w:pPr>
    </w:p>
    <w:p>
      <w:pPr>
        <w:ind w:left="1360"/>
        <w:spacing w:after="0"/>
        <w:tabs>
          <w:tab w:leader="none" w:pos="318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Bearer Security</w:t>
      </w: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means any Security other than a Registered Security.</w:t>
      </w:r>
    </w:p>
    <w:p>
      <w:pPr>
        <w:spacing w:after="0" w:line="238" w:lineRule="exact"/>
        <w:rPr>
          <w:sz w:val="20"/>
          <w:szCs w:val="20"/>
          <w:color w:val="auto"/>
        </w:rPr>
      </w:pPr>
    </w:p>
    <w:p>
      <w:pPr>
        <w:ind w:left="1360"/>
        <w:spacing w:after="0"/>
        <w:tabs>
          <w:tab w:leader="none" w:pos="246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Board</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means either the board of directors of the Issuer or any committee of such board of directors duly authorized to act</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hereunder.</w:t>
      </w:r>
    </w:p>
    <w:p>
      <w:pPr>
        <w:spacing w:after="0" w:line="225" w:lineRule="exact"/>
        <w:rPr>
          <w:sz w:val="20"/>
          <w:szCs w:val="20"/>
          <w:color w:val="auto"/>
        </w:rPr>
      </w:pPr>
    </w:p>
    <w:p>
      <w:pPr>
        <w:ind w:right="6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Board Resolution</w:t>
      </w:r>
      <w:r>
        <w:rPr>
          <w:rFonts w:ascii="Arial" w:cs="Arial" w:eastAsia="Arial" w:hAnsi="Arial"/>
          <w:sz w:val="19"/>
          <w:szCs w:val="19"/>
          <w:color w:val="auto"/>
        </w:rPr>
        <w:t>â€ means one or more resolutions, certified by the secretary of the Board to have been duly adopted or consented to by the Board and to be in full force and effect, and delivered to the Trustee.</w:t>
      </w:r>
    </w:p>
    <w:p>
      <w:pPr>
        <w:spacing w:after="0" w:line="184" w:lineRule="exact"/>
        <w:rPr>
          <w:sz w:val="20"/>
          <w:szCs w:val="20"/>
          <w:color w:val="auto"/>
        </w:rPr>
      </w:pPr>
    </w:p>
    <w:p>
      <w:pPr>
        <w:ind w:right="60" w:firstLine="1369"/>
        <w:spacing w:after="0" w:line="304" w:lineRule="auto"/>
        <w:rPr>
          <w:sz w:val="20"/>
          <w:szCs w:val="20"/>
          <w:color w:val="auto"/>
        </w:rPr>
      </w:pPr>
      <w:r>
        <w:rPr>
          <w:rFonts w:ascii="Arial" w:cs="Arial" w:eastAsia="Arial" w:hAnsi="Arial"/>
          <w:sz w:val="18"/>
          <w:szCs w:val="18"/>
          <w:color w:val="auto"/>
        </w:rPr>
        <w:t>â€œ</w:t>
      </w:r>
      <w:r>
        <w:rPr>
          <w:rFonts w:ascii="Arial" w:cs="Arial" w:eastAsia="Arial" w:hAnsi="Arial"/>
          <w:sz w:val="18"/>
          <w:szCs w:val="18"/>
          <w:u w:val="single" w:color="auto"/>
          <w:color w:val="auto"/>
        </w:rPr>
        <w:t>Business Day</w:t>
      </w:r>
      <w:r>
        <w:rPr>
          <w:rFonts w:ascii="Arial" w:cs="Arial" w:eastAsia="Arial" w:hAnsi="Arial"/>
          <w:sz w:val="18"/>
          <w:szCs w:val="18"/>
          <w:color w:val="auto"/>
        </w:rPr>
        <w:t>â€ means, with respect to any Security, a day that in the city (or in any of the cities, if more than one) in which amounts are payable, as specified in the form of such Security, is not a day on which banking institutions are authorized by law or regulation to close.</w:t>
      </w:r>
    </w:p>
    <w:p>
      <w:pPr>
        <w:spacing w:after="0" w:line="160" w:lineRule="exact"/>
        <w:rPr>
          <w:sz w:val="20"/>
          <w:szCs w:val="20"/>
          <w:color w:val="auto"/>
        </w:rPr>
      </w:pPr>
    </w:p>
    <w:p>
      <w:pPr>
        <w:ind w:right="320" w:firstLine="1369"/>
        <w:spacing w:after="0" w:line="263"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Commission</w:t>
      </w:r>
      <w:r>
        <w:rPr>
          <w:rFonts w:ascii="Arial" w:cs="Arial" w:eastAsia="Arial" w:hAnsi="Arial"/>
          <w:sz w:val="19"/>
          <w:szCs w:val="19"/>
          <w:color w:val="auto"/>
        </w:rPr>
        <w:t>â€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94" w:lineRule="exact"/>
        <w:rPr>
          <w:sz w:val="20"/>
          <w:szCs w:val="20"/>
          <w:color w:val="auto"/>
        </w:rPr>
      </w:pPr>
    </w:p>
    <w:p>
      <w:pPr>
        <w:ind w:right="4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Corporate Trust Office</w:t>
      </w:r>
      <w:r>
        <w:rPr>
          <w:rFonts w:ascii="Arial" w:cs="Arial" w:eastAsia="Arial" w:hAnsi="Arial"/>
          <w:sz w:val="19"/>
          <w:szCs w:val="19"/>
          <w:color w:val="auto"/>
        </w:rPr>
        <w:t>â€ means the office of the Trustee located in the City of New York at which at any particular time its corporate trust business shall be administered.</w:t>
      </w:r>
    </w:p>
    <w:p>
      <w:pPr>
        <w:spacing w:after="0" w:line="184" w:lineRule="exact"/>
        <w:rPr>
          <w:sz w:val="20"/>
          <w:szCs w:val="20"/>
          <w:color w:val="auto"/>
        </w:rPr>
      </w:pPr>
    </w:p>
    <w:p>
      <w:pPr>
        <w:ind w:right="46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Depositary</w:t>
      </w:r>
      <w:r>
        <w:rPr>
          <w:rFonts w:ascii="Arial" w:cs="Arial" w:eastAsia="Arial" w:hAnsi="Arial"/>
          <w:sz w:val="19"/>
          <w:szCs w:val="19"/>
          <w:color w:val="auto"/>
        </w:rPr>
        <w:t>â€ means, with respect to the Securities of any series issuable or issued in the form of one or more Registered Global Securities, the Person designated as Depositary by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646670" cy="311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0" w:right="140"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pursuant to Section 2.03 until a successor Depositary shall have become such pursuant to the applicable provisions of this Indenture, and thereafter</w:t>
      </w:r>
    </w:p>
    <w:p>
      <w:pPr>
        <w:spacing w:after="0" w:line="34" w:lineRule="exact"/>
        <w:rPr>
          <w:sz w:val="20"/>
          <w:szCs w:val="20"/>
          <w:color w:val="auto"/>
        </w:rPr>
      </w:pPr>
    </w:p>
    <w:p>
      <w:pPr>
        <w:spacing w:after="0"/>
        <w:tabs>
          <w:tab w:leader="none" w:pos="1460" w:val="left"/>
        </w:tabs>
        <w:rPr>
          <w:sz w:val="20"/>
          <w:szCs w:val="20"/>
          <w:color w:val="auto"/>
        </w:rPr>
      </w:pPr>
      <w:r>
        <w:rPr>
          <w:rFonts w:ascii="Arial" w:cs="Arial" w:eastAsia="Arial" w:hAnsi="Arial"/>
          <w:sz w:val="19"/>
          <w:szCs w:val="19"/>
          <w:color w:val="auto"/>
        </w:rPr>
        <w:t>â€œDepositaryâ€</w:t>
      </w:r>
      <w:r>
        <w:rPr>
          <w:sz w:val="20"/>
          <w:szCs w:val="20"/>
          <w:color w:val="auto"/>
        </w:rPr>
        <w:tab/>
      </w:r>
      <w:r>
        <w:rPr>
          <w:rFonts w:ascii="Arial" w:cs="Arial" w:eastAsia="Arial" w:hAnsi="Arial"/>
          <w:sz w:val="16"/>
          <w:szCs w:val="16"/>
          <w:color w:val="auto"/>
        </w:rPr>
        <w:t>shall mean or include each Person who is then a Depositary hereunder, and if at any time there is more than one such Person,</w:t>
      </w:r>
    </w:p>
    <w:p>
      <w:pPr>
        <w:spacing w:after="0" w:line="10" w:lineRule="exact"/>
        <w:rPr>
          <w:sz w:val="20"/>
          <w:szCs w:val="20"/>
          <w:color w:val="auto"/>
        </w:rPr>
      </w:pPr>
    </w:p>
    <w:p>
      <w:pPr>
        <w:spacing w:after="0"/>
        <w:tabs>
          <w:tab w:leader="none" w:pos="1460" w:val="left"/>
        </w:tabs>
        <w:rPr>
          <w:sz w:val="20"/>
          <w:szCs w:val="20"/>
          <w:color w:val="auto"/>
        </w:rPr>
      </w:pPr>
      <w:r>
        <w:rPr>
          <w:rFonts w:ascii="Arial" w:cs="Arial" w:eastAsia="Arial" w:hAnsi="Arial"/>
          <w:sz w:val="19"/>
          <w:szCs w:val="19"/>
          <w:color w:val="auto"/>
        </w:rPr>
        <w:t>â€œDepositaryâ€</w:t>
      </w:r>
      <w:r>
        <w:rPr>
          <w:sz w:val="20"/>
          <w:szCs w:val="20"/>
          <w:color w:val="auto"/>
        </w:rPr>
        <w:tab/>
      </w:r>
      <w:r>
        <w:rPr>
          <w:rFonts w:ascii="Arial" w:cs="Arial" w:eastAsia="Arial" w:hAnsi="Arial"/>
          <w:sz w:val="17"/>
          <w:szCs w:val="17"/>
          <w:color w:val="auto"/>
        </w:rPr>
        <w:t>as used with respect to the Securities of any such series shall mean the Depositary with respect to the Registered Global Securities of that</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series.</w:t>
      </w:r>
    </w:p>
    <w:p>
      <w:pPr>
        <w:spacing w:after="0" w:line="225" w:lineRule="exact"/>
        <w:rPr>
          <w:sz w:val="20"/>
          <w:szCs w:val="20"/>
          <w:color w:val="auto"/>
        </w:rPr>
      </w:pPr>
    </w:p>
    <w:p>
      <w:pPr>
        <w:ind w:right="40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Dollar</w:t>
      </w:r>
      <w:r>
        <w:rPr>
          <w:rFonts w:ascii="Arial" w:cs="Arial" w:eastAsia="Arial" w:hAnsi="Arial"/>
          <w:sz w:val="19"/>
          <w:szCs w:val="19"/>
          <w:color w:val="auto"/>
        </w:rPr>
        <w:t>â€ means the coin or currency of the United States of America as at the time of payment is legal tender for the payment of public and private debts.</w:t>
      </w:r>
    </w:p>
    <w:p>
      <w:pPr>
        <w:spacing w:after="0" w:line="184" w:lineRule="exact"/>
        <w:rPr>
          <w:sz w:val="20"/>
          <w:szCs w:val="20"/>
          <w:color w:val="auto"/>
        </w:rPr>
      </w:pPr>
    </w:p>
    <w:p>
      <w:pPr>
        <w:ind w:left="1360"/>
        <w:spacing w:after="0"/>
        <w:tabs>
          <w:tab w:leader="none" w:pos="326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Event of Default</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means any event or condition specified as such in Section 4.01.</w:t>
      </w:r>
    </w:p>
    <w:p>
      <w:pPr>
        <w:spacing w:after="0" w:line="238" w:lineRule="exact"/>
        <w:rPr>
          <w:sz w:val="20"/>
          <w:szCs w:val="20"/>
          <w:color w:val="auto"/>
        </w:rPr>
      </w:pPr>
    </w:p>
    <w:p>
      <w:pPr>
        <w:ind w:left="1360"/>
        <w:spacing w:after="0"/>
        <w:tabs>
          <w:tab w:leader="none" w:pos="658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Holder</w:t>
      </w:r>
      <w:r>
        <w:rPr>
          <w:rFonts w:ascii="Arial" w:cs="Arial" w:eastAsia="Arial" w:hAnsi="Arial"/>
          <w:sz w:val="19"/>
          <w:szCs w:val="19"/>
          <w:color w:val="auto"/>
        </w:rPr>
        <w:t>â€ , â€œ</w:t>
      </w:r>
      <w:r>
        <w:rPr>
          <w:rFonts w:ascii="Arial" w:cs="Arial" w:eastAsia="Arial" w:hAnsi="Arial"/>
          <w:sz w:val="19"/>
          <w:szCs w:val="19"/>
          <w:u w:val="single" w:color="auto"/>
          <w:color w:val="auto"/>
        </w:rPr>
        <w:t>Holder of Securities</w:t>
      </w:r>
      <w:r>
        <w:rPr>
          <w:rFonts w:ascii="Arial" w:cs="Arial" w:eastAsia="Arial" w:hAnsi="Arial"/>
          <w:sz w:val="19"/>
          <w:szCs w:val="19"/>
          <w:color w:val="auto"/>
        </w:rPr>
        <w:t>â€ , â€œ</w:t>
      </w:r>
      <w:r>
        <w:rPr>
          <w:rFonts w:ascii="Arial" w:cs="Arial" w:eastAsia="Arial" w:hAnsi="Arial"/>
          <w:sz w:val="19"/>
          <w:szCs w:val="19"/>
          <w:u w:val="single" w:color="auto"/>
          <w:color w:val="auto"/>
        </w:rPr>
        <w:t>Securityholder</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or other similar terms mean the registered holder of any Security.</w:t>
      </w:r>
    </w:p>
    <w:p>
      <w:pPr>
        <w:spacing w:after="0" w:line="238" w:lineRule="exact"/>
        <w:rPr>
          <w:sz w:val="20"/>
          <w:szCs w:val="20"/>
          <w:color w:val="auto"/>
        </w:rPr>
      </w:pPr>
    </w:p>
    <w:p>
      <w:pPr>
        <w:ind w:right="380" w:firstLine="1369"/>
        <w:spacing w:after="0" w:line="336" w:lineRule="auto"/>
        <w:rPr>
          <w:sz w:val="20"/>
          <w:szCs w:val="20"/>
          <w:color w:val="auto"/>
        </w:rPr>
      </w:pPr>
      <w:r>
        <w:rPr>
          <w:rFonts w:ascii="Arial" w:cs="Arial" w:eastAsia="Arial" w:hAnsi="Arial"/>
          <w:sz w:val="17"/>
          <w:szCs w:val="17"/>
          <w:color w:val="auto"/>
        </w:rPr>
        <w:t>â€œ</w:t>
      </w:r>
      <w:r>
        <w:rPr>
          <w:rFonts w:ascii="Arial" w:cs="Arial" w:eastAsia="Arial" w:hAnsi="Arial"/>
          <w:sz w:val="17"/>
          <w:szCs w:val="17"/>
          <w:u w:val="single" w:color="auto"/>
          <w:color w:val="auto"/>
        </w:rPr>
        <w:t>Indenture</w:t>
      </w:r>
      <w:r>
        <w:rPr>
          <w:rFonts w:ascii="Arial" w:cs="Arial" w:eastAsia="Arial" w:hAnsi="Arial"/>
          <w:sz w:val="17"/>
          <w:szCs w:val="17"/>
          <w:color w:val="auto"/>
        </w:rPr>
        <w:t>â€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137" w:lineRule="exact"/>
        <w:rPr>
          <w:sz w:val="20"/>
          <w:szCs w:val="20"/>
          <w:color w:val="auto"/>
        </w:rPr>
      </w:pPr>
    </w:p>
    <w:p>
      <w:pPr>
        <w:ind w:left="1360"/>
        <w:spacing w:after="0"/>
        <w:tabs>
          <w:tab w:leader="none" w:pos="258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Interest</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means, when used with respect to non-interest bearing Securities, interest payable after maturity.</w:t>
      </w:r>
    </w:p>
    <w:p>
      <w:pPr>
        <w:spacing w:after="0" w:line="238" w:lineRule="exact"/>
        <w:rPr>
          <w:sz w:val="20"/>
          <w:szCs w:val="20"/>
          <w:color w:val="auto"/>
        </w:rPr>
      </w:pPr>
    </w:p>
    <w:p>
      <w:pPr>
        <w:ind w:right="6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Issuer</w:t>
      </w:r>
      <w:r>
        <w:rPr>
          <w:rFonts w:ascii="Arial" w:cs="Arial" w:eastAsia="Arial" w:hAnsi="Arial"/>
          <w:sz w:val="19"/>
          <w:szCs w:val="19"/>
          <w:color w:val="auto"/>
        </w:rPr>
        <w:t>â€ means (except as otherwise provided in Article 5) GasLog Ltd., a Bermuda exempted company, and, subject to Article 8, its successors and assigns.</w:t>
      </w:r>
    </w:p>
    <w:p>
      <w:pPr>
        <w:spacing w:after="0" w:line="184" w:lineRule="exact"/>
        <w:rPr>
          <w:sz w:val="20"/>
          <w:szCs w:val="20"/>
          <w:color w:val="auto"/>
        </w:rPr>
      </w:pPr>
    </w:p>
    <w:p>
      <w:pPr>
        <w:ind w:left="1360"/>
        <w:spacing w:after="0"/>
        <w:tabs>
          <w:tab w:leader="none" w:pos="350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Judgment Currency</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shall have the meaning set forth in Section 10.14.</w:t>
      </w:r>
    </w:p>
    <w:p>
      <w:pPr>
        <w:spacing w:after="0" w:line="238" w:lineRule="exact"/>
        <w:rPr>
          <w:sz w:val="20"/>
          <w:szCs w:val="20"/>
          <w:color w:val="auto"/>
        </w:rPr>
      </w:pPr>
    </w:p>
    <w:p>
      <w:pPr>
        <w:ind w:left="1360"/>
        <w:spacing w:after="0"/>
        <w:tabs>
          <w:tab w:leader="none" w:pos="384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New York Banking Day</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shall have the meaning set forth in Section 10.14.</w:t>
      </w:r>
    </w:p>
    <w:p>
      <w:pPr>
        <w:spacing w:after="0" w:line="238" w:lineRule="exact"/>
        <w:rPr>
          <w:sz w:val="20"/>
          <w:szCs w:val="20"/>
          <w:color w:val="auto"/>
        </w:rPr>
      </w:pPr>
    </w:p>
    <w:p>
      <w:pPr>
        <w:ind w:right="36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Non-U.S. Currency</w:t>
      </w:r>
      <w:r>
        <w:rPr>
          <w:rFonts w:ascii="Arial" w:cs="Arial" w:eastAsia="Arial" w:hAnsi="Arial"/>
          <w:sz w:val="19"/>
          <w:szCs w:val="19"/>
          <w:color w:val="auto"/>
        </w:rPr>
        <w:t>â€ means a currency issued by the government of a country other than the United States (or any currency unit comprised of any such currencies).</w:t>
      </w:r>
    </w:p>
    <w:p>
      <w:pPr>
        <w:spacing w:after="0" w:line="184" w:lineRule="exact"/>
        <w:rPr>
          <w:sz w:val="20"/>
          <w:szCs w:val="20"/>
          <w:color w:val="auto"/>
        </w:rPr>
      </w:pPr>
    </w:p>
    <w:p>
      <w:pPr>
        <w:ind w:firstLine="1369"/>
        <w:spacing w:after="0" w:line="263"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Officersâ€™ Certificate</w:t>
      </w:r>
      <w:r>
        <w:rPr>
          <w:rFonts w:ascii="Arial" w:cs="Arial" w:eastAsia="Arial" w:hAnsi="Arial"/>
          <w:sz w:val="19"/>
          <w:szCs w:val="19"/>
          <w:color w:val="auto"/>
        </w:rPr>
        <w:t>â€ means a certificate (i) signed by any officer of the Issuer authorized by the Board to execute any such certificate and (ii) delivered to the Trustee. Each such certificate shall comply with Section 314 of the Trust Indenture Act of 1939 and include the statements provided for in Section 10.06, if and to the extent required hereby.</w:t>
      </w:r>
    </w:p>
    <w:p>
      <w:pPr>
        <w:spacing w:after="0" w:line="194" w:lineRule="exact"/>
        <w:rPr>
          <w:sz w:val="20"/>
          <w:szCs w:val="20"/>
          <w:color w:val="auto"/>
        </w:rPr>
      </w:pPr>
    </w:p>
    <w:p>
      <w:pPr>
        <w:ind w:right="400" w:firstLine="1369"/>
        <w:spacing w:after="0" w:line="263"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Opinion of Counsel</w:t>
      </w:r>
      <w:r>
        <w:rPr>
          <w:rFonts w:ascii="Arial" w:cs="Arial" w:eastAsia="Arial" w:hAnsi="Arial"/>
          <w:sz w:val="19"/>
          <w:szCs w:val="19"/>
          <w:color w:val="auto"/>
        </w:rPr>
        <w:t>â€ means an opinion reasonably satisfactory to the Trustee in writing signed by legal counsel who may be an employee of or counsel to the Issuer. Each such opinion shall comply with Section 314 of the Trust Indenture Act of 1939 and include the statements provided for in Section 10.06, if and to the extent required hereby.</w:t>
      </w:r>
    </w:p>
    <w:p>
      <w:pPr>
        <w:spacing w:after="0" w:line="194" w:lineRule="exact"/>
        <w:rPr>
          <w:sz w:val="20"/>
          <w:szCs w:val="20"/>
          <w:color w:val="auto"/>
        </w:rPr>
      </w:pPr>
    </w:p>
    <w:p>
      <w:pPr>
        <w:ind w:right="400" w:firstLine="1369"/>
        <w:spacing w:after="0" w:line="304" w:lineRule="auto"/>
        <w:rPr>
          <w:sz w:val="20"/>
          <w:szCs w:val="20"/>
          <w:color w:val="auto"/>
        </w:rPr>
      </w:pPr>
      <w:r>
        <w:rPr>
          <w:rFonts w:ascii="Arial" w:cs="Arial" w:eastAsia="Arial" w:hAnsi="Arial"/>
          <w:sz w:val="18"/>
          <w:szCs w:val="18"/>
          <w:color w:val="auto"/>
        </w:rPr>
        <w:t>â€œ</w:t>
      </w:r>
      <w:r>
        <w:rPr>
          <w:rFonts w:ascii="Arial" w:cs="Arial" w:eastAsia="Arial" w:hAnsi="Arial"/>
          <w:sz w:val="18"/>
          <w:szCs w:val="18"/>
          <w:u w:val="single" w:color="auto"/>
          <w:color w:val="auto"/>
        </w:rPr>
        <w:t>Original Issue Date</w:t>
      </w:r>
      <w:r>
        <w:rPr>
          <w:rFonts w:ascii="Arial" w:cs="Arial" w:eastAsia="Arial" w:hAnsi="Arial"/>
          <w:sz w:val="18"/>
          <w:szCs w:val="18"/>
          <w:color w:val="auto"/>
        </w:rPr>
        <w:t>â€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60" w:lineRule="exact"/>
        <w:rPr>
          <w:sz w:val="20"/>
          <w:szCs w:val="20"/>
          <w:color w:val="auto"/>
        </w:rPr>
      </w:pPr>
    </w:p>
    <w:p>
      <w:pPr>
        <w:ind w:right="16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Original Issue Discount Security</w:t>
      </w:r>
      <w:r>
        <w:rPr>
          <w:rFonts w:ascii="Arial" w:cs="Arial" w:eastAsia="Arial" w:hAnsi="Arial"/>
          <w:sz w:val="19"/>
          <w:szCs w:val="19"/>
          <w:color w:val="auto"/>
        </w:rPr>
        <w:t>â€ means any Security that provides for an amount less than the principal amount thereof to be due and payable upon a declaration of acceleration of the maturity thereof pursuant to Section 4.01.</w:t>
      </w:r>
    </w:p>
    <w:p>
      <w:pPr>
        <w:spacing w:after="0" w:line="184" w:lineRule="exact"/>
        <w:rPr>
          <w:sz w:val="20"/>
          <w:szCs w:val="20"/>
          <w:color w:val="auto"/>
        </w:rPr>
      </w:pPr>
    </w:p>
    <w:p>
      <w:pPr>
        <w:ind w:right="36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Outstanding</w:t>
      </w:r>
      <w:r>
        <w:rPr>
          <w:rFonts w:ascii="Arial" w:cs="Arial" w:eastAsia="Arial" w:hAnsi="Arial"/>
          <w:sz w:val="19"/>
          <w:szCs w:val="19"/>
          <w:color w:val="auto"/>
        </w:rPr>
        <w:t>â€ , when used with reference to Securities, shall, subject to the provisions of Section 6.04, mean, as of any particular time, all Securities authenticated and delivered by the Trustee under this Indenture, except:</w:t>
      </w:r>
    </w:p>
    <w:p>
      <w:pPr>
        <w:spacing w:after="0" w:line="184" w:lineRule="exact"/>
        <w:rPr>
          <w:sz w:val="20"/>
          <w:szCs w:val="20"/>
          <w:color w:val="auto"/>
        </w:rPr>
      </w:pPr>
    </w:p>
    <w:p>
      <w:pPr>
        <w:ind w:left="5960" w:right="3440" w:hanging="4597"/>
        <w:spacing w:after="0" w:line="526" w:lineRule="auto"/>
        <w:tabs>
          <w:tab w:leader="none" w:pos="1679" w:val="left"/>
        </w:tabs>
        <w:numPr>
          <w:ilvl w:val="0"/>
          <w:numId w:val="11"/>
        </w:numPr>
        <w:rPr>
          <w:rFonts w:ascii="Arial" w:cs="Arial" w:eastAsia="Arial" w:hAnsi="Arial"/>
          <w:sz w:val="19"/>
          <w:szCs w:val="19"/>
          <w:color w:val="auto"/>
        </w:rPr>
      </w:pPr>
      <w:r>
        <w:rPr>
          <w:rFonts w:ascii="Arial" w:cs="Arial" w:eastAsia="Arial" w:hAnsi="Arial"/>
          <w:sz w:val="19"/>
          <w:szCs w:val="19"/>
          <w:color w:val="auto"/>
        </w:rPr>
        <w:t>Securities theretofore cancelled by the Trustee or delivered to the Trustee for cancellation;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646670" cy="311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13" w:right="160" w:bottom="1440" w:gutter="0" w:footer="0" w:header="0"/>
        </w:sectPr>
      </w:pPr>
    </w:p>
    <w:bookmarkStart w:id="47" w:name="page48"/>
    <w:bookmarkEnd w:id="47"/>
    <w:p>
      <w:pPr>
        <w:ind w:left="680" w:right="120" w:firstLine="683"/>
        <w:spacing w:after="0" w:line="256" w:lineRule="auto"/>
        <w:tabs>
          <w:tab w:leader="none" w:pos="1681" w:val="left"/>
        </w:tabs>
        <w:numPr>
          <w:ilvl w:val="0"/>
          <w:numId w:val="12"/>
        </w:numPr>
        <w:rPr>
          <w:rFonts w:ascii="Arial" w:cs="Arial" w:eastAsia="Arial" w:hAnsi="Arial"/>
          <w:sz w:val="19"/>
          <w:szCs w:val="19"/>
          <w:color w:val="auto"/>
        </w:rPr>
      </w:pPr>
      <w:r>
        <w:rPr>
          <w:rFonts w:ascii="Arial" w:cs="Arial" w:eastAsia="Arial" w:hAnsi="Arial"/>
          <w:sz w:val="19"/>
          <w:szCs w:val="19"/>
          <w:color w:val="auto"/>
        </w:rPr>
        <w:t xml:space="preserve">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203" w:lineRule="exact"/>
        <w:rPr>
          <w:rFonts w:ascii="Arial" w:cs="Arial" w:eastAsia="Arial" w:hAnsi="Arial"/>
          <w:sz w:val="19"/>
          <w:szCs w:val="19"/>
          <w:color w:val="auto"/>
        </w:rPr>
      </w:pPr>
    </w:p>
    <w:p>
      <w:pPr>
        <w:ind w:left="680" w:right="260" w:firstLine="683"/>
        <w:spacing w:after="0" w:line="284" w:lineRule="auto"/>
        <w:tabs>
          <w:tab w:leader="none" w:pos="1671"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78" w:lineRule="exact"/>
        <w:rPr>
          <w:sz w:val="20"/>
          <w:szCs w:val="20"/>
          <w:color w:val="auto"/>
        </w:rPr>
      </w:pPr>
    </w:p>
    <w:p>
      <w:pPr>
        <w:ind w:right="40" w:firstLine="1369"/>
        <w:spacing w:after="0" w:line="259" w:lineRule="auto"/>
        <w:rPr>
          <w:sz w:val="20"/>
          <w:szCs w:val="20"/>
          <w:color w:val="auto"/>
        </w:rPr>
      </w:pPr>
      <w:r>
        <w:rPr>
          <w:rFonts w:ascii="Arial" w:cs="Arial" w:eastAsia="Arial" w:hAnsi="Arial"/>
          <w:sz w:val="19"/>
          <w:szCs w:val="19"/>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98" w:lineRule="exact"/>
        <w:rPr>
          <w:sz w:val="20"/>
          <w:szCs w:val="20"/>
          <w:color w:val="auto"/>
        </w:rPr>
      </w:pPr>
    </w:p>
    <w:p>
      <w:pPr>
        <w:ind w:right="22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Person</w:t>
      </w:r>
      <w:r>
        <w:rPr>
          <w:rFonts w:ascii="Arial" w:cs="Arial" w:eastAsia="Arial" w:hAnsi="Arial"/>
          <w:sz w:val="19"/>
          <w:szCs w:val="19"/>
          <w:color w:val="auto"/>
        </w:rPr>
        <w:t>â€ means any individual, corporation, limited liability company, partnership, joint venture, association, joint stock company, trust, unincorporated organization or government or any agency or political subdivision thereof.</w:t>
      </w:r>
    </w:p>
    <w:p>
      <w:pPr>
        <w:spacing w:after="0" w:line="184" w:lineRule="exact"/>
        <w:rPr>
          <w:sz w:val="20"/>
          <w:szCs w:val="20"/>
          <w:color w:val="auto"/>
        </w:rPr>
      </w:pPr>
    </w:p>
    <w:p>
      <w:pPr>
        <w:ind w:right="4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Principal</w:t>
      </w:r>
      <w:r>
        <w:rPr>
          <w:rFonts w:ascii="Arial" w:cs="Arial" w:eastAsia="Arial" w:hAnsi="Arial"/>
          <w:sz w:val="19"/>
          <w:szCs w:val="19"/>
          <w:color w:val="auto"/>
        </w:rPr>
        <w:t>â€ whenever used with reference to the Securities or any Security or any portion thereof, shall be deemed to include â€œand premium, if anyâ€ .</w:t>
      </w:r>
    </w:p>
    <w:p>
      <w:pPr>
        <w:spacing w:after="0" w:line="184" w:lineRule="exact"/>
        <w:rPr>
          <w:sz w:val="20"/>
          <w:szCs w:val="20"/>
          <w:color w:val="auto"/>
        </w:rPr>
      </w:pPr>
    </w:p>
    <w:p>
      <w:pPr>
        <w:ind w:right="200" w:firstLine="1369"/>
        <w:spacing w:after="0" w:line="304" w:lineRule="auto"/>
        <w:rPr>
          <w:sz w:val="20"/>
          <w:szCs w:val="20"/>
          <w:color w:val="auto"/>
        </w:rPr>
      </w:pPr>
      <w:r>
        <w:rPr>
          <w:rFonts w:ascii="Arial" w:cs="Arial" w:eastAsia="Arial" w:hAnsi="Arial"/>
          <w:sz w:val="18"/>
          <w:szCs w:val="18"/>
          <w:color w:val="auto"/>
        </w:rPr>
        <w:t>â€œ</w:t>
      </w:r>
      <w:r>
        <w:rPr>
          <w:rFonts w:ascii="Arial" w:cs="Arial" w:eastAsia="Arial" w:hAnsi="Arial"/>
          <w:sz w:val="18"/>
          <w:szCs w:val="18"/>
          <w:u w:val="single" w:color="auto"/>
          <w:color w:val="auto"/>
        </w:rPr>
        <w:t>Registered Global Security</w:t>
      </w:r>
      <w:r>
        <w:rPr>
          <w:rFonts w:ascii="Arial" w:cs="Arial" w:eastAsia="Arial" w:hAnsi="Arial"/>
          <w:sz w:val="18"/>
          <w:szCs w:val="18"/>
          <w:color w:val="auto"/>
        </w:rPr>
        <w:t>â€ means a Security evidencing all or a part of a series of Registered Securities, issued to the Depositary for such series in accordance with Section 2.03, and bearing the legend prescribed by the applicable supplemental indenture.</w:t>
      </w:r>
    </w:p>
    <w:p>
      <w:pPr>
        <w:spacing w:after="0" w:line="160" w:lineRule="exact"/>
        <w:rPr>
          <w:sz w:val="20"/>
          <w:szCs w:val="20"/>
          <w:color w:val="auto"/>
        </w:rPr>
      </w:pPr>
    </w:p>
    <w:p>
      <w:pPr>
        <w:ind w:left="1360"/>
        <w:spacing w:after="0"/>
        <w:tabs>
          <w:tab w:leader="none" w:pos="350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Registered Security</w:t>
      </w:r>
      <w:r>
        <w:rPr>
          <w:rFonts w:ascii="Arial" w:cs="Arial" w:eastAsia="Arial" w:hAnsi="Arial"/>
          <w:sz w:val="19"/>
          <w:szCs w:val="19"/>
          <w:color w:val="auto"/>
        </w:rPr>
        <w:t>â€</w:t>
      </w:r>
      <w:r>
        <w:rPr>
          <w:sz w:val="20"/>
          <w:szCs w:val="20"/>
          <w:color w:val="auto"/>
        </w:rPr>
        <w:tab/>
      </w:r>
      <w:r>
        <w:rPr>
          <w:rFonts w:ascii="Arial" w:cs="Arial" w:eastAsia="Arial" w:hAnsi="Arial"/>
          <w:sz w:val="16"/>
          <w:szCs w:val="16"/>
          <w:color w:val="auto"/>
        </w:rPr>
        <w:t>means any Security registered on the Security register of the Issuer.</w:t>
      </w:r>
    </w:p>
    <w:p>
      <w:pPr>
        <w:spacing w:after="0" w:line="238" w:lineRule="exact"/>
        <w:rPr>
          <w:sz w:val="20"/>
          <w:szCs w:val="20"/>
          <w:color w:val="auto"/>
        </w:rPr>
      </w:pPr>
    </w:p>
    <w:p>
      <w:pPr>
        <w:ind w:left="1360"/>
        <w:spacing w:after="0"/>
        <w:tabs>
          <w:tab w:leader="none" w:pos="3460"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Required Currency</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shall have the meaning set forth in Section 10.14.</w:t>
      </w:r>
    </w:p>
    <w:p>
      <w:pPr>
        <w:spacing w:after="0" w:line="238" w:lineRule="exact"/>
        <w:rPr>
          <w:sz w:val="20"/>
          <w:szCs w:val="20"/>
          <w:color w:val="auto"/>
        </w:rPr>
      </w:pPr>
    </w:p>
    <w:p>
      <w:pPr>
        <w:ind w:right="80" w:firstLine="1369"/>
        <w:spacing w:after="0" w:line="256"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Responsible Officer</w:t>
      </w:r>
      <w:r>
        <w:rPr>
          <w:rFonts w:ascii="Arial" w:cs="Arial" w:eastAsia="Arial" w:hAnsi="Arial"/>
          <w:sz w:val="19"/>
          <w:szCs w:val="19"/>
          <w:color w:val="auto"/>
        </w:rPr>
        <w:t>â€ when used with respect to the Trustee means any officer of the Trustee, including any vice president, assistant vice president, secretary, assistant secretary, any assistant treasurer, any trust officer, or any other officer of the Trustee customarily performing functions similar to those performed by any of the above designated officers and also means, with respect to a particular corporate trust matter, any other officer to whom such matter is referred because of such officerâ€™s knowledge of and familiarity with that particular subject and who shall have direct responsibility for the administration of this Indenture.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2540" w:type="dxa"/>
            <w:vAlign w:val="bottom"/>
            <w:gridSpan w:val="4"/>
          </w:tcPr>
          <w:p>
            <w:pPr>
              <w:ind w:left="1360"/>
              <w:spacing w:after="0"/>
              <w:rPr>
                <w:sz w:val="20"/>
                <w:szCs w:val="20"/>
                <w:color w:val="auto"/>
              </w:rPr>
            </w:pPr>
            <w:r>
              <w:rPr>
                <w:rFonts w:ascii="Arial" w:cs="Arial" w:eastAsia="Arial" w:hAnsi="Arial"/>
                <w:sz w:val="19"/>
                <w:szCs w:val="19"/>
                <w:color w:val="auto"/>
                <w:w w:val="90"/>
              </w:rPr>
              <w:t>â€œSecurityâ€</w:t>
            </w:r>
          </w:p>
        </w:tc>
        <w:tc>
          <w:tcPr>
            <w:tcW w:w="9440" w:type="dxa"/>
            <w:vAlign w:val="bottom"/>
            <w:gridSpan w:val="3"/>
          </w:tcPr>
          <w:p>
            <w:pPr>
              <w:ind w:left="120"/>
              <w:spacing w:after="0"/>
              <w:rPr>
                <w:sz w:val="20"/>
                <w:szCs w:val="20"/>
                <w:color w:val="auto"/>
              </w:rPr>
            </w:pPr>
            <w:r>
              <w:rPr>
                <w:rFonts w:ascii="Arial" w:cs="Arial" w:eastAsia="Arial" w:hAnsi="Arial"/>
                <w:sz w:val="19"/>
                <w:szCs w:val="19"/>
                <w:color w:val="auto"/>
                <w:w w:val="89"/>
              </w:rPr>
              <w:t>or â€œSecuritiesâ€  has the meaning stated in the first recital of this Indenture, or, as the case may be, Securities that have</w:t>
            </w:r>
          </w:p>
        </w:tc>
      </w:tr>
      <w:tr>
        <w:trPr>
          <w:trHeight w:val="20"/>
        </w:trPr>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r>
        <w:trPr>
          <w:trHeight w:val="250"/>
        </w:trPr>
        <w:tc>
          <w:tcPr>
            <w:tcW w:w="11980" w:type="dxa"/>
            <w:vAlign w:val="bottom"/>
            <w:gridSpan w:val="7"/>
          </w:tcPr>
          <w:p>
            <w:pPr>
              <w:spacing w:after="0"/>
              <w:rPr>
                <w:sz w:val="20"/>
                <w:szCs w:val="20"/>
                <w:color w:val="auto"/>
              </w:rPr>
            </w:pPr>
            <w:r>
              <w:rPr>
                <w:rFonts w:ascii="Arial" w:cs="Arial" w:eastAsia="Arial" w:hAnsi="Arial"/>
                <w:sz w:val="19"/>
                <w:szCs w:val="19"/>
                <w:color w:val="auto"/>
              </w:rPr>
              <w:t>been authenticated and delivered under this Indenture.</w:t>
            </w:r>
          </w:p>
        </w:tc>
      </w:tr>
      <w:tr>
        <w:trPr>
          <w:trHeight w:val="415"/>
        </w:trPr>
        <w:tc>
          <w:tcPr>
            <w:tcW w:w="2540" w:type="dxa"/>
            <w:vAlign w:val="bottom"/>
            <w:gridSpan w:val="4"/>
          </w:tcPr>
          <w:p>
            <w:pPr>
              <w:ind w:left="1360"/>
              <w:spacing w:after="0"/>
              <w:rPr>
                <w:sz w:val="20"/>
                <w:szCs w:val="20"/>
                <w:color w:val="auto"/>
              </w:rPr>
            </w:pPr>
            <w:r>
              <w:rPr>
                <w:rFonts w:ascii="Arial" w:cs="Arial" w:eastAsia="Arial" w:hAnsi="Arial"/>
                <w:sz w:val="19"/>
                <w:szCs w:val="19"/>
                <w:color w:val="auto"/>
                <w:w w:val="93"/>
              </w:rPr>
              <w:t>â€œTrusteeâ€</w:t>
            </w:r>
          </w:p>
        </w:tc>
        <w:tc>
          <w:tcPr>
            <w:tcW w:w="9440" w:type="dxa"/>
            <w:vAlign w:val="bottom"/>
            <w:gridSpan w:val="3"/>
          </w:tcPr>
          <w:p>
            <w:pPr>
              <w:ind w:left="40"/>
              <w:spacing w:after="0"/>
              <w:rPr>
                <w:sz w:val="20"/>
                <w:szCs w:val="20"/>
                <w:color w:val="auto"/>
              </w:rPr>
            </w:pPr>
            <w:r>
              <w:rPr>
                <w:rFonts w:ascii="Arial" w:cs="Arial" w:eastAsia="Arial" w:hAnsi="Arial"/>
                <w:sz w:val="19"/>
                <w:szCs w:val="19"/>
                <w:color w:val="auto"/>
                <w:w w:val="91"/>
              </w:rPr>
              <w:t>means the Person identified as â€œTrusteeâ€  in the first paragraph hereof and, subject to the provisions of Article 5, shall</w:t>
            </w:r>
          </w:p>
        </w:tc>
      </w:tr>
      <w:tr>
        <w:trPr>
          <w:trHeight w:val="20"/>
        </w:trPr>
        <w:tc>
          <w:tcPr>
            <w:tcW w:w="16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60" w:type="dxa"/>
            <w:vAlign w:val="bottom"/>
          </w:tcPr>
          <w:p>
            <w:pPr>
              <w:spacing w:after="0" w:line="20" w:lineRule="exact"/>
              <w:rPr>
                <w:sz w:val="1"/>
                <w:szCs w:val="1"/>
                <w:color w:val="auto"/>
              </w:rPr>
            </w:pPr>
          </w:p>
        </w:tc>
      </w:tr>
    </w:tbl>
    <w:p>
      <w:pPr>
        <w:spacing w:after="0" w:line="14" w:lineRule="exact"/>
        <w:rPr>
          <w:sz w:val="20"/>
          <w:szCs w:val="20"/>
          <w:color w:val="auto"/>
        </w:rPr>
      </w:pPr>
    </w:p>
    <w:p>
      <w:pPr>
        <w:spacing w:after="0"/>
        <w:rPr>
          <w:sz w:val="20"/>
          <w:szCs w:val="20"/>
          <w:color w:val="auto"/>
        </w:rPr>
      </w:pPr>
      <w:r>
        <w:rPr>
          <w:rFonts w:ascii="Arial" w:cs="Arial" w:eastAsia="Arial" w:hAnsi="Arial"/>
          <w:sz w:val="19"/>
          <w:szCs w:val="19"/>
          <w:color w:val="auto"/>
        </w:rPr>
        <w:t>also include any successor trustee.</w:t>
      </w:r>
    </w:p>
    <w:p>
      <w:pPr>
        <w:spacing w:after="0" w:line="238" w:lineRule="exact"/>
        <w:rPr>
          <w:sz w:val="20"/>
          <w:szCs w:val="20"/>
          <w:color w:val="auto"/>
        </w:rPr>
      </w:pPr>
    </w:p>
    <w:p>
      <w:pPr>
        <w:ind w:right="140" w:firstLine="1369"/>
        <w:spacing w:after="0" w:line="275" w:lineRule="auto"/>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Trust Indenture Act of 1939</w:t>
      </w:r>
      <w:r>
        <w:rPr>
          <w:rFonts w:ascii="Arial" w:cs="Arial" w:eastAsia="Arial" w:hAnsi="Arial"/>
          <w:sz w:val="19"/>
          <w:szCs w:val="19"/>
          <w:color w:val="auto"/>
        </w:rPr>
        <w:t>â€ (except as otherwise provided in Sections 5.01 and 5.02) means the Trust Indenture Act of 1939 as in force at the date as of which this Indenture was originally executed.</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48" w:name="page49"/>
    <w:bookmarkEnd w:id="48"/>
    <w:p>
      <w:pPr>
        <w:ind w:left="1366"/>
        <w:spacing w:after="0"/>
        <w:tabs>
          <w:tab w:leader="none" w:pos="4286" w:val="left"/>
        </w:tabs>
        <w:rPr>
          <w:sz w:val="20"/>
          <w:szCs w:val="20"/>
          <w:color w:val="auto"/>
        </w:rPr>
      </w:pPr>
      <w:r>
        <w:rPr>
          <w:rFonts w:ascii="Arial" w:cs="Arial" w:eastAsia="Arial" w:hAnsi="Arial"/>
          <w:sz w:val="19"/>
          <w:szCs w:val="19"/>
          <w:color w:val="auto"/>
        </w:rPr>
        <w:t>â€œ</w:t>
      </w:r>
      <w:r>
        <w:rPr>
          <w:rFonts w:ascii="Arial" w:cs="Arial" w:eastAsia="Arial" w:hAnsi="Arial"/>
          <w:sz w:val="19"/>
          <w:szCs w:val="19"/>
          <w:u w:val="single" w:color="auto"/>
          <w:color w:val="auto"/>
        </w:rPr>
        <w:t>U.S. Government Obligations</w:t>
      </w:r>
      <w:r>
        <w:rPr>
          <w:rFonts w:ascii="Arial" w:cs="Arial" w:eastAsia="Arial" w:hAnsi="Arial"/>
          <w:sz w:val="19"/>
          <w:szCs w:val="19"/>
          <w:color w:val="auto"/>
        </w:rPr>
        <w:t>â€</w:t>
      </w:r>
      <w:r>
        <w:rPr>
          <w:sz w:val="20"/>
          <w:szCs w:val="20"/>
          <w:color w:val="auto"/>
        </w:rPr>
        <w:tab/>
      </w:r>
      <w:r>
        <w:rPr>
          <w:rFonts w:ascii="Arial" w:cs="Arial" w:eastAsia="Arial" w:hAnsi="Arial"/>
          <w:sz w:val="17"/>
          <w:szCs w:val="17"/>
          <w:color w:val="auto"/>
        </w:rPr>
        <w:t>shall have the meaning set forth in Section 9.01.</w:t>
      </w:r>
    </w:p>
    <w:p>
      <w:pPr>
        <w:spacing w:after="0" w:line="238" w:lineRule="exact"/>
        <w:rPr>
          <w:sz w:val="20"/>
          <w:szCs w:val="20"/>
          <w:color w:val="auto"/>
        </w:rPr>
      </w:pPr>
    </w:p>
    <w:p>
      <w:pPr>
        <w:ind w:left="6" w:right="560" w:firstLine="1369"/>
        <w:spacing w:after="0" w:line="304" w:lineRule="auto"/>
        <w:rPr>
          <w:sz w:val="20"/>
          <w:szCs w:val="20"/>
          <w:color w:val="auto"/>
        </w:rPr>
      </w:pPr>
      <w:r>
        <w:rPr>
          <w:rFonts w:ascii="Arial" w:cs="Arial" w:eastAsia="Arial" w:hAnsi="Arial"/>
          <w:sz w:val="18"/>
          <w:szCs w:val="18"/>
          <w:color w:val="auto"/>
        </w:rPr>
        <w:t>â€œ</w:t>
      </w:r>
      <w:r>
        <w:rPr>
          <w:rFonts w:ascii="Arial" w:cs="Arial" w:eastAsia="Arial" w:hAnsi="Arial"/>
          <w:sz w:val="18"/>
          <w:szCs w:val="18"/>
          <w:u w:val="single" w:color="auto"/>
          <w:color w:val="auto"/>
        </w:rPr>
        <w:t>Yield to Maturity</w:t>
      </w:r>
      <w:r>
        <w:rPr>
          <w:rFonts w:ascii="Arial" w:cs="Arial" w:eastAsia="Arial" w:hAnsi="Arial"/>
          <w:sz w:val="18"/>
          <w:szCs w:val="18"/>
          <w:color w:val="auto"/>
        </w:rPr>
        <w:t>â€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160"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ARTICLE 2</w:t>
      </w:r>
    </w:p>
    <w:p>
      <w:pPr>
        <w:spacing w:after="0" w:line="238" w:lineRule="exact"/>
        <w:rPr>
          <w:sz w:val="20"/>
          <w:szCs w:val="20"/>
          <w:color w:val="auto"/>
        </w:rPr>
      </w:pPr>
    </w:p>
    <w:p>
      <w:pPr>
        <w:jc w:val="center"/>
        <w:ind w:right="-5"/>
        <w:spacing w:after="0"/>
        <w:rPr>
          <w:sz w:val="20"/>
          <w:szCs w:val="20"/>
          <w:color w:val="auto"/>
        </w:rPr>
      </w:pPr>
      <w:r>
        <w:rPr>
          <w:rFonts w:ascii="Arial" w:cs="Arial" w:eastAsia="Arial" w:hAnsi="Arial"/>
          <w:sz w:val="19"/>
          <w:szCs w:val="19"/>
          <w:u w:val="single" w:color="auto"/>
          <w:color w:val="auto"/>
        </w:rPr>
        <w:t>Securities</w:t>
      </w:r>
    </w:p>
    <w:p>
      <w:pPr>
        <w:spacing w:after="0" w:line="238" w:lineRule="exact"/>
        <w:rPr>
          <w:sz w:val="20"/>
          <w:szCs w:val="20"/>
          <w:color w:val="auto"/>
        </w:rPr>
      </w:pPr>
    </w:p>
    <w:p>
      <w:pPr>
        <w:ind w:left="6" w:firstLine="1369"/>
        <w:spacing w:after="0" w:line="255" w:lineRule="auto"/>
        <w:rPr>
          <w:sz w:val="20"/>
          <w:szCs w:val="20"/>
          <w:color w:val="auto"/>
        </w:rPr>
      </w:pPr>
      <w:r>
        <w:rPr>
          <w:rFonts w:ascii="Arial" w:cs="Arial" w:eastAsia="Arial" w:hAnsi="Arial"/>
          <w:sz w:val="19"/>
          <w:szCs w:val="19"/>
          <w:color w:val="auto"/>
        </w:rPr>
        <w:t xml:space="preserve">SECTION 2.01. </w:t>
      </w:r>
      <w:r>
        <w:rPr>
          <w:rFonts w:ascii="Arial" w:cs="Arial" w:eastAsia="Arial" w:hAnsi="Arial"/>
          <w:sz w:val="19"/>
          <w:szCs w:val="19"/>
          <w:u w:val="single" w:color="auto"/>
          <w:color w:val="auto"/>
        </w:rPr>
        <w:t>Forms Generally.</w:t>
      </w:r>
      <w:r>
        <w:rPr>
          <w:rFonts w:ascii="Arial" w:cs="Arial" w:eastAsia="Arial" w:hAnsi="Arial"/>
          <w:sz w:val="19"/>
          <w:szCs w:val="19"/>
          <w:color w:val="auto"/>
        </w:rPr>
        <w:t xml:space="preserve"> The Securities of each series shall be substantially in such form (not inconsistent with this Indenture) as shall be established by or pursuant to a resolution of the Board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w:t>
      </w:r>
    </w:p>
    <w:p>
      <w:pPr>
        <w:spacing w:after="0" w:line="204" w:lineRule="exact"/>
        <w:rPr>
          <w:sz w:val="20"/>
          <w:szCs w:val="20"/>
          <w:color w:val="auto"/>
        </w:rPr>
      </w:pPr>
    </w:p>
    <w:p>
      <w:pPr>
        <w:ind w:left="6" w:right="760" w:firstLine="1369"/>
        <w:spacing w:after="0" w:line="275" w:lineRule="auto"/>
        <w:rPr>
          <w:sz w:val="20"/>
          <w:szCs w:val="20"/>
          <w:color w:val="auto"/>
        </w:rPr>
      </w:pPr>
      <w:r>
        <w:rPr>
          <w:rFonts w:ascii="Arial" w:cs="Arial" w:eastAsia="Arial" w:hAnsi="Arial"/>
          <w:sz w:val="19"/>
          <w:szCs w:val="19"/>
          <w:color w:val="auto"/>
        </w:rPr>
        <w:t>The definitive Securities shall be printed or lithographed on security printed paper or may be produced in any other manner, all as determined by the officers executing such Securities, as evidenced by their execution of such Securities.</w:t>
      </w:r>
    </w:p>
    <w:p>
      <w:pPr>
        <w:spacing w:after="0" w:line="184" w:lineRule="exact"/>
        <w:rPr>
          <w:sz w:val="20"/>
          <w:szCs w:val="20"/>
          <w:color w:val="auto"/>
        </w:rPr>
      </w:pPr>
    </w:p>
    <w:p>
      <w:pPr>
        <w:ind w:left="6" w:right="340" w:firstLine="1369"/>
        <w:spacing w:after="0" w:line="275" w:lineRule="auto"/>
        <w:rPr>
          <w:sz w:val="20"/>
          <w:szCs w:val="20"/>
          <w:color w:val="auto"/>
        </w:rPr>
      </w:pPr>
      <w:r>
        <w:rPr>
          <w:rFonts w:ascii="Arial" w:cs="Arial" w:eastAsia="Arial" w:hAnsi="Arial"/>
          <w:sz w:val="19"/>
          <w:szCs w:val="19"/>
          <w:color w:val="auto"/>
        </w:rPr>
        <w:t xml:space="preserve">SECTION 2.02. </w:t>
      </w:r>
      <w:r>
        <w:rPr>
          <w:rFonts w:ascii="Arial" w:cs="Arial" w:eastAsia="Arial" w:hAnsi="Arial"/>
          <w:sz w:val="19"/>
          <w:szCs w:val="19"/>
          <w:u w:val="single" w:color="auto"/>
          <w:color w:val="auto"/>
        </w:rPr>
        <w:t>Form of Trusteeâ€™s Certification of Authentication.</w:t>
      </w:r>
      <w:r>
        <w:rPr>
          <w:rFonts w:ascii="Arial" w:cs="Arial" w:eastAsia="Arial" w:hAnsi="Arial"/>
          <w:sz w:val="19"/>
          <w:szCs w:val="19"/>
          <w:color w:val="auto"/>
        </w:rPr>
        <w:t xml:space="preserve"> The Trusteeâ€™s certificate of authentication on all Securities shall be in substantially the following form:</w:t>
      </w:r>
    </w:p>
    <w:p>
      <w:pPr>
        <w:spacing w:after="0" w:line="184" w:lineRule="exact"/>
        <w:rPr>
          <w:sz w:val="20"/>
          <w:szCs w:val="20"/>
          <w:color w:val="auto"/>
        </w:rPr>
      </w:pPr>
    </w:p>
    <w:p>
      <w:pPr>
        <w:ind w:left="1366"/>
        <w:spacing w:after="0"/>
        <w:rPr>
          <w:sz w:val="20"/>
          <w:szCs w:val="20"/>
          <w:color w:val="auto"/>
        </w:rPr>
      </w:pPr>
      <w:r>
        <w:rPr>
          <w:rFonts w:ascii="Arial" w:cs="Arial" w:eastAsia="Arial" w:hAnsi="Arial"/>
          <w:sz w:val="19"/>
          <w:szCs w:val="19"/>
          <w:color w:val="auto"/>
        </w:rPr>
        <w:t>This is one of the Securities of the series designated herein and referred to in the within-mentioned Indenture.</w:t>
      </w:r>
    </w:p>
    <w:p>
      <w:pPr>
        <w:spacing w:after="0" w:line="238" w:lineRule="exact"/>
        <w:rPr>
          <w:sz w:val="20"/>
          <w:szCs w:val="20"/>
          <w:color w:val="auto"/>
        </w:rPr>
      </w:pPr>
    </w:p>
    <w:p>
      <w:pPr>
        <w:ind w:left="586" w:hanging="586"/>
        <w:spacing w:after="0"/>
        <w:tabs>
          <w:tab w:leader="none" w:pos="586" w:val="left"/>
        </w:tabs>
        <w:numPr>
          <w:ilvl w:val="0"/>
          <w:numId w:val="13"/>
        </w:numPr>
        <w:rPr>
          <w:rFonts w:ascii="Arial" w:cs="Arial" w:eastAsia="Arial" w:hAnsi="Arial"/>
          <w:sz w:val="19"/>
          <w:szCs w:val="19"/>
          <w:color w:val="auto"/>
        </w:rPr>
      </w:pPr>
      <w:r>
        <w:rPr>
          <w:rFonts w:ascii="Arial" w:cs="Arial" w:eastAsia="Arial" w:hAnsi="Arial"/>
          <w:sz w:val="19"/>
          <w:szCs w:val="19"/>
          <w:color w:val="auto"/>
        </w:rPr>
        <w:t>],</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9"/>
          <w:szCs w:val="19"/>
          <w:color w:val="auto"/>
        </w:rPr>
        <w:t>AS TRUSTEE,</w:t>
      </w:r>
    </w:p>
    <w:p>
      <w:pPr>
        <w:spacing w:after="0" w:line="238" w:lineRule="exact"/>
        <w:rPr>
          <w:sz w:val="20"/>
          <w:szCs w:val="20"/>
          <w:color w:val="auto"/>
        </w:rPr>
      </w:pPr>
    </w:p>
    <w:p>
      <w:pPr>
        <w:ind w:left="386"/>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15240</wp:posOffset>
            </wp:positionV>
            <wp:extent cx="329628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extLst>
                        <a:ext uri="{28A0092B-C50C-407E-A947-70E740481C1C}"/>
                      </a:extLst>
                    </a:blip>
                    <a:srcRect/>
                    <a:stretch>
                      <a:fillRect/>
                    </a:stretch>
                  </pic:blipFill>
                  <pic:spPr bwMode="auto">
                    <a:xfrm>
                      <a:off x="0" y="0"/>
                      <a:ext cx="3296285" cy="8890"/>
                    </a:xfrm>
                    <a:prstGeom prst="rect">
                      <a:avLst/>
                    </a:prstGeom>
                    <a:noFill/>
                  </pic:spPr>
                </pic:pic>
              </a:graphicData>
            </a:graphic>
          </wp:anchor>
        </w:drawing>
      </w:r>
    </w:p>
    <w:p>
      <w:pPr>
        <w:spacing w:after="0" w:line="232" w:lineRule="exact"/>
        <w:rPr>
          <w:sz w:val="20"/>
          <w:szCs w:val="20"/>
          <w:color w:val="auto"/>
        </w:rPr>
      </w:pPr>
    </w:p>
    <w:p>
      <w:pPr>
        <w:ind w:left="806"/>
        <w:spacing w:after="0"/>
        <w:rPr>
          <w:sz w:val="20"/>
          <w:szCs w:val="20"/>
          <w:color w:val="auto"/>
        </w:rPr>
      </w:pPr>
      <w:r>
        <w:rPr>
          <w:rFonts w:ascii="Arial" w:cs="Arial" w:eastAsia="Arial" w:hAnsi="Arial"/>
          <w:sz w:val="19"/>
          <w:szCs w:val="19"/>
          <w:color w:val="auto"/>
        </w:rPr>
        <w:t>Authorized Signatory</w:t>
      </w:r>
    </w:p>
    <w:p>
      <w:pPr>
        <w:spacing w:after="0" w:line="238" w:lineRule="exact"/>
        <w:rPr>
          <w:sz w:val="20"/>
          <w:szCs w:val="20"/>
          <w:color w:val="auto"/>
        </w:rPr>
      </w:pPr>
    </w:p>
    <w:p>
      <w:pPr>
        <w:ind w:left="6"/>
        <w:spacing w:after="0"/>
        <w:rPr>
          <w:sz w:val="20"/>
          <w:szCs w:val="20"/>
          <w:color w:val="auto"/>
        </w:rPr>
      </w:pPr>
      <w:r>
        <w:rPr>
          <w:rFonts w:ascii="Arial" w:cs="Arial" w:eastAsia="Arial" w:hAnsi="Arial"/>
          <w:sz w:val="19"/>
          <w:szCs w:val="19"/>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516255</wp:posOffset>
            </wp:positionH>
            <wp:positionV relativeFrom="paragraph">
              <wp:posOffset>15240</wp:posOffset>
            </wp:positionV>
            <wp:extent cx="329628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3296285" cy="8890"/>
                    </a:xfrm>
                    <a:prstGeom prst="rect">
                      <a:avLst/>
                    </a:prstGeom>
                    <a:noFill/>
                  </pic:spPr>
                </pic:pic>
              </a:graphicData>
            </a:graphic>
          </wp:anchor>
        </w:drawing>
      </w:r>
    </w:p>
    <w:p>
      <w:pPr>
        <w:spacing w:after="0" w:line="232" w:lineRule="exact"/>
        <w:rPr>
          <w:sz w:val="20"/>
          <w:szCs w:val="20"/>
          <w:color w:val="auto"/>
        </w:rPr>
      </w:pPr>
    </w:p>
    <w:p>
      <w:pPr>
        <w:ind w:left="6" w:right="360" w:firstLine="1369"/>
        <w:spacing w:after="0" w:line="275" w:lineRule="auto"/>
        <w:rPr>
          <w:sz w:val="20"/>
          <w:szCs w:val="20"/>
          <w:color w:val="auto"/>
        </w:rPr>
      </w:pPr>
      <w:r>
        <w:rPr>
          <w:rFonts w:ascii="Arial" w:cs="Arial" w:eastAsia="Arial" w:hAnsi="Arial"/>
          <w:sz w:val="19"/>
          <w:szCs w:val="19"/>
          <w:color w:val="auto"/>
        </w:rPr>
        <w:t xml:space="preserve">SECTION 2.03. </w:t>
      </w:r>
      <w:r>
        <w:rPr>
          <w:rFonts w:ascii="Arial" w:cs="Arial" w:eastAsia="Arial" w:hAnsi="Arial"/>
          <w:sz w:val="19"/>
          <w:szCs w:val="19"/>
          <w:u w:val="single" w:color="auto"/>
          <w:color w:val="auto"/>
        </w:rPr>
        <w:t>Amount Unlimited; Issuable in Series.</w:t>
      </w:r>
      <w:r>
        <w:rPr>
          <w:rFonts w:ascii="Arial" w:cs="Arial" w:eastAsia="Arial" w:hAnsi="Arial"/>
          <w:sz w:val="19"/>
          <w:szCs w:val="19"/>
          <w:color w:val="auto"/>
        </w:rPr>
        <w:t xml:space="preserve"> The aggregate principal amount of Securities which may be authenticated and delivered under this Indenture is unlimited.</w:t>
      </w:r>
    </w:p>
    <w:p>
      <w:pPr>
        <w:spacing w:after="0" w:line="184" w:lineRule="exact"/>
        <w:rPr>
          <w:sz w:val="20"/>
          <w:szCs w:val="20"/>
          <w:color w:val="auto"/>
        </w:rPr>
      </w:pPr>
    </w:p>
    <w:p>
      <w:pPr>
        <w:ind w:left="6" w:right="40" w:firstLine="1369"/>
        <w:spacing w:after="0" w:line="259" w:lineRule="auto"/>
        <w:rPr>
          <w:sz w:val="20"/>
          <w:szCs w:val="20"/>
          <w:color w:val="auto"/>
        </w:rPr>
      </w:pPr>
      <w:r>
        <w:rPr>
          <w:rFonts w:ascii="Arial" w:cs="Arial" w:eastAsia="Arial" w:hAnsi="Arial"/>
          <w:sz w:val="19"/>
          <w:szCs w:val="19"/>
          <w:color w:val="auto"/>
        </w:rPr>
        <w:t xml:space="preserve">The Securities may be issued in one or more series and unless provided for otherwise in an indenture supplemental hereto, each such series shall rank equally and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with all other unsecured and unsubordinated debt of the Issuer. There shall be established in or pursuant to a resolution of the Board and set forth in an Officersâ€™ Certificate, or established in one or more indentures supplemental hereto, prior to the issuance of Securities of any series:</w:t>
      </w:r>
    </w:p>
    <w:p>
      <w:pPr>
        <w:spacing w:after="0" w:line="198" w:lineRule="exact"/>
        <w:rPr>
          <w:sz w:val="20"/>
          <w:szCs w:val="20"/>
          <w:color w:val="auto"/>
        </w:rPr>
      </w:pPr>
    </w:p>
    <w:p>
      <w:pPr>
        <w:ind w:left="1666" w:hanging="297"/>
        <w:spacing w:after="0"/>
        <w:tabs>
          <w:tab w:leader="none" w:pos="1666"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designation of the Securities of the series (which shall distinguish the Securities of the series from all other Securities);</w:t>
      </w:r>
    </w:p>
    <w:p>
      <w:pPr>
        <w:spacing w:after="0" w:line="237" w:lineRule="exact"/>
        <w:rPr>
          <w:rFonts w:ascii="Arial" w:cs="Arial" w:eastAsia="Arial" w:hAnsi="Arial"/>
          <w:sz w:val="19"/>
          <w:szCs w:val="19"/>
          <w:color w:val="auto"/>
        </w:rPr>
      </w:pPr>
    </w:p>
    <w:p>
      <w:pPr>
        <w:ind w:left="686" w:right="660" w:firstLine="683"/>
        <w:spacing w:after="0" w:line="275" w:lineRule="auto"/>
        <w:tabs>
          <w:tab w:leader="none" w:pos="1687" w:val="left"/>
        </w:tabs>
        <w:numPr>
          <w:ilvl w:val="0"/>
          <w:numId w:val="14"/>
        </w:numPr>
        <w:rPr>
          <w:rFonts w:ascii="Arial" w:cs="Arial" w:eastAsia="Arial" w:hAnsi="Arial"/>
          <w:sz w:val="19"/>
          <w:szCs w:val="19"/>
          <w:color w:val="auto"/>
        </w:rPr>
      </w:pPr>
      <w:r>
        <w:rPr>
          <w:rFonts w:ascii="Arial" w:cs="Arial" w:eastAsia="Arial" w:hAnsi="Arial"/>
          <w:sz w:val="19"/>
          <w:szCs w:val="19"/>
          <w:color w:val="auto"/>
        </w:rPr>
        <w:t>any limit upon the aggregate principal amount of the Securities of the series that may be authenticated and delivered under this Indenture (except for Securities authenticated and</w:t>
      </w:r>
    </w:p>
    <w:p>
      <w:pPr>
        <w:spacing w:after="0" w:line="184" w:lineRule="exact"/>
        <w:rPr>
          <w:sz w:val="20"/>
          <w:szCs w:val="20"/>
          <w:color w:val="auto"/>
        </w:rPr>
      </w:pPr>
    </w:p>
    <w:p>
      <w:pPr>
        <w:jc w:val="center"/>
        <w:ind w:right="-5"/>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85725</wp:posOffset>
            </wp:positionV>
            <wp:extent cx="7646670" cy="311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13" w:right="140" w:bottom="1440" w:gutter="0" w:footer="0" w:header="0"/>
        </w:sectPr>
      </w:pPr>
    </w:p>
    <w:bookmarkStart w:id="49" w:name="page50"/>
    <w:bookmarkEnd w:id="49"/>
    <w:p>
      <w:pPr>
        <w:ind w:right="580"/>
        <w:spacing w:after="0" w:line="275" w:lineRule="auto"/>
        <w:rPr>
          <w:sz w:val="20"/>
          <w:szCs w:val="20"/>
          <w:color w:val="auto"/>
        </w:rPr>
      </w:pPr>
      <w:r>
        <w:rPr>
          <w:rFonts w:ascii="Arial" w:cs="Arial" w:eastAsia="Arial" w:hAnsi="Arial"/>
          <w:sz w:val="19"/>
          <w:szCs w:val="19"/>
          <w:color w:val="auto"/>
        </w:rPr>
        <w:t>delivered upon registration of transfer of, or in exchange for, or in lieu of, other Securities of the series pursuant to Section 2.08, 2.09, 2.11 or 11.03);</w:t>
      </w:r>
    </w:p>
    <w:p>
      <w:pPr>
        <w:spacing w:after="0" w:line="184" w:lineRule="exact"/>
        <w:rPr>
          <w:sz w:val="20"/>
          <w:szCs w:val="20"/>
          <w:color w:val="auto"/>
        </w:rPr>
      </w:pPr>
    </w:p>
    <w:p>
      <w:pPr>
        <w:ind w:left="980" w:hanging="297"/>
        <w:spacing w:after="0"/>
        <w:tabs>
          <w:tab w:leader="none" w:pos="9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U.S. Dollars, the coin or currency in which the Securities of that series are denominated (including any Non-U.S.</w:t>
      </w:r>
    </w:p>
    <w:p>
      <w:pPr>
        <w:spacing w:after="0" w:line="34"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9"/>
          <w:szCs w:val="19"/>
          <w:color w:val="auto"/>
        </w:rPr>
        <w:t>Currency);</w:t>
      </w:r>
    </w:p>
    <w:p>
      <w:pPr>
        <w:spacing w:after="0" w:line="224" w:lineRule="exact"/>
        <w:rPr>
          <w:rFonts w:ascii="Arial" w:cs="Arial" w:eastAsia="Arial" w:hAnsi="Arial"/>
          <w:sz w:val="18"/>
          <w:szCs w:val="18"/>
          <w:color w:val="auto"/>
        </w:rPr>
      </w:pPr>
    </w:p>
    <w:p>
      <w:pPr>
        <w:ind w:left="1000" w:hanging="317"/>
        <w:spacing w:after="0"/>
        <w:tabs>
          <w:tab w:leader="none" w:pos="100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date or dates on which the principal of the Securities of the series is payable;</w:t>
      </w:r>
    </w:p>
    <w:p>
      <w:pPr>
        <w:spacing w:after="0" w:line="237" w:lineRule="exact"/>
        <w:rPr>
          <w:rFonts w:ascii="Arial" w:cs="Arial" w:eastAsia="Arial" w:hAnsi="Arial"/>
          <w:sz w:val="19"/>
          <w:szCs w:val="19"/>
          <w:color w:val="auto"/>
        </w:rPr>
      </w:pPr>
    </w:p>
    <w:p>
      <w:pPr>
        <w:ind w:right="20" w:firstLine="683"/>
        <w:spacing w:after="0" w:line="308" w:lineRule="auto"/>
        <w:tabs>
          <w:tab w:leader="none" w:pos="99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 and/or the method by which such rate or rates or date or dates shall be determined;</w:t>
      </w:r>
    </w:p>
    <w:p>
      <w:pPr>
        <w:spacing w:after="0" w:line="160" w:lineRule="exact"/>
        <w:rPr>
          <w:rFonts w:ascii="Arial" w:cs="Arial" w:eastAsia="Arial" w:hAnsi="Arial"/>
          <w:sz w:val="17"/>
          <w:szCs w:val="17"/>
          <w:color w:val="auto"/>
        </w:rPr>
      </w:pPr>
    </w:p>
    <w:p>
      <w:pPr>
        <w:ind w:right="540" w:firstLine="683"/>
        <w:spacing w:after="0" w:line="275" w:lineRule="auto"/>
        <w:tabs>
          <w:tab w:leader="none" w:pos="969"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place or places where the principal of and any interest on Securities of the series shall be payable (if other than as provided in Section 3.02);</w:t>
      </w:r>
    </w:p>
    <w:p>
      <w:pPr>
        <w:spacing w:after="0" w:line="183" w:lineRule="exact"/>
        <w:rPr>
          <w:rFonts w:ascii="Arial" w:cs="Arial" w:eastAsia="Arial" w:hAnsi="Arial"/>
          <w:sz w:val="19"/>
          <w:szCs w:val="19"/>
          <w:color w:val="auto"/>
        </w:rPr>
      </w:pPr>
    </w:p>
    <w:p>
      <w:pPr>
        <w:ind w:firstLine="683"/>
        <w:spacing w:after="0" w:line="275" w:lineRule="auto"/>
        <w:tabs>
          <w:tab w:leader="none" w:pos="1001"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183" w:lineRule="exact"/>
        <w:rPr>
          <w:rFonts w:ascii="Arial" w:cs="Arial" w:eastAsia="Arial" w:hAnsi="Arial"/>
          <w:sz w:val="19"/>
          <w:szCs w:val="19"/>
          <w:color w:val="auto"/>
        </w:rPr>
      </w:pPr>
    </w:p>
    <w:p>
      <w:pPr>
        <w:ind w:right="100" w:firstLine="683"/>
        <w:spacing w:after="0" w:line="308" w:lineRule="auto"/>
        <w:tabs>
          <w:tab w:leader="none" w:pos="10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obligation, if any, of the Issuer to redeem, purchase or repay Securities of the series pursuant to any mandatory redemption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160" w:lineRule="exact"/>
        <w:rPr>
          <w:rFonts w:ascii="Arial" w:cs="Arial" w:eastAsia="Arial" w:hAnsi="Arial"/>
          <w:sz w:val="17"/>
          <w:szCs w:val="17"/>
          <w:color w:val="auto"/>
        </w:rPr>
      </w:pPr>
    </w:p>
    <w:p>
      <w:pPr>
        <w:ind w:right="200" w:firstLine="683"/>
        <w:spacing w:after="0" w:line="275" w:lineRule="auto"/>
        <w:tabs>
          <w:tab w:leader="none" w:pos="959"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other than denominations of $2,000 and integral multiples of $1,000 in excess thereof, the denominations in which Securities of the series shall be issuable;</w:t>
      </w:r>
    </w:p>
    <w:p>
      <w:pPr>
        <w:spacing w:after="0" w:line="183" w:lineRule="exact"/>
        <w:rPr>
          <w:rFonts w:ascii="Arial" w:cs="Arial" w:eastAsia="Arial" w:hAnsi="Arial"/>
          <w:sz w:val="19"/>
          <w:szCs w:val="19"/>
          <w:color w:val="auto"/>
        </w:rPr>
      </w:pPr>
    </w:p>
    <w:p>
      <w:pPr>
        <w:ind w:right="300" w:firstLine="683"/>
        <w:spacing w:after="0" w:line="304" w:lineRule="auto"/>
        <w:tabs>
          <w:tab w:leader="none" w:pos="959" w:val="left"/>
        </w:tabs>
        <w:numPr>
          <w:ilvl w:val="0"/>
          <w:numId w:val="15"/>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160" w:lineRule="exact"/>
        <w:rPr>
          <w:rFonts w:ascii="Arial" w:cs="Arial" w:eastAsia="Arial" w:hAnsi="Arial"/>
          <w:sz w:val="18"/>
          <w:szCs w:val="18"/>
          <w:color w:val="auto"/>
        </w:rPr>
      </w:pPr>
    </w:p>
    <w:p>
      <w:pPr>
        <w:ind w:right="200" w:firstLine="683"/>
        <w:spacing w:after="0" w:line="275" w:lineRule="auto"/>
        <w:tabs>
          <w:tab w:leader="none" w:pos="1001"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other than the coin or currency in which the Securities of that series are denominated, the coin or currency in which payment of the principal of or interest on the Securities of such series shall be payable;</w:t>
      </w:r>
    </w:p>
    <w:p>
      <w:pPr>
        <w:spacing w:after="0" w:line="183" w:lineRule="exact"/>
        <w:rPr>
          <w:rFonts w:ascii="Arial" w:cs="Arial" w:eastAsia="Arial" w:hAnsi="Arial"/>
          <w:sz w:val="19"/>
          <w:szCs w:val="19"/>
          <w:color w:val="auto"/>
        </w:rPr>
      </w:pPr>
    </w:p>
    <w:p>
      <w:pPr>
        <w:ind w:right="100" w:firstLine="683"/>
        <w:spacing w:after="0" w:line="263" w:lineRule="auto"/>
        <w:tabs>
          <w:tab w:leader="none" w:pos="959"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the principal of or interest on the Securities of such series are to be payable, at the election of the Issuer or a Holder thereof, in a coin or currency other than that in which the Securities are denominated, the period or periods within which, and the terms and conditions upon which, such election may be made;</w:t>
      </w:r>
    </w:p>
    <w:p>
      <w:pPr>
        <w:spacing w:after="0" w:line="194" w:lineRule="exact"/>
        <w:rPr>
          <w:rFonts w:ascii="Arial" w:cs="Arial" w:eastAsia="Arial" w:hAnsi="Arial"/>
          <w:sz w:val="19"/>
          <w:szCs w:val="19"/>
          <w:color w:val="auto"/>
        </w:rPr>
      </w:pPr>
    </w:p>
    <w:p>
      <w:pPr>
        <w:ind w:right="260" w:firstLine="683"/>
        <w:spacing w:after="0" w:line="263" w:lineRule="auto"/>
        <w:tabs>
          <w:tab w:leader="none" w:pos="1054" w:val="left"/>
        </w:tabs>
        <w:numPr>
          <w:ilvl w:val="0"/>
          <w:numId w:val="15"/>
        </w:numPr>
        <w:rPr>
          <w:rFonts w:ascii="Arial" w:cs="Arial" w:eastAsia="Arial" w:hAnsi="Arial"/>
          <w:sz w:val="19"/>
          <w:szCs w:val="19"/>
          <w:color w:val="auto"/>
        </w:rPr>
      </w:pPr>
      <w:r>
        <w:rPr>
          <w:rFonts w:ascii="Arial" w:cs="Arial" w:eastAsia="Arial" w:hAnsi="Arial"/>
          <w:sz w:val="19"/>
          <w:szCs w:val="19"/>
          <w:color w:val="auto"/>
        </w:rPr>
        <w:t>if the amount of payments of principal of and interest on the Securities of the series may be determined with reference to an index based on a coin or currency other than that in which the Securities of the series are denominated, or with reference to any currencies, securities or baskets of securities, commodities or indices, the manner in which such amounts shall be determined;</w:t>
      </w:r>
    </w:p>
    <w:p>
      <w:pPr>
        <w:spacing w:after="0" w:line="194" w:lineRule="exact"/>
        <w:rPr>
          <w:rFonts w:ascii="Arial" w:cs="Arial" w:eastAsia="Arial" w:hAnsi="Arial"/>
          <w:sz w:val="19"/>
          <w:szCs w:val="19"/>
          <w:color w:val="auto"/>
        </w:rPr>
      </w:pPr>
    </w:p>
    <w:p>
      <w:pPr>
        <w:jc w:val="both"/>
        <w:ind w:right="40" w:firstLine="683"/>
        <w:spacing w:after="0" w:line="336" w:lineRule="auto"/>
        <w:tabs>
          <w:tab w:leader="none" w:pos="1001" w:val="left"/>
        </w:tabs>
        <w:numPr>
          <w:ilvl w:val="0"/>
          <w:numId w:val="15"/>
        </w:numPr>
        <w:rPr>
          <w:rFonts w:ascii="Arial" w:cs="Arial" w:eastAsia="Arial" w:hAnsi="Arial"/>
          <w:sz w:val="17"/>
          <w:szCs w:val="17"/>
          <w:color w:val="auto"/>
        </w:rPr>
      </w:pPr>
      <w:r>
        <w:rPr>
          <w:rFonts w:ascii="Arial" w:cs="Arial" w:eastAsia="Arial" w:hAnsi="Arial"/>
          <w:sz w:val="17"/>
          <w:szCs w:val="17"/>
          <w:color w:val="auto"/>
        </w:rPr>
        <w:t>if the Holders of the Securities of the series may convert or exchange the Securities of the series into or for securities of the Issuer or of other entities or other property (or the cash value thereof), the specific terms of and period during which such conversion or exchange may be made;</w:t>
      </w:r>
    </w:p>
    <w:p>
      <w:pPr>
        <w:spacing w:after="0" w:line="137" w:lineRule="exact"/>
        <w:rPr>
          <w:sz w:val="20"/>
          <w:szCs w:val="20"/>
          <w:color w:val="auto"/>
        </w:rPr>
      </w:pPr>
    </w:p>
    <w:p>
      <w:pPr>
        <w:ind w:left="528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85725</wp:posOffset>
            </wp:positionV>
            <wp:extent cx="7646670" cy="311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320"/>
          </w:cols>
          <w:pgMar w:left="800" w:top="213" w:right="120" w:bottom="1440" w:gutter="0" w:footer="0" w:header="0"/>
        </w:sectPr>
      </w:pPr>
    </w:p>
    <w:bookmarkStart w:id="50" w:name="page51"/>
    <w:bookmarkEnd w:id="50"/>
    <w:p>
      <w:pPr>
        <w:ind w:left="680" w:right="40" w:firstLine="683"/>
        <w:spacing w:after="0" w:line="298" w:lineRule="auto"/>
        <w:tabs>
          <w:tab w:leader="none" w:pos="16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whether the Securities of the series will be issuable as Registered Securities (and if so, whether such Securities will be issuable as Registered Global Securities) or Bearer Securities (with or without coupons), or any combination of the foregoing, any restrictions applicable to the offer, sale, transfer, exchange or delivery of Bearer Securities or Registered Securities or the payment of interest thereon and, if other than as provided herein, the terms upon which Bearer Securities of any series may be exchanged for Registered Securities of such series and vice versa;</w:t>
      </w:r>
    </w:p>
    <w:p>
      <w:pPr>
        <w:spacing w:after="0" w:line="170" w:lineRule="exact"/>
        <w:rPr>
          <w:rFonts w:ascii="Arial" w:cs="Arial" w:eastAsia="Arial" w:hAnsi="Arial"/>
          <w:sz w:val="17"/>
          <w:szCs w:val="17"/>
          <w:color w:val="auto"/>
        </w:rPr>
      </w:pPr>
    </w:p>
    <w:p>
      <w:pPr>
        <w:ind w:left="680" w:right="120" w:firstLine="683"/>
        <w:spacing w:after="0" w:line="263" w:lineRule="auto"/>
        <w:tabs>
          <w:tab w:leader="none" w:pos="1681" w:val="left"/>
        </w:tabs>
        <w:numPr>
          <w:ilvl w:val="0"/>
          <w:numId w:val="16"/>
        </w:numPr>
        <w:rPr>
          <w:rFonts w:ascii="Arial" w:cs="Arial" w:eastAsia="Arial" w:hAnsi="Arial"/>
          <w:sz w:val="19"/>
          <w:szCs w:val="19"/>
          <w:color w:val="auto"/>
        </w:rPr>
      </w:pPr>
      <w:r>
        <w:rPr>
          <w:rFonts w:ascii="Arial" w:cs="Arial" w:eastAsia="Arial" w:hAnsi="Arial"/>
          <w:sz w:val="19"/>
          <w:szCs w:val="19"/>
          <w:color w:val="auto"/>
        </w:rPr>
        <w:t>whether and under what circumstances the Issuer will pay additional amounts on the Securities of the series held by a Person who is not a U.S. Person in respect of any tax, assessment or governmental charge withheld or deducted and, if so, whether the Issuer will have the option to redeem such Securities rather than pay such additional amounts;</w:t>
      </w:r>
    </w:p>
    <w:p>
      <w:pPr>
        <w:spacing w:after="0" w:line="194" w:lineRule="exact"/>
        <w:rPr>
          <w:rFonts w:ascii="Arial" w:cs="Arial" w:eastAsia="Arial" w:hAnsi="Arial"/>
          <w:sz w:val="19"/>
          <w:szCs w:val="19"/>
          <w:color w:val="auto"/>
        </w:rPr>
      </w:pPr>
    </w:p>
    <w:p>
      <w:pPr>
        <w:ind w:left="680" w:right="220" w:firstLine="683"/>
        <w:spacing w:after="0" w:line="263" w:lineRule="auto"/>
        <w:tabs>
          <w:tab w:leader="none" w:pos="1681" w:val="left"/>
        </w:tabs>
        <w:numPr>
          <w:ilvl w:val="0"/>
          <w:numId w:val="16"/>
        </w:numPr>
        <w:rPr>
          <w:rFonts w:ascii="Arial" w:cs="Arial" w:eastAsia="Arial" w:hAnsi="Arial"/>
          <w:sz w:val="19"/>
          <w:szCs w:val="19"/>
          <w:color w:val="auto"/>
        </w:rPr>
      </w:pPr>
      <w:r>
        <w:rPr>
          <w:rFonts w:ascii="Arial" w:cs="Arial" w:eastAsia="Arial" w:hAnsi="Arial"/>
          <w:sz w:val="19"/>
          <w:szCs w:val="19"/>
          <w:color w:val="auto"/>
        </w:rPr>
        <w:t>if the Securities of such series are to be issuable in definitive form (whether upon original issue or upon exchange of a temporary Security of such series) only upon receipt of certain certificates or other documents or satisfaction of other conditions, the form and terms of such certificates, documents or conditions;</w:t>
      </w:r>
    </w:p>
    <w:p>
      <w:pPr>
        <w:spacing w:after="0" w:line="194" w:lineRule="exact"/>
        <w:rPr>
          <w:rFonts w:ascii="Arial" w:cs="Arial" w:eastAsia="Arial" w:hAnsi="Arial"/>
          <w:sz w:val="19"/>
          <w:szCs w:val="19"/>
          <w:color w:val="auto"/>
        </w:rPr>
      </w:pPr>
    </w:p>
    <w:p>
      <w:pPr>
        <w:ind w:left="680" w:right="20" w:firstLine="683"/>
        <w:spacing w:after="0" w:line="275" w:lineRule="auto"/>
        <w:tabs>
          <w:tab w:leader="none" w:pos="1649"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trustees, depositaries, authenticating or paying agents, transfer agents or registrars or any other agents with respect to the Securities of such series;</w:t>
      </w:r>
    </w:p>
    <w:p>
      <w:pPr>
        <w:spacing w:after="0" w:line="183" w:lineRule="exact"/>
        <w:rPr>
          <w:rFonts w:ascii="Arial" w:cs="Arial" w:eastAsia="Arial" w:hAnsi="Arial"/>
          <w:sz w:val="19"/>
          <w:szCs w:val="19"/>
          <w:color w:val="auto"/>
        </w:rPr>
      </w:pPr>
    </w:p>
    <w:p>
      <w:pPr>
        <w:ind w:left="680" w:right="40" w:firstLine="683"/>
        <w:spacing w:after="0" w:line="274" w:lineRule="auto"/>
        <w:tabs>
          <w:tab w:leader="none" w:pos="1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applicable United States federal income tax and other income tax provisions, including: whether and under what circumstances the Issuer will pay additional amounts on Securities for any tax, assessment or governmental charge withheld or deducted and, if so, whether it will have the option to redeem those Securities rather than pay the additional amounts; tax considerations applicable to any discounted Securities or to Securities issued at par that are treated as having been issued at a discount for United States federal income tax purposes; and tax considerations applicable to any Securities denominated and payable in foreign currencies;</w:t>
      </w:r>
    </w:p>
    <w:p>
      <w:pPr>
        <w:spacing w:after="0" w:line="187" w:lineRule="exact"/>
        <w:rPr>
          <w:rFonts w:ascii="Arial" w:cs="Arial" w:eastAsia="Arial" w:hAnsi="Arial"/>
          <w:sz w:val="18"/>
          <w:szCs w:val="18"/>
          <w:color w:val="auto"/>
        </w:rPr>
      </w:pPr>
    </w:p>
    <w:p>
      <w:pPr>
        <w:ind w:left="1640" w:hanging="277"/>
        <w:spacing w:after="0"/>
        <w:tabs>
          <w:tab w:leader="none" w:pos="1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whether certain payments on the Securities will be guaranteed under a financial insurance guaranty policy and the terms of that</w:t>
      </w:r>
    </w:p>
    <w:p>
      <w:pPr>
        <w:spacing w:after="0" w:line="34"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9"/>
          <w:szCs w:val="19"/>
          <w:color w:val="auto"/>
        </w:rPr>
        <w:t>guaranty;</w:t>
      </w:r>
    </w:p>
    <w:p>
      <w:pPr>
        <w:spacing w:after="0" w:line="224" w:lineRule="exact"/>
        <w:rPr>
          <w:rFonts w:ascii="Arial" w:cs="Arial" w:eastAsia="Arial" w:hAnsi="Arial"/>
          <w:sz w:val="18"/>
          <w:szCs w:val="18"/>
          <w:color w:val="auto"/>
        </w:rPr>
      </w:pPr>
    </w:p>
    <w:p>
      <w:pPr>
        <w:ind w:left="1680" w:hanging="317"/>
        <w:spacing w:after="0"/>
        <w:tabs>
          <w:tab w:leader="none" w:pos="168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applicable selling restrictions;</w:t>
      </w:r>
    </w:p>
    <w:p>
      <w:pPr>
        <w:spacing w:after="0" w:line="237" w:lineRule="exact"/>
        <w:rPr>
          <w:rFonts w:ascii="Arial" w:cs="Arial" w:eastAsia="Arial" w:hAnsi="Arial"/>
          <w:sz w:val="19"/>
          <w:szCs w:val="19"/>
          <w:color w:val="auto"/>
        </w:rPr>
      </w:pPr>
    </w:p>
    <w:p>
      <w:pPr>
        <w:ind w:left="680" w:right="140" w:firstLine="683"/>
        <w:spacing w:after="0" w:line="308" w:lineRule="auto"/>
        <w:tabs>
          <w:tab w:leader="none" w:pos="1681" w:val="left"/>
        </w:tabs>
        <w:numPr>
          <w:ilvl w:val="0"/>
          <w:numId w:val="16"/>
        </w:numPr>
        <w:rPr>
          <w:rFonts w:ascii="Arial" w:cs="Arial" w:eastAsia="Arial" w:hAnsi="Arial"/>
          <w:sz w:val="17"/>
          <w:szCs w:val="17"/>
          <w:color w:val="auto"/>
        </w:rPr>
      </w:pPr>
      <w:r>
        <w:rPr>
          <w:rFonts w:ascii="Arial" w:cs="Arial" w:eastAsia="Arial" w:hAnsi="Arial"/>
          <w:sz w:val="17"/>
          <w:szCs w:val="17"/>
          <w:color w:val="auto"/>
        </w:rPr>
        <w:t>any covenants (or modifications to covenants set forth herein) with respect to the Securities of such series or any events of default (or modifications to the Events of Default set forth herein) with respect to the Securities of such series or modifications or elimination of any acceleration rights with respect to the Securities of such series and any terms required by or advisable under applicable laws or regulations; and</w:t>
      </w:r>
    </w:p>
    <w:p>
      <w:pPr>
        <w:spacing w:after="0" w:line="160" w:lineRule="exact"/>
        <w:rPr>
          <w:rFonts w:ascii="Arial" w:cs="Arial" w:eastAsia="Arial" w:hAnsi="Arial"/>
          <w:sz w:val="17"/>
          <w:szCs w:val="17"/>
          <w:color w:val="auto"/>
        </w:rPr>
      </w:pPr>
    </w:p>
    <w:p>
      <w:pPr>
        <w:ind w:left="1720" w:hanging="357"/>
        <w:spacing w:after="0"/>
        <w:tabs>
          <w:tab w:leader="none" w:pos="1720" w:val="left"/>
        </w:tabs>
        <w:numPr>
          <w:ilvl w:val="0"/>
          <w:numId w:val="16"/>
        </w:numPr>
        <w:rPr>
          <w:rFonts w:ascii="Arial" w:cs="Arial" w:eastAsia="Arial" w:hAnsi="Arial"/>
          <w:sz w:val="19"/>
          <w:szCs w:val="19"/>
          <w:color w:val="auto"/>
        </w:rPr>
      </w:pPr>
      <w:r>
        <w:rPr>
          <w:rFonts w:ascii="Arial" w:cs="Arial" w:eastAsia="Arial" w:hAnsi="Arial"/>
          <w:sz w:val="19"/>
          <w:szCs w:val="19"/>
          <w:color w:val="auto"/>
        </w:rPr>
        <w:t>any other terms of the series.</w:t>
      </w:r>
    </w:p>
    <w:p>
      <w:pPr>
        <w:spacing w:after="0" w:line="238" w:lineRule="exact"/>
        <w:rPr>
          <w:sz w:val="20"/>
          <w:szCs w:val="20"/>
          <w:color w:val="auto"/>
        </w:rPr>
      </w:pPr>
    </w:p>
    <w:p>
      <w:pPr>
        <w:ind w:right="240" w:firstLine="1369"/>
        <w:spacing w:after="0" w:line="259" w:lineRule="auto"/>
        <w:rPr>
          <w:sz w:val="20"/>
          <w:szCs w:val="20"/>
          <w:color w:val="auto"/>
        </w:rPr>
      </w:pPr>
      <w:r>
        <w:rPr>
          <w:rFonts w:ascii="Arial" w:cs="Arial" w:eastAsia="Arial" w:hAnsi="Arial"/>
          <w:sz w:val="19"/>
          <w:szCs w:val="19"/>
          <w:color w:val="auto"/>
        </w:rPr>
        <w:t>All Securities of any one series shall be substantially identical except as to denomination and except as may otherwise be provided in or pursuant to such resolution of the Board or in any such indenture supplemental hereto. All Securities of any one series need not be issued at the same time and may be issued from time to time, consistent with the terms of this Indenture, if so provided by or pursuant to such Board Resolution or in any such indenture supplemental hereto.</w:t>
      </w:r>
    </w:p>
    <w:p>
      <w:pPr>
        <w:spacing w:after="0" w:line="198" w:lineRule="exact"/>
        <w:rPr>
          <w:sz w:val="20"/>
          <w:szCs w:val="20"/>
          <w:color w:val="auto"/>
        </w:rPr>
      </w:pPr>
    </w:p>
    <w:p>
      <w:pPr>
        <w:ind w:firstLine="1369"/>
        <w:spacing w:after="0" w:line="27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u w:val="single" w:color="auto"/>
          <w:color w:val="auto"/>
        </w:rPr>
        <w:t>Authentication and Delivery of Securities.</w:t>
      </w:r>
      <w:r>
        <w:rPr>
          <w:rFonts w:ascii="Arial" w:cs="Arial" w:eastAsia="Arial" w:hAnsi="Arial"/>
          <w:sz w:val="18"/>
          <w:szCs w:val="18"/>
          <w:color w:val="auto"/>
        </w:rPr>
        <w:t xml:space="preserve">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signed by any officer of the Issuer authorized by the Board to execute any such order, without any further action by the Issuer. In authenticating such Securities and accepting the additional responsibilities under this Indenture in relation to such Securities the Trustee shall be provided with, and (subject to Section 5.01) shall be fully protected in relying upon: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13" w:right="160" w:bottom="1440" w:gutter="0" w:footer="0" w:header="0"/>
        </w:sectPr>
      </w:pPr>
    </w:p>
    <w:bookmarkStart w:id="51" w:name="page52"/>
    <w:bookmarkEnd w:id="51"/>
    <w:p>
      <w:pPr>
        <w:ind w:left="680" w:right="480" w:firstLine="683"/>
        <w:spacing w:after="0" w:line="275" w:lineRule="auto"/>
        <w:tabs>
          <w:tab w:leader="none" w:pos="1671"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certified copy of any resolution or resolutions of the Board authorizing the action taken pursuant to the resolution or resolutions delivered under Section 2.04(b) below;</w:t>
      </w:r>
    </w:p>
    <w:p>
      <w:pPr>
        <w:spacing w:after="0" w:line="183" w:lineRule="exact"/>
        <w:rPr>
          <w:rFonts w:ascii="Arial" w:cs="Arial" w:eastAsia="Arial" w:hAnsi="Arial"/>
          <w:sz w:val="19"/>
          <w:szCs w:val="19"/>
          <w:color w:val="auto"/>
        </w:rPr>
      </w:pPr>
    </w:p>
    <w:p>
      <w:pPr>
        <w:ind w:left="680" w:right="520" w:firstLine="683"/>
        <w:spacing w:after="0" w:line="275" w:lineRule="auto"/>
        <w:tabs>
          <w:tab w:leader="none" w:pos="1681" w:val="left"/>
        </w:tabs>
        <w:numPr>
          <w:ilvl w:val="0"/>
          <w:numId w:val="17"/>
        </w:numPr>
        <w:rPr>
          <w:rFonts w:ascii="Arial" w:cs="Arial" w:eastAsia="Arial" w:hAnsi="Arial"/>
          <w:sz w:val="19"/>
          <w:szCs w:val="19"/>
          <w:color w:val="auto"/>
        </w:rPr>
      </w:pPr>
      <w:r>
        <w:rPr>
          <w:rFonts w:ascii="Arial" w:cs="Arial" w:eastAsia="Arial" w:hAnsi="Arial"/>
          <w:sz w:val="19"/>
          <w:szCs w:val="19"/>
          <w:color w:val="auto"/>
        </w:rPr>
        <w:t>a copy of any resolution or resolutions of the Board relating to such series, in each case certified by the Secretary or an Assistant Secretary of the Issuer;</w:t>
      </w:r>
    </w:p>
    <w:p>
      <w:pPr>
        <w:spacing w:after="0" w:line="183" w:lineRule="exact"/>
        <w:rPr>
          <w:rFonts w:ascii="Arial" w:cs="Arial" w:eastAsia="Arial" w:hAnsi="Arial"/>
          <w:sz w:val="19"/>
          <w:szCs w:val="19"/>
          <w:color w:val="auto"/>
        </w:rPr>
      </w:pPr>
    </w:p>
    <w:p>
      <w:pPr>
        <w:ind w:left="1660" w:hanging="297"/>
        <w:spacing w:after="0"/>
        <w:tabs>
          <w:tab w:leader="none" w:pos="16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 executed supplemental indenture, if any;</w:t>
      </w:r>
    </w:p>
    <w:p>
      <w:pPr>
        <w:spacing w:after="0" w:line="237" w:lineRule="exact"/>
        <w:rPr>
          <w:rFonts w:ascii="Arial" w:cs="Arial" w:eastAsia="Arial" w:hAnsi="Arial"/>
          <w:sz w:val="19"/>
          <w:szCs w:val="19"/>
          <w:color w:val="auto"/>
        </w:rPr>
      </w:pPr>
    </w:p>
    <w:p>
      <w:pPr>
        <w:ind w:left="680" w:firstLine="683"/>
        <w:spacing w:after="0" w:line="275" w:lineRule="auto"/>
        <w:tabs>
          <w:tab w:leader="none" w:pos="1681"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 Officersâ€™ Certificate setting forth the form and terms of the Securities as required pursuant to Section 2.01 and 2.03, respectively and prepared in accordance with Section 10.06;</w:t>
      </w:r>
    </w:p>
    <w:p>
      <w:pPr>
        <w:spacing w:after="0" w:line="183" w:lineRule="exact"/>
        <w:rPr>
          <w:rFonts w:ascii="Arial" w:cs="Arial" w:eastAsia="Arial" w:hAnsi="Arial"/>
          <w:sz w:val="19"/>
          <w:szCs w:val="19"/>
          <w:color w:val="auto"/>
        </w:rPr>
      </w:pPr>
    </w:p>
    <w:p>
      <w:pPr>
        <w:ind w:left="1660" w:hanging="297"/>
        <w:spacing w:after="0"/>
        <w:tabs>
          <w:tab w:leader="none" w:pos="1660" w:val="left"/>
        </w:tabs>
        <w:numPr>
          <w:ilvl w:val="0"/>
          <w:numId w:val="17"/>
        </w:numPr>
        <w:rPr>
          <w:rFonts w:ascii="Arial" w:cs="Arial" w:eastAsia="Arial" w:hAnsi="Arial"/>
          <w:sz w:val="19"/>
          <w:szCs w:val="19"/>
          <w:color w:val="auto"/>
        </w:rPr>
      </w:pPr>
      <w:r>
        <w:rPr>
          <w:rFonts w:ascii="Arial" w:cs="Arial" w:eastAsia="Arial" w:hAnsi="Arial"/>
          <w:sz w:val="19"/>
          <w:szCs w:val="19"/>
          <w:color w:val="auto"/>
        </w:rPr>
        <w:t>an Opinion of Counsel, prepared in accordance with Section 10.06, to the effect that</w:t>
      </w:r>
    </w:p>
    <w:p>
      <w:pPr>
        <w:spacing w:after="0" w:line="237" w:lineRule="exact"/>
        <w:rPr>
          <w:rFonts w:ascii="Arial" w:cs="Arial" w:eastAsia="Arial" w:hAnsi="Arial"/>
          <w:sz w:val="19"/>
          <w:szCs w:val="19"/>
          <w:color w:val="auto"/>
        </w:rPr>
      </w:pPr>
    </w:p>
    <w:p>
      <w:pPr>
        <w:ind w:left="1360" w:right="560" w:firstLine="688"/>
        <w:spacing w:after="0" w:line="304" w:lineRule="auto"/>
        <w:tabs>
          <w:tab w:leader="none" w:pos="2319"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the form or forms and terms of such Securities have been established by or pursuant to a resolution of the Board or by a supplemental indenture as permitted by Section 2.01 and 2.03 in conformity with the provisions of this Indenture;</w:t>
      </w:r>
    </w:p>
    <w:p>
      <w:pPr>
        <w:spacing w:after="0" w:line="160" w:lineRule="exact"/>
        <w:rPr>
          <w:rFonts w:ascii="Arial" w:cs="Arial" w:eastAsia="Arial" w:hAnsi="Arial"/>
          <w:sz w:val="18"/>
          <w:szCs w:val="18"/>
          <w:color w:val="auto"/>
        </w:rPr>
      </w:pPr>
    </w:p>
    <w:p>
      <w:pPr>
        <w:ind w:left="1360" w:right="300" w:firstLine="688"/>
        <w:spacing w:after="0" w:line="275" w:lineRule="auto"/>
        <w:tabs>
          <w:tab w:leader="none" w:pos="2372" w:val="left"/>
        </w:tabs>
        <w:numPr>
          <w:ilvl w:val="1"/>
          <w:numId w:val="17"/>
        </w:numPr>
        <w:rPr>
          <w:rFonts w:ascii="Arial" w:cs="Arial" w:eastAsia="Arial" w:hAnsi="Arial"/>
          <w:sz w:val="19"/>
          <w:szCs w:val="19"/>
          <w:color w:val="auto"/>
        </w:rPr>
      </w:pPr>
      <w:r>
        <w:rPr>
          <w:rFonts w:ascii="Arial" w:cs="Arial" w:eastAsia="Arial" w:hAnsi="Arial"/>
          <w:sz w:val="19"/>
          <w:szCs w:val="19"/>
          <w:color w:val="auto"/>
        </w:rPr>
        <w:t>such Securities, when authenticated and delivered by the Trustee and issued by the Issuer in the manner and subject to any conditions specified in such Opinion of Counsel, will constitute valid and binding obligations of the Issuer;</w:t>
      </w:r>
    </w:p>
    <w:p>
      <w:pPr>
        <w:spacing w:after="0" w:line="183" w:lineRule="exact"/>
        <w:rPr>
          <w:rFonts w:ascii="Arial" w:cs="Arial" w:eastAsia="Arial" w:hAnsi="Arial"/>
          <w:sz w:val="19"/>
          <w:szCs w:val="19"/>
          <w:color w:val="auto"/>
        </w:rPr>
      </w:pPr>
    </w:p>
    <w:p>
      <w:pPr>
        <w:ind w:left="2420" w:hanging="372"/>
        <w:spacing w:after="0"/>
        <w:tabs>
          <w:tab w:leader="none" w:pos="2420" w:val="left"/>
        </w:tabs>
        <w:numPr>
          <w:ilvl w:val="1"/>
          <w:numId w:val="17"/>
        </w:numPr>
        <w:rPr>
          <w:rFonts w:ascii="Arial" w:cs="Arial" w:eastAsia="Arial" w:hAnsi="Arial"/>
          <w:sz w:val="17"/>
          <w:szCs w:val="17"/>
          <w:color w:val="auto"/>
        </w:rPr>
      </w:pPr>
      <w:r>
        <w:rPr>
          <w:rFonts w:ascii="Arial" w:cs="Arial" w:eastAsia="Arial" w:hAnsi="Arial"/>
          <w:sz w:val="17"/>
          <w:szCs w:val="17"/>
          <w:color w:val="auto"/>
        </w:rPr>
        <w:t>all laws and requirements in respect of the execution and delivery by the Issuer of the Securities have been complied with;</w:t>
      </w:r>
    </w:p>
    <w:p>
      <w:pPr>
        <w:spacing w:after="0" w:line="45" w:lineRule="exact"/>
        <w:rPr>
          <w:rFonts w:ascii="Arial" w:cs="Arial" w:eastAsia="Arial" w:hAnsi="Arial"/>
          <w:sz w:val="17"/>
          <w:szCs w:val="17"/>
          <w:color w:val="auto"/>
        </w:rPr>
      </w:pPr>
    </w:p>
    <w:p>
      <w:pPr>
        <w:ind w:left="1360"/>
        <w:spacing w:after="0"/>
        <w:rPr>
          <w:rFonts w:ascii="Arial" w:cs="Arial" w:eastAsia="Arial" w:hAnsi="Arial"/>
          <w:sz w:val="17"/>
          <w:szCs w:val="17"/>
          <w:color w:val="auto"/>
        </w:rPr>
      </w:pPr>
      <w:r>
        <w:rPr>
          <w:rFonts w:ascii="Arial" w:cs="Arial" w:eastAsia="Arial" w:hAnsi="Arial"/>
          <w:sz w:val="19"/>
          <w:szCs w:val="19"/>
          <w:color w:val="auto"/>
        </w:rPr>
        <w:t>and</w:t>
      </w:r>
    </w:p>
    <w:p>
      <w:pPr>
        <w:spacing w:after="0" w:line="224" w:lineRule="exact"/>
        <w:rPr>
          <w:rFonts w:ascii="Arial" w:cs="Arial" w:eastAsia="Arial" w:hAnsi="Arial"/>
          <w:sz w:val="17"/>
          <w:szCs w:val="17"/>
          <w:color w:val="auto"/>
        </w:rPr>
      </w:pPr>
    </w:p>
    <w:p>
      <w:pPr>
        <w:ind w:left="2420" w:hanging="372"/>
        <w:spacing w:after="0"/>
        <w:tabs>
          <w:tab w:leader="none" w:pos="2420" w:val="left"/>
        </w:tabs>
        <w:numPr>
          <w:ilvl w:val="1"/>
          <w:numId w:val="17"/>
        </w:numPr>
        <w:rPr>
          <w:rFonts w:ascii="Arial" w:cs="Arial" w:eastAsia="Arial" w:hAnsi="Arial"/>
          <w:sz w:val="19"/>
          <w:szCs w:val="19"/>
          <w:color w:val="auto"/>
        </w:rPr>
      </w:pPr>
      <w:r>
        <w:rPr>
          <w:rFonts w:ascii="Arial" w:cs="Arial" w:eastAsia="Arial" w:hAnsi="Arial"/>
          <w:sz w:val="19"/>
          <w:szCs w:val="19"/>
          <w:color w:val="auto"/>
        </w:rPr>
        <w:t>covering such other matters as the Trustee may reasonably request.</w:t>
      </w:r>
    </w:p>
    <w:p>
      <w:pPr>
        <w:spacing w:after="0" w:line="238" w:lineRule="exact"/>
        <w:rPr>
          <w:sz w:val="20"/>
          <w:szCs w:val="20"/>
          <w:color w:val="auto"/>
        </w:rPr>
      </w:pPr>
    </w:p>
    <w:p>
      <w:pPr>
        <w:ind w:right="380" w:firstLine="1369"/>
        <w:spacing w:after="0" w:line="259" w:lineRule="auto"/>
        <w:rPr>
          <w:sz w:val="20"/>
          <w:szCs w:val="20"/>
          <w:color w:val="auto"/>
        </w:rPr>
      </w:pPr>
      <w:r>
        <w:rPr>
          <w:rFonts w:ascii="Arial" w:cs="Arial" w:eastAsia="Arial" w:hAnsi="Arial"/>
          <w:sz w:val="19"/>
          <w:szCs w:val="19"/>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 to existing Holders.</w:t>
      </w:r>
    </w:p>
    <w:p>
      <w:pPr>
        <w:spacing w:after="0" w:line="198" w:lineRule="exact"/>
        <w:rPr>
          <w:sz w:val="20"/>
          <w:szCs w:val="20"/>
          <w:color w:val="auto"/>
        </w:rPr>
      </w:pPr>
    </w:p>
    <w:p>
      <w:pPr>
        <w:ind w:right="60" w:firstLine="1369"/>
        <w:spacing w:after="0" w:line="277"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u w:val="single" w:color="auto"/>
          <w:color w:val="auto"/>
        </w:rPr>
        <w:t>Execution of Securities.</w:t>
      </w:r>
      <w:r>
        <w:rPr>
          <w:rFonts w:ascii="Arial" w:cs="Arial" w:eastAsia="Arial" w:hAnsi="Arial"/>
          <w:sz w:val="18"/>
          <w:szCs w:val="18"/>
          <w:color w:val="auto"/>
        </w:rPr>
        <w:t xml:space="preserve"> The Securities shall be signed on behalf of the Issuer by any officer of the Issuer authorized by the Board to execute such Securities, which Securities may, but need not, be attested. Such signatures may be the manual or facsimile signatures of the present or any future such officers. Typographical and other minor errors or defects in any such reproduction of the seal or any such signature shall not affect the validity or enforceability of any Security that has been duly authenticated and delivered by the Trustee.</w:t>
      </w:r>
    </w:p>
    <w:p>
      <w:pPr>
        <w:spacing w:after="0" w:line="185" w:lineRule="exact"/>
        <w:rPr>
          <w:sz w:val="20"/>
          <w:szCs w:val="20"/>
          <w:color w:val="auto"/>
        </w:rPr>
      </w:pPr>
    </w:p>
    <w:p>
      <w:pPr>
        <w:ind w:firstLine="1369"/>
        <w:spacing w:after="0" w:line="256" w:lineRule="auto"/>
        <w:rPr>
          <w:sz w:val="20"/>
          <w:szCs w:val="20"/>
          <w:color w:val="auto"/>
        </w:rPr>
      </w:pPr>
      <w:r>
        <w:rPr>
          <w:rFonts w:ascii="Arial" w:cs="Arial" w:eastAsia="Arial" w:hAnsi="Arial"/>
          <w:sz w:val="19"/>
          <w:szCs w:val="19"/>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 as, at the actual date of the execution of such Security, shall be a proper officer of the Issuer, although at the date of the execution and delivery of this Indenture any such person was not such an officer.</w:t>
      </w:r>
    </w:p>
    <w:p>
      <w:pPr>
        <w:spacing w:after="0" w:line="204" w:lineRule="exact"/>
        <w:rPr>
          <w:sz w:val="20"/>
          <w:szCs w:val="20"/>
          <w:color w:val="auto"/>
        </w:rPr>
      </w:pPr>
    </w:p>
    <w:p>
      <w:pPr>
        <w:ind w:right="100" w:firstLine="1369"/>
        <w:spacing w:after="0" w:line="298" w:lineRule="auto"/>
        <w:rPr>
          <w:sz w:val="20"/>
          <w:szCs w:val="20"/>
          <w:color w:val="auto"/>
        </w:rPr>
      </w:pPr>
      <w:r>
        <w:rPr>
          <w:rFonts w:ascii="Arial" w:cs="Arial" w:eastAsia="Arial" w:hAnsi="Arial"/>
          <w:sz w:val="17"/>
          <w:szCs w:val="17"/>
          <w:color w:val="auto"/>
        </w:rPr>
        <w:t xml:space="preserve">SECTION 2.06. </w:t>
      </w:r>
      <w:r>
        <w:rPr>
          <w:rFonts w:ascii="Arial" w:cs="Arial" w:eastAsia="Arial" w:hAnsi="Arial"/>
          <w:sz w:val="17"/>
          <w:szCs w:val="17"/>
          <w:u w:val="single" w:color="auto"/>
          <w:color w:val="auto"/>
        </w:rPr>
        <w:t>Certificate of Authorization.</w:t>
      </w:r>
      <w:r>
        <w:rPr>
          <w:rFonts w:ascii="Arial" w:cs="Arial" w:eastAsia="Arial" w:hAnsi="Arial"/>
          <w:sz w:val="17"/>
          <w:szCs w:val="17"/>
          <w:color w:val="auto"/>
        </w:rPr>
        <w:t xml:space="preserve"> Only such Securities as shall bear thereon a certificate of authentication substantially in the form hereinbefore recited, executed by the Trustee by the manual signature of one of its authorized officers,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52" w:name="page53"/>
    <w:bookmarkEnd w:id="52"/>
    <w:p>
      <w:pPr>
        <w:ind w:right="260" w:firstLine="1369"/>
        <w:spacing w:after="0" w:line="294" w:lineRule="auto"/>
        <w:rPr>
          <w:sz w:val="20"/>
          <w:szCs w:val="20"/>
          <w:color w:val="auto"/>
        </w:rPr>
      </w:pPr>
      <w:r>
        <w:rPr>
          <w:rFonts w:ascii="Arial" w:cs="Arial" w:eastAsia="Arial" w:hAnsi="Arial"/>
          <w:sz w:val="17"/>
          <w:szCs w:val="17"/>
          <w:color w:val="auto"/>
        </w:rPr>
        <w:t xml:space="preserve">SECTION 2.07. </w:t>
      </w:r>
      <w:r>
        <w:rPr>
          <w:rFonts w:ascii="Arial" w:cs="Arial" w:eastAsia="Arial" w:hAnsi="Arial"/>
          <w:sz w:val="17"/>
          <w:szCs w:val="17"/>
          <w:u w:val="single" w:color="auto"/>
          <w:color w:val="auto"/>
        </w:rPr>
        <w:t>Denomination and Date of Securities; Payments of Interest.</w:t>
      </w:r>
      <w:r>
        <w:rPr>
          <w:rFonts w:ascii="Arial" w:cs="Arial" w:eastAsia="Arial" w:hAnsi="Arial"/>
          <w:sz w:val="17"/>
          <w:szCs w:val="17"/>
          <w:color w:val="auto"/>
        </w:rPr>
        <w:t xml:space="preserve">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$2,000 and integral multiples of $1,000 in excess thereof. The Securities shall be numbered, lettered or otherwise distinguished in such manner or in accordance with such plan as the officers of the Issuer executing the same may determine with the approval of the Trustee as evidenced by the execution and authentication thereof.</w:t>
      </w:r>
    </w:p>
    <w:p>
      <w:pPr>
        <w:spacing w:after="0" w:line="172" w:lineRule="exact"/>
        <w:rPr>
          <w:sz w:val="20"/>
          <w:szCs w:val="20"/>
          <w:color w:val="auto"/>
        </w:rPr>
      </w:pPr>
    </w:p>
    <w:p>
      <w:pPr>
        <w:ind w:right="20" w:firstLine="1369"/>
        <w:spacing w:after="0" w:line="275" w:lineRule="auto"/>
        <w:rPr>
          <w:sz w:val="20"/>
          <w:szCs w:val="20"/>
          <w:color w:val="auto"/>
        </w:rPr>
      </w:pPr>
      <w:r>
        <w:rPr>
          <w:rFonts w:ascii="Arial" w:cs="Arial" w:eastAsia="Arial" w:hAnsi="Arial"/>
          <w:sz w:val="19"/>
          <w:szCs w:val="19"/>
          <w:color w:val="auto"/>
        </w:rPr>
        <w:t>Each Security shall be dated the date of its authentication, shall bear interest, if any, from the date and shall be payable on the dates, in each case, which shall be specified as contemplated by Section 2.03.</w:t>
      </w:r>
    </w:p>
    <w:p>
      <w:pPr>
        <w:spacing w:after="0" w:line="184" w:lineRule="exact"/>
        <w:rPr>
          <w:sz w:val="20"/>
          <w:szCs w:val="20"/>
          <w:color w:val="auto"/>
        </w:rPr>
      </w:pPr>
    </w:p>
    <w:p>
      <w:pPr>
        <w:ind w:right="40" w:firstLine="1369"/>
        <w:spacing w:after="0" w:line="286" w:lineRule="auto"/>
        <w:rPr>
          <w:sz w:val="20"/>
          <w:szCs w:val="20"/>
          <w:color w:val="auto"/>
        </w:rPr>
      </w:pPr>
      <w:r>
        <w:rPr>
          <w:rFonts w:ascii="Arial" w:cs="Arial" w:eastAsia="Arial" w:hAnsi="Arial"/>
          <w:sz w:val="17"/>
          <w:szCs w:val="17"/>
          <w:color w:val="auto"/>
        </w:rPr>
        <w:t>The person in whose name any Security of any series is registered at the close of business on any record date applicable to a particular series with respect 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â€œ</w:t>
      </w:r>
      <w:r>
        <w:rPr>
          <w:rFonts w:ascii="Arial" w:cs="Arial" w:eastAsia="Arial" w:hAnsi="Arial"/>
          <w:sz w:val="17"/>
          <w:szCs w:val="17"/>
          <w:u w:val="single" w:color="auto"/>
          <w:color w:val="auto"/>
        </w:rPr>
        <w:t>record date</w:t>
      </w:r>
      <w:r>
        <w:rPr>
          <w:rFonts w:ascii="Arial" w:cs="Arial" w:eastAsia="Arial" w:hAnsi="Arial"/>
          <w:sz w:val="17"/>
          <w:szCs w:val="17"/>
          <w:color w:val="auto"/>
        </w:rPr>
        <w:t>â€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81" w:lineRule="exact"/>
        <w:rPr>
          <w:sz w:val="20"/>
          <w:szCs w:val="20"/>
          <w:color w:val="auto"/>
        </w:rPr>
      </w:pPr>
    </w:p>
    <w:p>
      <w:pPr>
        <w:ind w:right="20" w:firstLine="1369"/>
        <w:spacing w:after="0" w:line="298" w:lineRule="auto"/>
        <w:rPr>
          <w:sz w:val="20"/>
          <w:szCs w:val="20"/>
          <w:color w:val="auto"/>
        </w:rPr>
      </w:pPr>
      <w:r>
        <w:rPr>
          <w:rFonts w:ascii="Arial" w:cs="Arial" w:eastAsia="Arial" w:hAnsi="Arial"/>
          <w:sz w:val="17"/>
          <w:szCs w:val="17"/>
          <w:color w:val="auto"/>
        </w:rPr>
        <w:t xml:space="preserve">SECTION 2.08. </w:t>
      </w:r>
      <w:r>
        <w:rPr>
          <w:rFonts w:ascii="Arial" w:cs="Arial" w:eastAsia="Arial" w:hAnsi="Arial"/>
          <w:sz w:val="17"/>
          <w:szCs w:val="17"/>
          <w:u w:val="single" w:color="auto"/>
          <w:color w:val="auto"/>
        </w:rPr>
        <w:t>Regulation, Transfer and Exchange.</w:t>
      </w:r>
      <w:r>
        <w:rPr>
          <w:rFonts w:ascii="Arial" w:cs="Arial" w:eastAsia="Arial" w:hAnsi="Arial"/>
          <w:sz w:val="17"/>
          <w:szCs w:val="17"/>
          <w:color w:val="auto"/>
        </w:rPr>
        <w:t xml:space="preserv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70" w:lineRule="exact"/>
        <w:rPr>
          <w:sz w:val="20"/>
          <w:szCs w:val="20"/>
          <w:color w:val="auto"/>
        </w:rPr>
      </w:pPr>
    </w:p>
    <w:p>
      <w:pPr>
        <w:ind w:right="140" w:firstLine="1369"/>
        <w:spacing w:after="0" w:line="263" w:lineRule="auto"/>
        <w:rPr>
          <w:sz w:val="20"/>
          <w:szCs w:val="20"/>
          <w:color w:val="auto"/>
        </w:rPr>
      </w:pPr>
      <w:r>
        <w:rPr>
          <w:rFonts w:ascii="Arial" w:cs="Arial" w:eastAsia="Arial" w:hAnsi="Arial"/>
          <w:sz w:val="19"/>
          <w:szCs w:val="19"/>
          <w:color w:val="auto"/>
        </w:rPr>
        <w:t>Upon due presentation for registration of transfer of any Security of any series at any such office or agency to be maintained for the purpose as provided in Section 3.02, the Issuer shall execute and the Trustee shall authenticate and deliver in the name of the transferee or transferees a new Security or Securities of the same series in authorized denominations for a like aggregate principal amount.</w:t>
      </w:r>
    </w:p>
    <w:p>
      <w:pPr>
        <w:spacing w:after="0" w:line="194" w:lineRule="exact"/>
        <w:rPr>
          <w:sz w:val="20"/>
          <w:szCs w:val="20"/>
          <w:color w:val="auto"/>
        </w:rPr>
      </w:pPr>
    </w:p>
    <w:p>
      <w:pPr>
        <w:ind w:right="20" w:firstLine="1369"/>
        <w:spacing w:after="0" w:line="256" w:lineRule="auto"/>
        <w:rPr>
          <w:sz w:val="20"/>
          <w:szCs w:val="20"/>
          <w:color w:val="auto"/>
        </w:rPr>
      </w:pPr>
      <w:r>
        <w:rPr>
          <w:rFonts w:ascii="Arial" w:cs="Arial" w:eastAsia="Arial" w:hAnsi="Arial"/>
          <w:sz w:val="19"/>
          <w:szCs w:val="19"/>
          <w:color w:val="auto"/>
        </w:rPr>
        <w:t>Any Security or Securities of any series may be exchanged for a Security or Securities of the same series in other authorized denominations, in an equal aggregate principal amount. Securities of any series to be exchanged shall be surrendered at any office or agency to be maintained by the Issuer for the purpose as provided in Section 3.02, and the Issuer shall execute and the Trustee shall authenticate and deliver in exchange therefor the Security or Securities of the same series which the Securityholder making the exchange shall be entitled to receive, bearing numbers not contemporaneously outstanding.</w:t>
      </w:r>
    </w:p>
    <w:p>
      <w:pPr>
        <w:spacing w:after="0" w:line="204" w:lineRule="exact"/>
        <w:rPr>
          <w:sz w:val="20"/>
          <w:szCs w:val="20"/>
          <w:color w:val="auto"/>
        </w:rPr>
      </w:pPr>
    </w:p>
    <w:p>
      <w:pPr>
        <w:ind w:firstLine="1369"/>
        <w:spacing w:after="0" w:line="263" w:lineRule="auto"/>
        <w:rPr>
          <w:sz w:val="20"/>
          <w:szCs w:val="20"/>
          <w:color w:val="auto"/>
        </w:rPr>
      </w:pPr>
      <w:r>
        <w:rPr>
          <w:rFonts w:ascii="Arial" w:cs="Arial" w:eastAsia="Arial" w:hAnsi="Arial"/>
          <w:sz w:val="19"/>
          <w:szCs w:val="19"/>
          <w:color w:val="auto"/>
        </w:rPr>
        <w:t>All Securities presented for registration of transfer, exchange, redemption or payment shall (if so required by the Issuer or the Trustee) be duly endorsed by, or be accompanied by a written instrument or instruments of transfer in form satisfactory to the Issuer and the Trustee duly executed by, the Holder or his attorney duly authorized in writing.</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53" w:name="page54"/>
    <w:bookmarkEnd w:id="53"/>
    <w:p>
      <w:pPr>
        <w:ind w:right="80" w:firstLine="1369"/>
        <w:spacing w:after="0" w:line="275" w:lineRule="auto"/>
        <w:rPr>
          <w:sz w:val="20"/>
          <w:szCs w:val="20"/>
          <w:color w:val="auto"/>
        </w:rPr>
      </w:pPr>
      <w:r>
        <w:rPr>
          <w:rFonts w:ascii="Arial" w:cs="Arial" w:eastAsia="Arial" w:hAnsi="Arial"/>
          <w:sz w:val="19"/>
          <w:szCs w:val="19"/>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84" w:lineRule="exact"/>
        <w:rPr>
          <w:sz w:val="20"/>
          <w:szCs w:val="20"/>
          <w:color w:val="auto"/>
        </w:rPr>
      </w:pPr>
    </w:p>
    <w:p>
      <w:pPr>
        <w:ind w:right="160" w:firstLine="1369"/>
        <w:spacing w:after="0" w:line="308" w:lineRule="auto"/>
        <w:rPr>
          <w:sz w:val="20"/>
          <w:szCs w:val="20"/>
          <w:color w:val="auto"/>
        </w:rPr>
      </w:pPr>
      <w:r>
        <w:rPr>
          <w:rFonts w:ascii="Arial" w:cs="Arial" w:eastAsia="Arial" w:hAnsi="Arial"/>
          <w:sz w:val="17"/>
          <w:szCs w:val="17"/>
          <w:color w:val="auto"/>
        </w:rPr>
        <w:t>The Issuer shall not be required to exchange or register a transfer of (a) any Securities of any series for a period of 15 days next preceding the first mailing of notice of redemption of Securities of such series to be redeemed, or (b) any Securities selected, called or being called for redemption except, in the case of any Security where notice has been given that such Security is to be redeemed in part, the portion thereof not so to be redeemed.</w:t>
      </w:r>
    </w:p>
    <w:p>
      <w:pPr>
        <w:spacing w:after="0" w:line="160" w:lineRule="exact"/>
        <w:rPr>
          <w:sz w:val="20"/>
          <w:szCs w:val="20"/>
          <w:color w:val="auto"/>
        </w:rPr>
      </w:pPr>
    </w:p>
    <w:p>
      <w:pPr>
        <w:ind w:right="400" w:firstLine="1369"/>
        <w:spacing w:after="0" w:line="275" w:lineRule="auto"/>
        <w:rPr>
          <w:sz w:val="20"/>
          <w:szCs w:val="20"/>
          <w:color w:val="auto"/>
        </w:rPr>
      </w:pPr>
      <w:r>
        <w:rPr>
          <w:rFonts w:ascii="Arial" w:cs="Arial" w:eastAsia="Arial" w:hAnsi="Arial"/>
          <w:sz w:val="19"/>
          <w:szCs w:val="19"/>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84" w:lineRule="exact"/>
        <w:rPr>
          <w:sz w:val="20"/>
          <w:szCs w:val="20"/>
          <w:color w:val="auto"/>
        </w:rPr>
      </w:pPr>
    </w:p>
    <w:p>
      <w:pPr>
        <w:ind w:firstLine="1369"/>
        <w:spacing w:after="0" w:line="289" w:lineRule="auto"/>
        <w:rPr>
          <w:sz w:val="20"/>
          <w:szCs w:val="20"/>
          <w:color w:val="auto"/>
        </w:rPr>
      </w:pPr>
      <w:r>
        <w:rPr>
          <w:rFonts w:ascii="Arial" w:cs="Arial" w:eastAsia="Arial" w:hAnsi="Arial"/>
          <w:sz w:val="17"/>
          <w:szCs w:val="17"/>
          <w:color w:val="auto"/>
        </w:rPr>
        <w:t xml:space="preserve">SECTION 2.09. </w:t>
      </w:r>
      <w:r>
        <w:rPr>
          <w:rFonts w:ascii="Arial" w:cs="Arial" w:eastAsia="Arial" w:hAnsi="Arial"/>
          <w:sz w:val="17"/>
          <w:szCs w:val="17"/>
          <w:u w:val="single" w:color="auto"/>
          <w:color w:val="auto"/>
        </w:rPr>
        <w:t>Mutilated, Defaced, Destroyed, Lost and Stolen Securities.</w:t>
      </w:r>
      <w:r>
        <w:rPr>
          <w:rFonts w:ascii="Arial" w:cs="Arial" w:eastAsia="Arial" w:hAnsi="Arial"/>
          <w:sz w:val="17"/>
          <w:szCs w:val="17"/>
          <w:color w:val="auto"/>
        </w:rPr>
        <w:t xml:space="preserve"> In case any temporary or definitive Security shall become mutilated, defaced or be destroyed, lost or stolen, the Issuer in its discretion may execute, and upon the written request of any officer of the Issuer, the Trustee shall authenticate and deliver, a new Security of the same series, bearing a number not contemporaneously outstanding, in exchange and substitution for the mutilated or defaced Security, or in lieu of and substitution for the Security so destroyed, lost or stolen. In every case the applicant for a substitute Security shall furnish to the Issuer and to the Trustee and any agent of the Issuer or the Trustee such security or indemnity as may be required by them to indemnify and defend and to save each of them harmless and, in every case of destruction, loss or theft, evidence to their satisfaction of the destruction, loss or theft of such Security and of the ownership thereof, and in the case of mutilation or defacement shall surrender the Security to the Trustee or such agent.</w:t>
      </w:r>
    </w:p>
    <w:p>
      <w:pPr>
        <w:spacing w:after="0" w:line="178" w:lineRule="exact"/>
        <w:rPr>
          <w:sz w:val="20"/>
          <w:szCs w:val="20"/>
          <w:color w:val="auto"/>
        </w:rPr>
      </w:pPr>
    </w:p>
    <w:p>
      <w:pPr>
        <w:ind w:right="20" w:firstLine="1369"/>
        <w:spacing w:after="0" w:line="254" w:lineRule="auto"/>
        <w:rPr>
          <w:sz w:val="20"/>
          <w:szCs w:val="20"/>
          <w:color w:val="auto"/>
        </w:rPr>
      </w:pPr>
      <w:r>
        <w:rPr>
          <w:rFonts w:ascii="Arial" w:cs="Arial" w:eastAsia="Arial" w:hAnsi="Arial"/>
          <w:sz w:val="19"/>
          <w:szCs w:val="19"/>
          <w:color w:val="auto"/>
        </w:rPr>
        <w:t>Upon the issuance of any substitute Security, the Issuer may require the payment of a sum sufficient to cover any tax or other governmental charge that may be imposed in relation thereto and any other expenses (including the fees and expenses of the Trustee or its agent)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the Trustee and any agent of the Issuer or the Trustee such security or indemnity as any of them may require to save each of them harmless, and, in every case of destruction, loss or theft, the applicant shall also furnish to the Issuer and the Trustee and any agent of the Issuer or the Trustee evidence to their satisfaction of the destruction, loss or theft of such Security and of the ownership thereof.</w:t>
      </w:r>
    </w:p>
    <w:p>
      <w:pPr>
        <w:spacing w:after="0" w:line="204" w:lineRule="exact"/>
        <w:rPr>
          <w:sz w:val="20"/>
          <w:szCs w:val="20"/>
          <w:color w:val="auto"/>
        </w:rPr>
      </w:pPr>
    </w:p>
    <w:p>
      <w:pPr>
        <w:ind w:right="100" w:firstLine="1369"/>
        <w:spacing w:after="0" w:line="289" w:lineRule="auto"/>
        <w:rPr>
          <w:sz w:val="20"/>
          <w:szCs w:val="20"/>
          <w:color w:val="auto"/>
        </w:rPr>
      </w:pPr>
      <w:r>
        <w:rPr>
          <w:rFonts w:ascii="Arial" w:cs="Arial" w:eastAsia="Arial" w:hAnsi="Arial"/>
          <w:sz w:val="17"/>
          <w:szCs w:val="17"/>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stolen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stolen Securities and shall preclude any and all other rights or remedies notwithstanding any law or statute existing or hereafter enacted to the contrary with respect to the replacement or payment of negotiable instruments or other securities without their surrender.</w:t>
      </w:r>
    </w:p>
    <w:p>
      <w:pPr>
        <w:spacing w:after="0" w:line="178" w:lineRule="exact"/>
        <w:rPr>
          <w:sz w:val="20"/>
          <w:szCs w:val="20"/>
          <w:color w:val="auto"/>
        </w:rPr>
      </w:pPr>
    </w:p>
    <w:p>
      <w:pPr>
        <w:ind w:firstLine="1369"/>
        <w:spacing w:after="0" w:line="256" w:lineRule="auto"/>
        <w:rPr>
          <w:sz w:val="20"/>
          <w:szCs w:val="20"/>
          <w:color w:val="auto"/>
        </w:rPr>
      </w:pPr>
      <w:r>
        <w:rPr>
          <w:rFonts w:ascii="Arial" w:cs="Arial" w:eastAsia="Arial" w:hAnsi="Arial"/>
          <w:sz w:val="19"/>
          <w:szCs w:val="19"/>
          <w:color w:val="auto"/>
        </w:rPr>
        <w:t xml:space="preserve">SECTION 2.10. </w:t>
      </w:r>
      <w:r>
        <w:rPr>
          <w:rFonts w:ascii="Arial" w:cs="Arial" w:eastAsia="Arial" w:hAnsi="Arial"/>
          <w:sz w:val="19"/>
          <w:szCs w:val="19"/>
          <w:u w:val="single" w:color="auto"/>
          <w:color w:val="auto"/>
        </w:rPr>
        <w:t>Cancellation of Securities.</w:t>
      </w:r>
      <w:r>
        <w:rPr>
          <w:rFonts w:ascii="Arial" w:cs="Arial" w:eastAsia="Arial" w:hAnsi="Arial"/>
          <w:sz w:val="19"/>
          <w:szCs w:val="19"/>
          <w:color w:val="auto"/>
        </w:rPr>
        <w:t xml:space="preserve"> All Securities surrendered for payment, redemption,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cancelled by it; and no Securities shall be issued in lieu thereof except as expressly permitted by any of the provisions of this Indenture. The Trustee shall dispose of cancelled Securities held by it in accordance with its procedures for the disposition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54" w:name="page55"/>
    <w:bookmarkEnd w:id="54"/>
    <w:p>
      <w:pPr>
        <w:spacing w:after="0" w:line="177" w:lineRule="exact"/>
        <w:rPr>
          <w:sz w:val="20"/>
          <w:szCs w:val="20"/>
          <w:color w:val="auto"/>
        </w:rPr>
      </w:pPr>
    </w:p>
    <w:p>
      <w:pPr>
        <w:ind w:right="160"/>
        <w:spacing w:after="0" w:line="263" w:lineRule="auto"/>
        <w:rPr>
          <w:sz w:val="20"/>
          <w:szCs w:val="20"/>
          <w:color w:val="auto"/>
        </w:rPr>
      </w:pPr>
      <w:r>
        <w:rPr>
          <w:rFonts w:ascii="Arial" w:cs="Arial" w:eastAsia="Arial" w:hAnsi="Arial"/>
          <w:sz w:val="19"/>
          <w:szCs w:val="19"/>
          <w:color w:val="auto"/>
        </w:rPr>
        <w:t>of cancelled Securities and deliver a certificate of disposition to the Issuer upon its request therefor.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94" w:lineRule="exact"/>
        <w:rPr>
          <w:sz w:val="20"/>
          <w:szCs w:val="20"/>
          <w:color w:val="auto"/>
        </w:rPr>
      </w:pPr>
    </w:p>
    <w:p>
      <w:pPr>
        <w:ind w:right="40" w:firstLine="1369"/>
        <w:spacing w:after="0" w:line="285"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Temporary Securities.</w:t>
      </w:r>
      <w:r>
        <w:rPr>
          <w:rFonts w:ascii="Arial" w:cs="Arial" w:eastAsia="Arial" w:hAnsi="Arial"/>
          <w:sz w:val="17"/>
          <w:szCs w:val="17"/>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 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Holder of temporary Securities of any series shall be entitled to the same benefits under this Indenture as a Holder of definitive Securities of such series unless otherwise established pursuant to Section 2.03.</w:t>
      </w:r>
    </w:p>
    <w:p>
      <w:pPr>
        <w:spacing w:after="0" w:line="181" w:lineRule="exact"/>
        <w:rPr>
          <w:sz w:val="20"/>
          <w:szCs w:val="20"/>
          <w:color w:val="auto"/>
        </w:rPr>
      </w:pPr>
    </w:p>
    <w:p>
      <w:pPr>
        <w:ind w:right="40" w:firstLine="1369"/>
        <w:spacing w:after="0" w:line="294" w:lineRule="auto"/>
        <w:rPr>
          <w:sz w:val="20"/>
          <w:szCs w:val="20"/>
          <w:color w:val="auto"/>
        </w:rPr>
      </w:pPr>
      <w:r>
        <w:rPr>
          <w:rFonts w:ascii="Arial" w:cs="Arial" w:eastAsia="Arial" w:hAnsi="Arial"/>
          <w:sz w:val="17"/>
          <w:szCs w:val="17"/>
          <w:color w:val="auto"/>
        </w:rPr>
        <w:t xml:space="preserve">SECTION 2.12. </w:t>
      </w:r>
      <w:r>
        <w:rPr>
          <w:rFonts w:ascii="Arial" w:cs="Arial" w:eastAsia="Arial" w:hAnsi="Arial"/>
          <w:sz w:val="17"/>
          <w:szCs w:val="17"/>
          <w:u w:val="single" w:color="auto"/>
          <w:color w:val="auto"/>
        </w:rPr>
        <w:t>CUSIP Numbers.</w:t>
      </w:r>
      <w:r>
        <w:rPr>
          <w:rFonts w:ascii="Arial" w:cs="Arial" w:eastAsia="Arial" w:hAnsi="Arial"/>
          <w:sz w:val="17"/>
          <w:szCs w:val="17"/>
          <w:color w:val="auto"/>
        </w:rPr>
        <w:t xml:space="preserve"> The Issuer in issuing the Securities may use â€œCUSIPâ€ numbers (if then generally in use), and, if so, the Trustee shall use â€œCUSIPâ€ numbers in notices of redemption as a convenience to Holders;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promptly notify the Trustee in writing of any change in the â€œCUSIPâ€ numbers.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Covenants of the Issuer and the Trustee</w:t>
      </w:r>
    </w:p>
    <w:p>
      <w:pPr>
        <w:spacing w:after="0" w:line="238" w:lineRule="exact"/>
        <w:rPr>
          <w:sz w:val="20"/>
          <w:szCs w:val="20"/>
          <w:color w:val="auto"/>
        </w:rPr>
      </w:pPr>
    </w:p>
    <w:p>
      <w:pPr>
        <w:ind w:right="40" w:firstLine="1369"/>
        <w:spacing w:after="0" w:line="254" w:lineRule="auto"/>
        <w:rPr>
          <w:sz w:val="20"/>
          <w:szCs w:val="20"/>
          <w:color w:val="auto"/>
        </w:rPr>
      </w:pPr>
      <w:r>
        <w:rPr>
          <w:rFonts w:ascii="Arial" w:cs="Arial" w:eastAsia="Arial" w:hAnsi="Arial"/>
          <w:sz w:val="19"/>
          <w:szCs w:val="19"/>
          <w:color w:val="auto"/>
        </w:rPr>
        <w:t xml:space="preserve">SECTION 3.01. </w:t>
      </w:r>
      <w:r>
        <w:rPr>
          <w:rFonts w:ascii="Arial" w:cs="Arial" w:eastAsia="Arial" w:hAnsi="Arial"/>
          <w:sz w:val="19"/>
          <w:szCs w:val="19"/>
          <w:u w:val="single" w:color="auto"/>
          <w:color w:val="auto"/>
        </w:rPr>
        <w:t>Payment of Principal and Interest.</w:t>
      </w:r>
      <w:r>
        <w:rPr>
          <w:rFonts w:ascii="Arial" w:cs="Arial" w:eastAsia="Arial" w:hAnsi="Arial"/>
          <w:sz w:val="19"/>
          <w:szCs w:val="19"/>
          <w:color w:val="auto"/>
        </w:rPr>
        <w:t xml:space="preserve"> The Issuer covenants and agrees for the benefit of each series of Securities that it will duly and punctually pay or cause to be paid the principal of, and interest on, each of the Securities of such series (together with any additional amounts payable pursuant to the terms of such Securities) at the place or places, at the respective times and in the manner provided in such Securities. Subject to any other provisions that may be established pursuant to Section 2.03, the interest on Securities (together with any additional amounts payable pursuant to the terms of such Securities) shall be payable only to or upon the written order of the Holders thereof and, at the option of the Issuer, may be paid by wire transfer or by mailing checks for such interest payable to or upon the written order of such Holders at their last addresses as they appear on the registry books of the Issuer.</w:t>
      </w:r>
    </w:p>
    <w:p>
      <w:pPr>
        <w:spacing w:after="0" w:line="207" w:lineRule="exact"/>
        <w:rPr>
          <w:sz w:val="20"/>
          <w:szCs w:val="20"/>
          <w:color w:val="auto"/>
        </w:rPr>
      </w:pPr>
    </w:p>
    <w:p>
      <w:pPr>
        <w:ind w:firstLine="1369"/>
        <w:spacing w:after="0" w:line="254" w:lineRule="auto"/>
        <w:rPr>
          <w:sz w:val="20"/>
          <w:szCs w:val="20"/>
          <w:color w:val="auto"/>
        </w:rPr>
      </w:pPr>
      <w:r>
        <w:rPr>
          <w:rFonts w:ascii="Arial" w:cs="Arial" w:eastAsia="Arial" w:hAnsi="Arial"/>
          <w:sz w:val="19"/>
          <w:szCs w:val="19"/>
          <w:color w:val="auto"/>
        </w:rPr>
        <w:t xml:space="preserve">SECTION 3.02. </w:t>
      </w:r>
      <w:r>
        <w:rPr>
          <w:rFonts w:ascii="Arial" w:cs="Arial" w:eastAsia="Arial" w:hAnsi="Arial"/>
          <w:sz w:val="19"/>
          <w:szCs w:val="19"/>
          <w:u w:val="single" w:color="auto"/>
          <w:color w:val="auto"/>
        </w:rPr>
        <w:t>Offices for Payments, etc.</w:t>
      </w:r>
      <w:r>
        <w:rPr>
          <w:rFonts w:ascii="Arial" w:cs="Arial" w:eastAsia="Arial" w:hAnsi="Arial"/>
          <w:sz w:val="19"/>
          <w:szCs w:val="19"/>
          <w:color w:val="auto"/>
        </w:rPr>
        <w:t xml:space="preserve"> So long as any of the Securities remain outstanding, the Issuer will maintain in the Borough of Manhattan, the City of New York, the following for each series: an office or agency (a) where the Securities may be presented for payment, (b) where the Securities may be presented for registration of transfer and for exchange as in this Indenture provided and (c) where notices and demands to or upon the Issuer in respect of the Securities or of this Indenture may be served. The Issuer will give to the Trustee written notice of the location of any such office or agency and of any change of location thereof. Unless otherwise specified in accordance with Section 2.03, the Issuer hereby initially designates the Corporate Trust Office of the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right="20" w:firstLine="1369"/>
        <w:spacing w:after="0" w:line="255" w:lineRule="auto"/>
        <w:rPr>
          <w:sz w:val="20"/>
          <w:szCs w:val="20"/>
          <w:color w:val="auto"/>
        </w:rPr>
      </w:pPr>
      <w:r>
        <w:rPr>
          <w:rFonts w:ascii="Arial" w:cs="Arial" w:eastAsia="Arial" w:hAnsi="Arial"/>
          <w:sz w:val="19"/>
          <w:szCs w:val="19"/>
          <w:color w:val="auto"/>
        </w:rPr>
        <w:t xml:space="preserve">The Issuer may from time to time designate one or more additional offices or agencies where the Securities of a series may be presented for payment, where the Securities of that series may be presented for exchange as provided in this Indenture and pursuant to Section 2.03 and where the Securities of that series may be presented for registration of transfer as provided in this Indenture, and the Issuer may from time to time rescind any such designation, as the Issuer may deem desirable or expedient;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designation or rescission shall in any manner relieve the Issuer of its obligation to maintain the agencies provided for in this Section. The Issuer will give to the Trustee prompt written notice of any such designation or rescission thereof.</w:t>
      </w:r>
    </w:p>
    <w:p>
      <w:pPr>
        <w:spacing w:after="0" w:line="204" w:lineRule="exact"/>
        <w:rPr>
          <w:sz w:val="20"/>
          <w:szCs w:val="20"/>
          <w:color w:val="auto"/>
        </w:rPr>
      </w:pPr>
    </w:p>
    <w:p>
      <w:pPr>
        <w:ind w:right="80" w:firstLine="1369"/>
        <w:spacing w:after="0" w:line="263" w:lineRule="auto"/>
        <w:rPr>
          <w:sz w:val="20"/>
          <w:szCs w:val="20"/>
          <w:color w:val="auto"/>
        </w:rPr>
      </w:pPr>
      <w:r>
        <w:rPr>
          <w:rFonts w:ascii="Arial" w:cs="Arial" w:eastAsia="Arial" w:hAnsi="Arial"/>
          <w:sz w:val="19"/>
          <w:szCs w:val="19"/>
          <w:color w:val="auto"/>
        </w:rPr>
        <w:t xml:space="preserve">SECTION 3.03. </w:t>
      </w:r>
      <w:r>
        <w:rPr>
          <w:rFonts w:ascii="Arial" w:cs="Arial" w:eastAsia="Arial" w:hAnsi="Arial"/>
          <w:sz w:val="19"/>
          <w:szCs w:val="19"/>
          <w:u w:val="single" w:color="auto"/>
          <w:color w:val="auto"/>
        </w:rPr>
        <w:t>Appointment to Fill a Vacancy in Office of Trustee.</w:t>
      </w:r>
      <w:r>
        <w:rPr>
          <w:rFonts w:ascii="Arial" w:cs="Arial" w:eastAsia="Arial" w:hAnsi="Arial"/>
          <w:sz w:val="19"/>
          <w:szCs w:val="19"/>
          <w:color w:val="auto"/>
        </w:rPr>
        <w:t xml:space="preserve"> The Issuer, whenever necessary to avoid or fill a vacancy in the office of the Trustee, will appoint, in the manner provided in Section 5.09, a Trustee, so that there shall at all times be a Trustee with respect to each series of Securities hereunder.</w:t>
      </w:r>
    </w:p>
    <w:p>
      <w:pPr>
        <w:spacing w:after="0" w:line="194" w:lineRule="exact"/>
        <w:rPr>
          <w:sz w:val="20"/>
          <w:szCs w:val="20"/>
          <w:color w:val="auto"/>
        </w:rPr>
      </w:pPr>
    </w:p>
    <w:p>
      <w:pPr>
        <w:jc w:val="both"/>
        <w:ind w:right="120" w:firstLine="1369"/>
        <w:spacing w:after="0" w:line="263" w:lineRule="auto"/>
        <w:rPr>
          <w:sz w:val="20"/>
          <w:szCs w:val="20"/>
          <w:color w:val="auto"/>
        </w:rPr>
      </w:pPr>
      <w:r>
        <w:rPr>
          <w:rFonts w:ascii="Arial" w:cs="Arial" w:eastAsia="Arial" w:hAnsi="Arial"/>
          <w:sz w:val="19"/>
          <w:szCs w:val="19"/>
          <w:color w:val="auto"/>
        </w:rPr>
        <w:t xml:space="preserve">SECTION 3.04. </w:t>
      </w:r>
      <w:r>
        <w:rPr>
          <w:rFonts w:ascii="Arial" w:cs="Arial" w:eastAsia="Arial" w:hAnsi="Arial"/>
          <w:sz w:val="19"/>
          <w:szCs w:val="19"/>
          <w:u w:val="single" w:color="auto"/>
          <w:color w:val="auto"/>
        </w:rPr>
        <w:t>Paying Agents.</w:t>
      </w:r>
      <w:r>
        <w:rPr>
          <w:rFonts w:ascii="Arial" w:cs="Arial" w:eastAsia="Arial" w:hAnsi="Arial"/>
          <w:sz w:val="19"/>
          <w:szCs w:val="19"/>
          <w:color w:val="auto"/>
        </w:rPr>
        <w:t xml:space="preserve">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94" w:lineRule="exact"/>
        <w:rPr>
          <w:sz w:val="20"/>
          <w:szCs w:val="20"/>
          <w:color w:val="auto"/>
        </w:rPr>
      </w:pPr>
    </w:p>
    <w:p>
      <w:pPr>
        <w:ind w:left="680" w:right="160" w:firstLine="683"/>
        <w:spacing w:after="0" w:line="263" w:lineRule="auto"/>
        <w:tabs>
          <w:tab w:leader="none" w:pos="1671"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194" w:lineRule="exact"/>
        <w:rPr>
          <w:rFonts w:ascii="Arial" w:cs="Arial" w:eastAsia="Arial" w:hAnsi="Arial"/>
          <w:sz w:val="19"/>
          <w:szCs w:val="19"/>
          <w:color w:val="auto"/>
        </w:rPr>
      </w:pPr>
    </w:p>
    <w:p>
      <w:pPr>
        <w:ind w:left="680" w:right="380" w:firstLine="683"/>
        <w:spacing w:after="0" w:line="275" w:lineRule="auto"/>
        <w:tabs>
          <w:tab w:leader="none" w:pos="1681" w:val="left"/>
        </w:tabs>
        <w:numPr>
          <w:ilvl w:val="0"/>
          <w:numId w:val="18"/>
        </w:numPr>
        <w:rPr>
          <w:rFonts w:ascii="Arial" w:cs="Arial" w:eastAsia="Arial" w:hAnsi="Arial"/>
          <w:sz w:val="19"/>
          <w:szCs w:val="19"/>
          <w:color w:val="auto"/>
        </w:rPr>
      </w:pPr>
      <w:r>
        <w:rPr>
          <w:rFonts w:ascii="Arial" w:cs="Arial" w:eastAsia="Arial" w:hAnsi="Arial"/>
          <w:sz w:val="19"/>
          <w:szCs w:val="19"/>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ectPr>
          <w:pgSz w:w="12240" w:h="16017" w:orient="portrait"/>
          <w:cols w:equalWidth="0" w:num="1">
            <w:col w:w="12000"/>
          </w:cols>
          <w:pgMar w:left="120" w:top="213" w:right="120" w:bottom="0" w:gutter="0" w:footer="0" w:header="0"/>
        </w:sectPr>
      </w:pPr>
    </w:p>
    <w:bookmarkStart w:id="55" w:name="page56"/>
    <w:bookmarkEnd w:id="55"/>
    <w:p>
      <w:pPr>
        <w:ind w:left="680" w:right="720" w:firstLine="683"/>
        <w:spacing w:after="0" w:line="275" w:lineRule="auto"/>
        <w:tabs>
          <w:tab w:leader="none" w:pos="1671"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that it will pay any such sums so held in trust by it to the Trustee upon the Trusteeâ€™s written request at any time during the continuance of the failure referred to in Section 3.04(b) above.</w:t>
      </w:r>
    </w:p>
    <w:p>
      <w:pPr>
        <w:spacing w:after="0" w:line="184" w:lineRule="exact"/>
        <w:rPr>
          <w:sz w:val="20"/>
          <w:szCs w:val="20"/>
          <w:color w:val="auto"/>
        </w:rPr>
      </w:pPr>
    </w:p>
    <w:p>
      <w:pPr>
        <w:jc w:val="both"/>
        <w:ind w:right="380" w:firstLine="1369"/>
        <w:spacing w:after="0" w:line="263" w:lineRule="auto"/>
        <w:rPr>
          <w:sz w:val="20"/>
          <w:szCs w:val="20"/>
          <w:color w:val="auto"/>
        </w:rPr>
      </w:pPr>
      <w:r>
        <w:rPr>
          <w:rFonts w:ascii="Arial" w:cs="Arial" w:eastAsia="Arial" w:hAnsi="Arial"/>
          <w:sz w:val="19"/>
          <w:szCs w:val="19"/>
          <w:color w:val="auto"/>
        </w:rPr>
        <w:t>The Issuer will, on or prior to 10:00 a.m. New York City time on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94" w:lineRule="exact"/>
        <w:rPr>
          <w:sz w:val="20"/>
          <w:szCs w:val="20"/>
          <w:color w:val="auto"/>
        </w:rPr>
      </w:pPr>
    </w:p>
    <w:p>
      <w:pPr>
        <w:ind w:right="80" w:firstLine="1369"/>
        <w:spacing w:after="0" w:line="284" w:lineRule="auto"/>
        <w:rPr>
          <w:sz w:val="20"/>
          <w:szCs w:val="20"/>
          <w:color w:val="auto"/>
        </w:rPr>
      </w:pPr>
      <w:r>
        <w:rPr>
          <w:rFonts w:ascii="Arial" w:cs="Arial" w:eastAsia="Arial" w:hAnsi="Arial"/>
          <w:sz w:val="18"/>
          <w:szCs w:val="18"/>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78" w:lineRule="exact"/>
        <w:rPr>
          <w:sz w:val="20"/>
          <w:szCs w:val="20"/>
          <w:color w:val="auto"/>
        </w:rPr>
      </w:pPr>
    </w:p>
    <w:p>
      <w:pPr>
        <w:ind w:firstLine="1369"/>
        <w:spacing w:after="0" w:line="259" w:lineRule="auto"/>
        <w:rPr>
          <w:sz w:val="20"/>
          <w:szCs w:val="20"/>
          <w:color w:val="auto"/>
        </w:rPr>
      </w:pPr>
      <w:r>
        <w:rPr>
          <w:rFonts w:ascii="Arial" w:cs="Arial" w:eastAsia="Arial" w:hAnsi="Arial"/>
          <w:sz w:val="19"/>
          <w:szCs w:val="19"/>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198" w:lineRule="exact"/>
        <w:rPr>
          <w:sz w:val="20"/>
          <w:szCs w:val="20"/>
          <w:color w:val="auto"/>
        </w:rPr>
      </w:pPr>
    </w:p>
    <w:p>
      <w:pPr>
        <w:ind w:right="240" w:firstLine="1369"/>
        <w:spacing w:after="0" w:line="275" w:lineRule="auto"/>
        <w:rPr>
          <w:sz w:val="20"/>
          <w:szCs w:val="20"/>
          <w:color w:val="auto"/>
        </w:rPr>
      </w:pPr>
      <w:r>
        <w:rPr>
          <w:rFonts w:ascii="Arial" w:cs="Arial" w:eastAsia="Arial" w:hAnsi="Arial"/>
          <w:sz w:val="19"/>
          <w:szCs w:val="19"/>
          <w:color w:val="auto"/>
        </w:rPr>
        <w:t>Anything in this Section to the contrary notwithstanding, the agreement to hold sums in trust as provided in this Section is subject to the provisions of Section 9.03 and 9.04.</w:t>
      </w:r>
    </w:p>
    <w:p>
      <w:pPr>
        <w:spacing w:after="0" w:line="184" w:lineRule="exact"/>
        <w:rPr>
          <w:sz w:val="20"/>
          <w:szCs w:val="20"/>
          <w:color w:val="auto"/>
        </w:rPr>
      </w:pPr>
    </w:p>
    <w:p>
      <w:pPr>
        <w:ind w:right="160" w:firstLine="1369"/>
        <w:spacing w:after="0" w:line="263" w:lineRule="auto"/>
        <w:rPr>
          <w:sz w:val="20"/>
          <w:szCs w:val="20"/>
          <w:color w:val="auto"/>
        </w:rPr>
      </w:pPr>
      <w:r>
        <w:rPr>
          <w:rFonts w:ascii="Arial" w:cs="Arial" w:eastAsia="Arial" w:hAnsi="Arial"/>
          <w:sz w:val="19"/>
          <w:szCs w:val="19"/>
          <w:color w:val="auto"/>
        </w:rPr>
        <w:t xml:space="preserve">SECTION 3.05. </w:t>
      </w:r>
      <w:r>
        <w:rPr>
          <w:rFonts w:ascii="Arial" w:cs="Arial" w:eastAsia="Arial" w:hAnsi="Arial"/>
          <w:sz w:val="19"/>
          <w:szCs w:val="19"/>
          <w:u w:val="single" w:color="auto"/>
          <w:color w:val="auto"/>
        </w:rPr>
        <w:t>Certificate of the Issuer.</w:t>
      </w:r>
      <w:r>
        <w:rPr>
          <w:rFonts w:ascii="Arial" w:cs="Arial" w:eastAsia="Arial" w:hAnsi="Arial"/>
          <w:sz w:val="19"/>
          <w:szCs w:val="19"/>
          <w:color w:val="auto"/>
        </w:rPr>
        <w:t xml:space="preserve"> The Issuer will furnish to the Trustee on or before [ ] in each year (beginning with [ ]) an Officersâ€™ Certificate of the Issuer as to the signersâ€™ knowledge of the Issuerâ€™s compliance with all conditions and covenants under the Indenture (such</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13" w:right="160" w:bottom="1440" w:gutter="0" w:footer="0" w:header="0"/>
        </w:sectPr>
      </w:pPr>
    </w:p>
    <w:bookmarkStart w:id="56" w:name="page57"/>
    <w:bookmarkEnd w:id="56"/>
    <w:p>
      <w:pPr>
        <w:ind w:right="260"/>
        <w:spacing w:after="0" w:line="308" w:lineRule="auto"/>
        <w:rPr>
          <w:sz w:val="20"/>
          <w:szCs w:val="20"/>
          <w:color w:val="auto"/>
        </w:rPr>
      </w:pPr>
      <w:r>
        <w:rPr>
          <w:rFonts w:ascii="Arial" w:cs="Arial" w:eastAsia="Arial" w:hAnsi="Arial"/>
          <w:sz w:val="17"/>
          <w:szCs w:val="17"/>
          <w:color w:val="auto"/>
        </w:rPr>
        <w:t>compliance to be determined without regard to any period of grace or requirement of notice provided under the Indenture). In the event an officer of the Issuer comes to have actual knowledge of an Event of Default or an event which, with notice or the lapse of time or both, would constitute an Event of Default, regardless of the date, the Issuer shall deliver an Officersâ€™ Certificate to the Trustee specifying such Default and the nature and status thereof.</w:t>
      </w:r>
    </w:p>
    <w:p>
      <w:pPr>
        <w:spacing w:after="0" w:line="160" w:lineRule="exact"/>
        <w:rPr>
          <w:sz w:val="20"/>
          <w:szCs w:val="20"/>
          <w:color w:val="auto"/>
        </w:rPr>
      </w:pPr>
    </w:p>
    <w:p>
      <w:pPr>
        <w:ind w:right="40" w:firstLine="1369"/>
        <w:spacing w:after="0" w:line="272" w:lineRule="auto"/>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u w:val="single" w:color="auto"/>
          <w:color w:val="auto"/>
        </w:rPr>
        <w:t>Securityholders Lists.</w:t>
      </w:r>
      <w:r>
        <w:rPr>
          <w:rFonts w:ascii="Arial" w:cs="Arial" w:eastAsia="Arial" w:hAnsi="Arial"/>
          <w:sz w:val="18"/>
          <w:szCs w:val="18"/>
          <w:color w:val="auto"/>
        </w:rPr>
        <w:t xml:space="preserve">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15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15 days prior to the time such information is furnished.</w:t>
      </w:r>
    </w:p>
    <w:p>
      <w:pPr>
        <w:spacing w:after="0" w:line="190" w:lineRule="exact"/>
        <w:rPr>
          <w:sz w:val="20"/>
          <w:szCs w:val="20"/>
          <w:color w:val="auto"/>
        </w:rPr>
      </w:pPr>
    </w:p>
    <w:p>
      <w:pPr>
        <w:ind w:firstLine="1369"/>
        <w:spacing w:after="0" w:line="255" w:lineRule="auto"/>
        <w:rPr>
          <w:sz w:val="20"/>
          <w:szCs w:val="20"/>
          <w:color w:val="auto"/>
        </w:rPr>
      </w:pPr>
      <w:r>
        <w:rPr>
          <w:rFonts w:ascii="Arial" w:cs="Arial" w:eastAsia="Arial" w:hAnsi="Arial"/>
          <w:sz w:val="19"/>
          <w:szCs w:val="19"/>
          <w:color w:val="auto"/>
        </w:rPr>
        <w:t xml:space="preserve">SECTION 3.07. </w:t>
      </w:r>
      <w:r>
        <w:rPr>
          <w:rFonts w:ascii="Arial" w:cs="Arial" w:eastAsia="Arial" w:hAnsi="Arial"/>
          <w:sz w:val="19"/>
          <w:szCs w:val="19"/>
          <w:u w:val="single" w:color="auto"/>
          <w:color w:val="auto"/>
        </w:rPr>
        <w:t>Reports by the Issuer.</w:t>
      </w:r>
      <w:r>
        <w:rPr>
          <w:rFonts w:ascii="Arial" w:cs="Arial" w:eastAsia="Arial" w:hAnsi="Arial"/>
          <w:sz w:val="19"/>
          <w:szCs w:val="19"/>
          <w:color w:val="auto"/>
        </w:rPr>
        <w:t xml:space="preserve"> The Issuer covenants to file with the Trustee, within 15 days after the Issuer files the same with the Commission, copies of the annual reports and of the information, documents, and other reports that the Issuer may be required to file with the Commission pursuant to Section 13 or Section 15(d) of the Securities Exchange Act of 1934. Delivery of such reports, information and documents to the Trustee is for informational purposes only and the Trusteeâ€™s receipt of such shall not constitute constructive notice of any information contained therein or determinable from information contained therein, including the Issuerâ€™s compliance with any of its covenants hereunder (as to which the Trustee is entitled to rely exclusively on Officersâ€™ Certificates).</w:t>
      </w:r>
    </w:p>
    <w:p>
      <w:pPr>
        <w:spacing w:after="0" w:line="204" w:lineRule="exact"/>
        <w:rPr>
          <w:sz w:val="20"/>
          <w:szCs w:val="20"/>
          <w:color w:val="auto"/>
        </w:rPr>
      </w:pPr>
    </w:p>
    <w:p>
      <w:pPr>
        <w:jc w:val="both"/>
        <w:ind w:right="140" w:firstLine="1369"/>
        <w:spacing w:after="0" w:line="259" w:lineRule="auto"/>
        <w:rPr>
          <w:sz w:val="20"/>
          <w:szCs w:val="20"/>
          <w:color w:val="auto"/>
        </w:rPr>
      </w:pPr>
      <w:r>
        <w:rPr>
          <w:rFonts w:ascii="Arial" w:cs="Arial" w:eastAsia="Arial" w:hAnsi="Arial"/>
          <w:sz w:val="19"/>
          <w:szCs w:val="19"/>
          <w:color w:val="auto"/>
        </w:rPr>
        <w:t xml:space="preserve">SECTION 3.08. </w:t>
      </w:r>
      <w:r>
        <w:rPr>
          <w:rFonts w:ascii="Arial" w:cs="Arial" w:eastAsia="Arial" w:hAnsi="Arial"/>
          <w:sz w:val="19"/>
          <w:szCs w:val="19"/>
          <w:u w:val="single" w:color="auto"/>
          <w:color w:val="auto"/>
        </w:rPr>
        <w:t>Reports by the Trustee.</w:t>
      </w:r>
      <w:r>
        <w:rPr>
          <w:rFonts w:ascii="Arial" w:cs="Arial" w:eastAsia="Arial" w:hAnsi="Arial"/>
          <w:sz w:val="19"/>
          <w:szCs w:val="19"/>
          <w:color w:val="auto"/>
        </w:rPr>
        <w:t xml:space="preserve"> Any Trusteeâ€™s report required under Section 313(a) of the Trust Indenture Act of 1939 shall be transmitted on or before [ ] in each year following the date hereof, so long as any Securities are outstanding hereunder, and shall be dated as of a date convenient to the Trustee no more than 60 nor less than 45 days prior thereto. The Trustee shall also comply with Section 313(b) of the Trust Indenture Act of 1939.</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4</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9"/>
          <w:szCs w:val="19"/>
          <w:u w:val="single" w:color="auto"/>
          <w:color w:val="auto"/>
        </w:rPr>
        <w:t>Remedies of the Trustee and Securityholders on Event of Default</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 xml:space="preserve">SECTION 4.01. </w:t>
      </w:r>
      <w:r>
        <w:rPr>
          <w:rFonts w:ascii="Arial" w:cs="Arial" w:eastAsia="Arial" w:hAnsi="Arial"/>
          <w:sz w:val="19"/>
          <w:szCs w:val="19"/>
          <w:u w:val="single" w:color="auto"/>
          <w:color w:val="auto"/>
        </w:rPr>
        <w:t>Event of Default; Acceleration of Maturity; Waiver of Default.</w:t>
      </w:r>
      <w:r>
        <w:rPr>
          <w:rFonts w:ascii="Arial" w:cs="Arial" w:eastAsia="Arial" w:hAnsi="Arial"/>
          <w:sz w:val="19"/>
          <w:szCs w:val="19"/>
          <w:color w:val="auto"/>
        </w:rPr>
        <w:t xml:space="preserve"> Unless otherwise established in accordance with</w:t>
      </w:r>
    </w:p>
    <w:p>
      <w:pPr>
        <w:spacing w:after="0" w:line="23" w:lineRule="exact"/>
        <w:rPr>
          <w:sz w:val="20"/>
          <w:szCs w:val="20"/>
          <w:color w:val="auto"/>
        </w:rPr>
      </w:pPr>
    </w:p>
    <w:p>
      <w:pPr>
        <w:spacing w:after="0"/>
        <w:tabs>
          <w:tab w:leader="none" w:pos="6360" w:val="left"/>
        </w:tabs>
        <w:rPr>
          <w:sz w:val="20"/>
          <w:szCs w:val="20"/>
          <w:color w:val="auto"/>
        </w:rPr>
      </w:pPr>
      <w:r>
        <w:rPr>
          <w:rFonts w:ascii="Arial" w:cs="Arial" w:eastAsia="Arial" w:hAnsi="Arial"/>
          <w:sz w:val="19"/>
          <w:szCs w:val="19"/>
          <w:color w:val="auto"/>
        </w:rPr>
        <w:t>Section 2.03 or by any applicable supplemental indenture, â€œEvent of Defaultâ€</w:t>
      </w:r>
      <w:r>
        <w:rPr>
          <w:sz w:val="20"/>
          <w:szCs w:val="20"/>
          <w:color w:val="auto"/>
        </w:rPr>
        <w:tab/>
      </w:r>
      <w:r>
        <w:rPr>
          <w:rFonts w:ascii="Arial" w:cs="Arial" w:eastAsia="Arial" w:hAnsi="Arial"/>
          <w:sz w:val="16"/>
          <w:szCs w:val="16"/>
          <w:color w:val="auto"/>
        </w:rPr>
        <w:t>with respect to Securities of any series wherever used herein, means each</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one of the following events which shall have occurred and be continuing (whatever the reason for such Event of Default and whether it shall be voluntary or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involuntary or be effected by operation of law or pursuant to any judgment, decree or order of any court or any order, rule or regulation of any administrative</w:t>
      </w:r>
    </w:p>
    <w:p>
      <w:pPr>
        <w:spacing w:after="0" w:line="33" w:lineRule="exact"/>
        <w:rPr>
          <w:sz w:val="20"/>
          <w:szCs w:val="20"/>
          <w:color w:val="auto"/>
        </w:rPr>
      </w:pPr>
    </w:p>
    <w:p>
      <w:pPr>
        <w:spacing w:after="0"/>
        <w:rPr>
          <w:sz w:val="20"/>
          <w:szCs w:val="20"/>
          <w:color w:val="auto"/>
        </w:rPr>
      </w:pPr>
      <w:r>
        <w:rPr>
          <w:rFonts w:ascii="Arial" w:cs="Arial" w:eastAsia="Arial" w:hAnsi="Arial"/>
          <w:sz w:val="19"/>
          <w:szCs w:val="19"/>
          <w:color w:val="auto"/>
        </w:rPr>
        <w:t>or governmental body):</w:t>
      </w:r>
    </w:p>
    <w:p>
      <w:pPr>
        <w:spacing w:after="0" w:line="225" w:lineRule="exact"/>
        <w:rPr>
          <w:sz w:val="20"/>
          <w:szCs w:val="20"/>
          <w:color w:val="auto"/>
        </w:rPr>
      </w:pPr>
    </w:p>
    <w:p>
      <w:pPr>
        <w:ind w:left="1660" w:hanging="297"/>
        <w:spacing w:after="0"/>
        <w:tabs>
          <w:tab w:leader="none" w:pos="1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default for more than 30 days in the payment of interest, premium or principal in respect of the Securities; or</w:t>
      </w:r>
    </w:p>
    <w:p>
      <w:pPr>
        <w:spacing w:after="0" w:line="237" w:lineRule="exact"/>
        <w:rPr>
          <w:rFonts w:ascii="Arial" w:cs="Arial" w:eastAsia="Arial" w:hAnsi="Arial"/>
          <w:sz w:val="19"/>
          <w:szCs w:val="19"/>
          <w:color w:val="auto"/>
        </w:rPr>
      </w:pPr>
    </w:p>
    <w:p>
      <w:pPr>
        <w:ind w:left="680" w:right="460" w:firstLine="683"/>
        <w:spacing w:after="0" w:line="275" w:lineRule="auto"/>
        <w:tabs>
          <w:tab w:leader="none" w:pos="1681"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failure to perform or observe any other obligations under the Securities which failure continues for the period of 60 days next following service on the Issuer of notice requiring the same to be remedied; or</w:t>
      </w:r>
    </w:p>
    <w:p>
      <w:pPr>
        <w:spacing w:after="0" w:line="183" w:lineRule="exact"/>
        <w:rPr>
          <w:rFonts w:ascii="Arial" w:cs="Arial" w:eastAsia="Arial" w:hAnsi="Arial"/>
          <w:sz w:val="19"/>
          <w:szCs w:val="19"/>
          <w:color w:val="auto"/>
        </w:rPr>
      </w:pPr>
    </w:p>
    <w:p>
      <w:pPr>
        <w:ind w:left="1660" w:hanging="297"/>
        <w:spacing w:after="0"/>
        <w:tabs>
          <w:tab w:leader="none" w:pos="1660" w:val="left"/>
        </w:tabs>
        <w:numPr>
          <w:ilvl w:val="0"/>
          <w:numId w:val="20"/>
        </w:numPr>
        <w:rPr>
          <w:rFonts w:ascii="Arial" w:cs="Arial" w:eastAsia="Arial" w:hAnsi="Arial"/>
          <w:sz w:val="19"/>
          <w:szCs w:val="19"/>
          <w:color w:val="auto"/>
        </w:rPr>
      </w:pPr>
      <w:r>
        <w:rPr>
          <w:rFonts w:ascii="Arial" w:cs="Arial" w:eastAsia="Arial" w:hAnsi="Arial"/>
          <w:sz w:val="19"/>
          <w:szCs w:val="19"/>
          <w:color w:val="auto"/>
        </w:rPr>
        <w:t>the entry by a court having jurisdiction in the premises of:</w:t>
      </w:r>
    </w:p>
    <w:p>
      <w:pPr>
        <w:spacing w:after="0" w:line="238" w:lineRule="exact"/>
        <w:rPr>
          <w:sz w:val="20"/>
          <w:szCs w:val="20"/>
          <w:color w:val="auto"/>
        </w:rPr>
      </w:pPr>
    </w:p>
    <w:p>
      <w:pPr>
        <w:ind w:left="1360" w:right="20" w:firstLine="688"/>
        <w:spacing w:after="0" w:line="275" w:lineRule="auto"/>
        <w:tabs>
          <w:tab w:leader="none" w:pos="2319" w:val="left"/>
        </w:tabs>
        <w:numPr>
          <w:ilvl w:val="0"/>
          <w:numId w:val="21"/>
        </w:numPr>
        <w:rPr>
          <w:rFonts w:ascii="Arial" w:cs="Arial" w:eastAsia="Arial" w:hAnsi="Arial"/>
          <w:sz w:val="19"/>
          <w:szCs w:val="19"/>
          <w:color w:val="auto"/>
        </w:rPr>
      </w:pPr>
      <w:r>
        <w:rPr>
          <w:rFonts w:ascii="Arial" w:cs="Arial" w:eastAsia="Arial" w:hAnsi="Arial"/>
          <w:sz w:val="19"/>
          <w:szCs w:val="19"/>
          <w:color w:val="auto"/>
        </w:rPr>
        <w:t>a decree or order for relief in respect of the Issuer in an involuntary case or proceeding under any applicable U.S. federal, state or non-U.S. bankruptcy, insolvency, reorganization or other similar law; or</w:t>
      </w:r>
    </w:p>
    <w:p>
      <w:pPr>
        <w:spacing w:after="0" w:line="18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13" w:right="160" w:bottom="1440" w:gutter="0" w:footer="0" w:header="0"/>
        </w:sectPr>
      </w:pPr>
    </w:p>
    <w:bookmarkStart w:id="57" w:name="page58"/>
    <w:bookmarkEnd w:id="57"/>
    <w:p>
      <w:pPr>
        <w:ind w:left="1360" w:firstLine="688"/>
        <w:spacing w:after="0" w:line="274" w:lineRule="auto"/>
        <w:tabs>
          <w:tab w:leader="none" w:pos="2372" w:val="left"/>
        </w:tabs>
        <w:numPr>
          <w:ilvl w:val="1"/>
          <w:numId w:val="22"/>
        </w:numPr>
        <w:rPr>
          <w:rFonts w:ascii="Arial" w:cs="Arial" w:eastAsia="Arial" w:hAnsi="Arial"/>
          <w:sz w:val="18"/>
          <w:szCs w:val="18"/>
          <w:color w:val="auto"/>
        </w:rPr>
      </w:pPr>
      <w:r>
        <w:rPr>
          <w:rFonts w:ascii="Arial" w:cs="Arial" w:eastAsia="Arial" w:hAnsi="Arial"/>
          <w:sz w:val="18"/>
          <w:szCs w:val="18"/>
          <w:color w:val="auto"/>
        </w:rPr>
        <w:t>a decree or order adjudging the Issuer a bankrupt or insolvent, or approving as properly filed a petition seeking reorganization, arrangement, adjustment or composition of or in respect of the Issuer under any applicable U.S. federal, state or non-U.S. law, or appointing a custodian, receiver, liquidator, assignee, trustee, sequestrator or other similar official of the Issuer or of any substantial part of its property, or ordering the winding up or liquidation of its affairs, and the continuance of any such decree or order for relief or any such other decree or order unstayed and in effect for a period of 60 consecutive days; or</w:t>
      </w:r>
    </w:p>
    <w:p>
      <w:pPr>
        <w:spacing w:after="0" w:line="187" w:lineRule="exact"/>
        <w:rPr>
          <w:rFonts w:ascii="Arial" w:cs="Arial" w:eastAsia="Arial" w:hAnsi="Arial"/>
          <w:sz w:val="18"/>
          <w:szCs w:val="18"/>
          <w:color w:val="auto"/>
        </w:rPr>
      </w:pPr>
    </w:p>
    <w:p>
      <w:pPr>
        <w:ind w:left="680" w:right="80" w:firstLine="683"/>
        <w:spacing w:after="0" w:line="287" w:lineRule="auto"/>
        <w:tabs>
          <w:tab w:leader="none" w:pos="1681"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commencement by the Issuer of a voluntary case or proceeding under any applicable U.S. federal, state or non-U.S. bankruptcy, insolvency, reorganization or other similar law or of any other case or proceeding to be adjudicated a bankrupt or insolvent, or the consent by the Issuer to the entry of a decree or order for relief in respect of the Issuer in an involuntary case or proceeding under any applicable U.S. federal, state or non-U.S. bankruptcy, insolvency, reorganization or other similar law or to the commencement of any bankruptcy or insolvency case or proceeding against the Issuer, or the filing by the Issuer of a petition or answer or consent seeking reorganization or relief under any applicable U.S. federal, state or non-U.S. law, or the consent by the Issuer to the filing of such petition or to the appointment of or the taking possession by a custodian, receiver, liquidator, assignee, trustee, sequestrator or other similar official of the Issuer or of any substantial part of its property, or the making by the Issuer of an assignment for the benefit of creditors, or the admission by the Issuer in writing of its inability to pay its debts generally as they become due, or the taking of corporate action by the Issuer expressly in furtherance of any such action; or</w:t>
      </w:r>
    </w:p>
    <w:p>
      <w:pPr>
        <w:spacing w:after="0" w:line="177" w:lineRule="exact"/>
        <w:rPr>
          <w:rFonts w:ascii="Arial" w:cs="Arial" w:eastAsia="Arial" w:hAnsi="Arial"/>
          <w:sz w:val="17"/>
          <w:szCs w:val="17"/>
          <w:color w:val="auto"/>
        </w:rPr>
      </w:pPr>
    </w:p>
    <w:p>
      <w:pPr>
        <w:ind w:left="680" w:right="220" w:firstLine="683"/>
        <w:spacing w:after="0" w:line="275" w:lineRule="auto"/>
        <w:tabs>
          <w:tab w:leader="none" w:pos="1671" w:val="left"/>
        </w:tabs>
        <w:numPr>
          <w:ilvl w:val="0"/>
          <w:numId w:val="23"/>
        </w:numPr>
        <w:rPr>
          <w:rFonts w:ascii="Arial" w:cs="Arial" w:eastAsia="Arial" w:hAnsi="Arial"/>
          <w:sz w:val="19"/>
          <w:szCs w:val="19"/>
          <w:color w:val="auto"/>
        </w:rPr>
      </w:pPr>
      <w:r>
        <w:rPr>
          <w:rFonts w:ascii="Arial" w:cs="Arial" w:eastAsia="Arial" w:hAnsi="Arial"/>
          <w:sz w:val="19"/>
          <w:szCs w:val="19"/>
          <w:color w:val="auto"/>
        </w:rPr>
        <w:t>any other Event of Default provided in the supplemental indenture or resolution of the Board under which such series of Securities is issued or in the form of Security for such series.</w:t>
      </w:r>
    </w:p>
    <w:p>
      <w:pPr>
        <w:spacing w:after="0" w:line="184" w:lineRule="exact"/>
        <w:rPr>
          <w:sz w:val="20"/>
          <w:szCs w:val="20"/>
          <w:color w:val="auto"/>
        </w:rPr>
      </w:pPr>
    </w:p>
    <w:p>
      <w:pPr>
        <w:ind w:right="40" w:firstLine="1369"/>
        <w:spacing w:after="0" w:line="282" w:lineRule="auto"/>
        <w:rPr>
          <w:sz w:val="20"/>
          <w:szCs w:val="20"/>
          <w:color w:val="auto"/>
        </w:rPr>
      </w:pPr>
      <w:r>
        <w:rPr>
          <w:rFonts w:ascii="Arial" w:cs="Arial" w:eastAsia="Arial" w:hAnsi="Arial"/>
          <w:sz w:val="17"/>
          <w:szCs w:val="17"/>
          <w:color w:val="auto"/>
        </w:rPr>
        <w:t>Unless otherwise set forth in any applicable supplemental indenture, if an Event of Default described in Sections 4.01(a), 4.01(b), or 4.01(e) above (if the Event of Default under Sections 4.01(b) or 4.01(e) is with respect to less than all series of Securities then Outstanding) occurs and is continuing, then, and in each and every such case, except for any series the principal of which shall have already become due and payable, either the Trustee or the Holders of not less than 25% in aggregate principal amount of the Securities of all series affected thereby then Outstanding hereunder (treated as one class) by notice in writing to the Issuer (and to the Trustee if given by Securityholders), may declare the entire principal (or, if the Securities of any such affected series are Original Issue Discount Securities, such portion of the principal amount as may be specified in the terms of such series) of all Securities of such affected series and the interest accrued thereon, if any, to be due and payable immediately, and upon any such declaration the same shall become immediately due and payable. Unless otherwise set forth in any applicable supplemental indenture, if an Event of Default described in Sections 4.01(b) or</w:t>
      </w:r>
    </w:p>
    <w:p>
      <w:pPr>
        <w:spacing w:after="0" w:line="1" w:lineRule="exact"/>
        <w:rPr>
          <w:sz w:val="20"/>
          <w:szCs w:val="20"/>
          <w:color w:val="auto"/>
        </w:rPr>
      </w:pPr>
    </w:p>
    <w:p>
      <w:pPr>
        <w:ind w:right="20"/>
        <w:spacing w:after="0" w:line="285" w:lineRule="auto"/>
        <w:rPr>
          <w:sz w:val="20"/>
          <w:szCs w:val="20"/>
          <w:color w:val="auto"/>
        </w:rPr>
      </w:pPr>
      <w:r>
        <w:rPr>
          <w:rFonts w:ascii="Arial" w:cs="Arial" w:eastAsia="Arial" w:hAnsi="Arial"/>
          <w:sz w:val="17"/>
          <w:szCs w:val="17"/>
          <w:color w:val="auto"/>
        </w:rPr>
        <w:t>4.01(e) (if the Event of Default under Sections 4.01(b) or 4.01(e) is with respect to all series of Securities at the time Outstanding) occurs and is continuing, then and in each and every such case, unless the principal of all the Securities shall have already become due and payable, either the Trustee or the Holders of not less than 25% in aggregate principal amount of all the then Outstanding Securities hereunder (treated as one class) for which any applicable supplemental indenture does not prevent acceleration under the relevant circumstances, by notice in writing to the Issuer (and to the Trustee if given by Securityholders), may declare the entire principal (or, if any Securities are Original Issue Discount Securities, such portion of the principal as may be specified in the terms thereof) of all the Securities then Outstanding and interest accrued thereon, if any, to be due and payable immediately, and upon any such declaration the same shall become immediately due and payable. Unless otherwise set forth in any applicable supplemental indenture, if an Event of Default described in Sections 4.01(c) or 4.01(d) occurs, then the principal and accrued and unpaid interest, and premium of any, with respect to any Securities then Outstanding shall ipso facto become and be immediately due and payable without any declaration or other act on the part of the Trustee or any Holder.</w:t>
      </w:r>
    </w:p>
    <w:p>
      <w:pPr>
        <w:spacing w:after="0" w:line="179" w:lineRule="exact"/>
        <w:rPr>
          <w:sz w:val="20"/>
          <w:szCs w:val="20"/>
          <w:color w:val="auto"/>
        </w:rPr>
      </w:pPr>
    </w:p>
    <w:p>
      <w:pPr>
        <w:ind w:right="40" w:firstLine="1369"/>
        <w:spacing w:after="0" w:line="275" w:lineRule="auto"/>
        <w:rPr>
          <w:sz w:val="20"/>
          <w:szCs w:val="20"/>
          <w:color w:val="auto"/>
        </w:rPr>
      </w:pPr>
      <w:r>
        <w:rPr>
          <w:rFonts w:ascii="Arial" w:cs="Arial" w:eastAsia="Arial" w:hAnsi="Arial"/>
          <w:sz w:val="19"/>
          <w:szCs w:val="19"/>
          <w:color w:val="auto"/>
        </w:rPr>
        <w:t>The foregoing provisions, however, are subject to the condition that if, at any time after the principal (or, if the Securities are Original Issue Discount Securities, such portion of the principal as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58" w:name="page59"/>
    <w:bookmarkEnd w:id="58"/>
    <w:p>
      <w:pPr>
        <w:ind w:right="20"/>
        <w:spacing w:after="0" w:line="267" w:lineRule="auto"/>
        <w:rPr>
          <w:sz w:val="20"/>
          <w:szCs w:val="20"/>
          <w:color w:val="auto"/>
        </w:rPr>
      </w:pPr>
      <w:r>
        <w:rPr>
          <w:rFonts w:ascii="Arial" w:cs="Arial" w:eastAsia="Arial" w:hAnsi="Arial"/>
          <w:sz w:val="18"/>
          <w:szCs w:val="18"/>
          <w:color w:val="auto"/>
        </w:rPr>
        <w:t>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 then and in every such case the Holders of a majority in aggregate principal amount of all the Securities of each such series (or of all the Securities, as the case may be) then Outstanding (in each case treated as one class), by written notice to the Issuer and to the Trustee, may waive all defaults with respect to each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197" w:lineRule="exact"/>
        <w:rPr>
          <w:sz w:val="20"/>
          <w:szCs w:val="20"/>
          <w:color w:val="auto"/>
        </w:rPr>
      </w:pPr>
    </w:p>
    <w:p>
      <w:pPr>
        <w:ind w:right="60" w:firstLine="1369"/>
        <w:spacing w:after="0" w:line="255" w:lineRule="auto"/>
        <w:rPr>
          <w:sz w:val="20"/>
          <w:szCs w:val="20"/>
          <w:color w:val="auto"/>
        </w:rPr>
      </w:pPr>
      <w:r>
        <w:rPr>
          <w:rFonts w:ascii="Arial" w:cs="Arial" w:eastAsia="Arial" w:hAnsi="Arial"/>
          <w:sz w:val="19"/>
          <w:szCs w:val="19"/>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204" w:lineRule="exact"/>
        <w:rPr>
          <w:sz w:val="20"/>
          <w:szCs w:val="20"/>
          <w:color w:val="auto"/>
        </w:rPr>
      </w:pPr>
    </w:p>
    <w:p>
      <w:pPr>
        <w:ind w:firstLine="1369"/>
        <w:spacing w:after="0" w:line="285" w:lineRule="auto"/>
        <w:rPr>
          <w:sz w:val="20"/>
          <w:szCs w:val="20"/>
          <w:color w:val="auto"/>
        </w:rPr>
      </w:pPr>
      <w:r>
        <w:rPr>
          <w:rFonts w:ascii="Arial" w:cs="Arial" w:eastAsia="Arial" w:hAnsi="Arial"/>
          <w:sz w:val="17"/>
          <w:szCs w:val="17"/>
          <w:color w:val="auto"/>
        </w:rPr>
        <w:t xml:space="preserve">SECTION 4.02. </w:t>
      </w:r>
      <w:r>
        <w:rPr>
          <w:rFonts w:ascii="Arial" w:cs="Arial" w:eastAsia="Arial" w:hAnsi="Arial"/>
          <w:sz w:val="17"/>
          <w:szCs w:val="17"/>
          <w:u w:val="single" w:color="auto"/>
          <w:color w:val="auto"/>
        </w:rPr>
        <w:t>Collection of Indebtedness by Trustee; Trustee May Prove Debt.</w:t>
      </w:r>
      <w:r>
        <w:rPr>
          <w:rFonts w:ascii="Arial" w:cs="Arial" w:eastAsia="Arial" w:hAnsi="Arial"/>
          <w:sz w:val="17"/>
          <w:szCs w:val="17"/>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attorneys and counsel, and any expenses and liabilities incurred, and all advances made, by the Trustee and each predecessor trustee except as a result of its negligence or bad faith.</w:t>
      </w:r>
    </w:p>
    <w:p>
      <w:pPr>
        <w:spacing w:after="0" w:line="185" w:lineRule="exact"/>
        <w:rPr>
          <w:sz w:val="20"/>
          <w:szCs w:val="20"/>
          <w:color w:val="auto"/>
        </w:rPr>
      </w:pPr>
    </w:p>
    <w:p>
      <w:pPr>
        <w:ind w:right="280" w:firstLine="1369"/>
        <w:spacing w:after="0" w:line="275" w:lineRule="auto"/>
        <w:rPr>
          <w:sz w:val="20"/>
          <w:szCs w:val="20"/>
          <w:color w:val="auto"/>
        </w:rPr>
      </w:pPr>
      <w:r>
        <w:rPr>
          <w:rFonts w:ascii="Arial" w:cs="Arial" w:eastAsia="Arial" w:hAnsi="Arial"/>
          <w:sz w:val="19"/>
          <w:szCs w:val="19"/>
          <w:color w:val="auto"/>
        </w:rPr>
        <w:t>Until such demand is made by the Trustee, the Issuer may pay the principal of and interest on the Securities of any series to the Holders, whether or not the principal of and interest on the Securities of such series be overdue.</w:t>
      </w:r>
    </w:p>
    <w:p>
      <w:pPr>
        <w:spacing w:after="0" w:line="184" w:lineRule="exact"/>
        <w:rPr>
          <w:sz w:val="20"/>
          <w:szCs w:val="20"/>
          <w:color w:val="auto"/>
        </w:rPr>
      </w:pPr>
    </w:p>
    <w:p>
      <w:pPr>
        <w:jc w:val="both"/>
        <w:ind w:right="380" w:firstLine="1369"/>
        <w:spacing w:after="0" w:line="263" w:lineRule="auto"/>
        <w:rPr>
          <w:sz w:val="20"/>
          <w:szCs w:val="20"/>
          <w:color w:val="auto"/>
        </w:rPr>
      </w:pPr>
      <w:r>
        <w:rPr>
          <w:rFonts w:ascii="Arial" w:cs="Arial" w:eastAsia="Arial" w:hAnsi="Arial"/>
          <w:sz w:val="19"/>
          <w:szCs w:val="19"/>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59" w:name="page60"/>
    <w:bookmarkEnd w:id="59"/>
    <w:p>
      <w:pPr>
        <w:ind w:right="280"/>
        <w:spacing w:after="0" w:line="275" w:lineRule="auto"/>
        <w:rPr>
          <w:sz w:val="20"/>
          <w:szCs w:val="20"/>
          <w:color w:val="auto"/>
        </w:rPr>
      </w:pPr>
      <w:r>
        <w:rPr>
          <w:rFonts w:ascii="Arial" w:cs="Arial" w:eastAsia="Arial" w:hAnsi="Arial"/>
          <w:sz w:val="19"/>
          <w:szCs w:val="19"/>
          <w:color w:val="auto"/>
        </w:rPr>
        <w:t>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84" w:lineRule="exact"/>
        <w:rPr>
          <w:sz w:val="20"/>
          <w:szCs w:val="20"/>
          <w:color w:val="auto"/>
        </w:rPr>
      </w:pPr>
    </w:p>
    <w:p>
      <w:pPr>
        <w:ind w:firstLine="1369"/>
        <w:spacing w:after="0" w:line="271" w:lineRule="auto"/>
        <w:rPr>
          <w:sz w:val="20"/>
          <w:szCs w:val="20"/>
          <w:color w:val="auto"/>
        </w:rPr>
      </w:pPr>
      <w:r>
        <w:rPr>
          <w:rFonts w:ascii="Arial" w:cs="Arial" w:eastAsia="Arial" w:hAnsi="Arial"/>
          <w:sz w:val="18"/>
          <w:szCs w:val="18"/>
          <w:color w:val="auto"/>
        </w:rPr>
        <w:t>In case there shall be pending proceedings relative to the Issuer or any other obligor upon the Securities under Title 11 of the United States Code or any other applicable U.S. federal, state or non-U.S.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 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189" w:lineRule="exact"/>
        <w:rPr>
          <w:sz w:val="20"/>
          <w:szCs w:val="20"/>
          <w:color w:val="auto"/>
        </w:rPr>
      </w:pPr>
    </w:p>
    <w:p>
      <w:pPr>
        <w:ind w:left="680" w:firstLine="683"/>
        <w:spacing w:after="0" w:line="271" w:lineRule="auto"/>
        <w:tabs>
          <w:tab w:leader="none" w:pos="1671"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189" w:lineRule="exact"/>
        <w:rPr>
          <w:rFonts w:ascii="Arial" w:cs="Arial" w:eastAsia="Arial" w:hAnsi="Arial"/>
          <w:sz w:val="18"/>
          <w:szCs w:val="18"/>
          <w:color w:val="auto"/>
        </w:rPr>
      </w:pPr>
    </w:p>
    <w:p>
      <w:pPr>
        <w:jc w:val="both"/>
        <w:ind w:left="680" w:right="40" w:firstLine="683"/>
        <w:spacing w:after="0" w:line="263" w:lineRule="auto"/>
        <w:tabs>
          <w:tab w:leader="none" w:pos="1681" w:val="left"/>
        </w:tabs>
        <w:numPr>
          <w:ilvl w:val="0"/>
          <w:numId w:val="24"/>
        </w:numPr>
        <w:rPr>
          <w:rFonts w:ascii="Arial" w:cs="Arial" w:eastAsia="Arial" w:hAnsi="Arial"/>
          <w:sz w:val="19"/>
          <w:szCs w:val="19"/>
          <w:color w:val="auto"/>
        </w:rPr>
      </w:pPr>
      <w:r>
        <w:rPr>
          <w:rFonts w:ascii="Arial" w:cs="Arial" w:eastAsia="Arial" w:hAnsi="Arial"/>
          <w:sz w:val="19"/>
          <w:szCs w:val="19"/>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194" w:lineRule="exact"/>
        <w:rPr>
          <w:rFonts w:ascii="Arial" w:cs="Arial" w:eastAsia="Arial" w:hAnsi="Arial"/>
          <w:sz w:val="19"/>
          <w:szCs w:val="19"/>
          <w:color w:val="auto"/>
        </w:rPr>
      </w:pPr>
    </w:p>
    <w:p>
      <w:pPr>
        <w:ind w:left="680" w:firstLine="683"/>
        <w:spacing w:after="0" w:line="291" w:lineRule="auto"/>
        <w:tabs>
          <w:tab w:leader="none" w:pos="1671" w:val="left"/>
        </w:tabs>
        <w:numPr>
          <w:ilvl w:val="0"/>
          <w:numId w:val="24"/>
        </w:numPr>
        <w:rPr>
          <w:rFonts w:ascii="Arial" w:cs="Arial" w:eastAsia="Arial" w:hAnsi="Arial"/>
          <w:sz w:val="17"/>
          <w:szCs w:val="17"/>
          <w:color w:val="auto"/>
        </w:rPr>
      </w:pPr>
      <w:r>
        <w:rPr>
          <w:rFonts w:ascii="Arial" w:cs="Arial" w:eastAsia="Arial" w:hAnsi="Arial"/>
          <w:sz w:val="17"/>
          <w:szCs w:val="17"/>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w:t>
      </w:r>
    </w:p>
    <w:p>
      <w:pPr>
        <w:spacing w:after="0" w:line="175" w:lineRule="exact"/>
        <w:rPr>
          <w:sz w:val="20"/>
          <w:szCs w:val="20"/>
          <w:color w:val="auto"/>
        </w:rPr>
      </w:pPr>
    </w:p>
    <w:p>
      <w:pPr>
        <w:ind w:firstLine="1369"/>
        <w:spacing w:after="0" w:line="259" w:lineRule="auto"/>
        <w:rPr>
          <w:sz w:val="20"/>
          <w:szCs w:val="20"/>
          <w:color w:val="auto"/>
        </w:rPr>
      </w:pPr>
      <w:r>
        <w:rPr>
          <w:rFonts w:ascii="Arial" w:cs="Arial" w:eastAsia="Arial" w:hAnsi="Arial"/>
          <w:sz w:val="19"/>
          <w:szCs w:val="19"/>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 thereof, or to authorize the Trustee to vote in respect of the claim of any Securityholder in any such proceeding except, as aforesaid, to vote for the election of a trustee in bankruptcy or similar person.</w:t>
      </w:r>
    </w:p>
    <w:p>
      <w:pPr>
        <w:spacing w:after="0" w:line="198" w:lineRule="exact"/>
        <w:rPr>
          <w:sz w:val="20"/>
          <w:szCs w:val="20"/>
          <w:color w:val="auto"/>
        </w:rPr>
      </w:pPr>
    </w:p>
    <w:p>
      <w:pPr>
        <w:ind w:right="20" w:firstLine="1369"/>
        <w:spacing w:after="0" w:line="256" w:lineRule="auto"/>
        <w:rPr>
          <w:sz w:val="20"/>
          <w:szCs w:val="20"/>
          <w:color w:val="auto"/>
        </w:rPr>
      </w:pPr>
      <w:r>
        <w:rPr>
          <w:rFonts w:ascii="Arial" w:cs="Arial" w:eastAsia="Arial" w:hAnsi="Arial"/>
          <w:sz w:val="19"/>
          <w:szCs w:val="19"/>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20" w:top="213" w:right="180" w:bottom="1440" w:gutter="0" w:footer="0" w:header="0"/>
        </w:sectPr>
      </w:pPr>
    </w:p>
    <w:bookmarkStart w:id="60" w:name="page61"/>
    <w:bookmarkEnd w:id="60"/>
    <w:p>
      <w:pPr>
        <w:ind w:right="360" w:firstLine="1369"/>
        <w:spacing w:after="0" w:line="263" w:lineRule="auto"/>
        <w:rPr>
          <w:sz w:val="20"/>
          <w:szCs w:val="20"/>
          <w:color w:val="auto"/>
        </w:rPr>
      </w:pPr>
      <w:r>
        <w:rPr>
          <w:rFonts w:ascii="Arial" w:cs="Arial" w:eastAsia="Arial" w:hAnsi="Arial"/>
          <w:sz w:val="19"/>
          <w:szCs w:val="19"/>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94" w:lineRule="exact"/>
        <w:rPr>
          <w:sz w:val="20"/>
          <w:szCs w:val="20"/>
          <w:color w:val="auto"/>
        </w:rPr>
      </w:pPr>
    </w:p>
    <w:p>
      <w:pPr>
        <w:ind w:firstLine="1369"/>
        <w:spacing w:after="0" w:line="256" w:lineRule="auto"/>
        <w:rPr>
          <w:sz w:val="20"/>
          <w:szCs w:val="20"/>
          <w:color w:val="auto"/>
        </w:rPr>
      </w:pPr>
      <w:r>
        <w:rPr>
          <w:rFonts w:ascii="Arial" w:cs="Arial" w:eastAsia="Arial" w:hAnsi="Arial"/>
          <w:sz w:val="19"/>
          <w:szCs w:val="19"/>
          <w:color w:val="auto"/>
        </w:rPr>
        <w:t xml:space="preserve">SECTION 4.03. </w:t>
      </w:r>
      <w:r>
        <w:rPr>
          <w:rFonts w:ascii="Arial" w:cs="Arial" w:eastAsia="Arial" w:hAnsi="Arial"/>
          <w:sz w:val="19"/>
          <w:szCs w:val="19"/>
          <w:u w:val="single" w:color="auto"/>
          <w:color w:val="auto"/>
        </w:rPr>
        <w:t>Application of Proceeds.</w:t>
      </w:r>
      <w:r>
        <w:rPr>
          <w:rFonts w:ascii="Arial" w:cs="Arial" w:eastAsia="Arial" w:hAnsi="Arial"/>
          <w:sz w:val="19"/>
          <w:szCs w:val="19"/>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moneys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204" w:lineRule="exact"/>
        <w:rPr>
          <w:sz w:val="20"/>
          <w:szCs w:val="20"/>
          <w:color w:val="auto"/>
        </w:rPr>
      </w:pPr>
    </w:p>
    <w:p>
      <w:pPr>
        <w:ind w:left="680" w:right="380" w:firstLine="685"/>
        <w:spacing w:after="0" w:line="308" w:lineRule="auto"/>
        <w:rPr>
          <w:sz w:val="20"/>
          <w:szCs w:val="20"/>
          <w:color w:val="auto"/>
        </w:rPr>
      </w:pPr>
      <w:r>
        <w:rPr>
          <w:rFonts w:ascii="Arial" w:cs="Arial" w:eastAsia="Arial" w:hAnsi="Arial"/>
          <w:sz w:val="17"/>
          <w:szCs w:val="17"/>
          <w:color w:val="auto"/>
        </w:rPr>
        <w:t>FIRST: To the payment of costs and expenses applicable to such series in respect of which moneys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w:t>
      </w:r>
    </w:p>
    <w:p>
      <w:pPr>
        <w:spacing w:after="0" w:line="160" w:lineRule="exact"/>
        <w:rPr>
          <w:sz w:val="20"/>
          <w:szCs w:val="20"/>
          <w:color w:val="auto"/>
        </w:rPr>
      </w:pPr>
    </w:p>
    <w:p>
      <w:pPr>
        <w:ind w:left="680" w:right="60" w:firstLine="685"/>
        <w:spacing w:after="0" w:line="274"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88" w:lineRule="exact"/>
        <w:rPr>
          <w:sz w:val="20"/>
          <w:szCs w:val="20"/>
          <w:color w:val="auto"/>
        </w:rPr>
      </w:pPr>
    </w:p>
    <w:p>
      <w:pPr>
        <w:ind w:left="680" w:firstLine="685"/>
        <w:spacing w:after="0" w:line="288" w:lineRule="auto"/>
        <w:rPr>
          <w:sz w:val="20"/>
          <w:szCs w:val="20"/>
          <w:color w:val="auto"/>
        </w:rPr>
      </w:pPr>
      <w:r>
        <w:rPr>
          <w:rFonts w:ascii="Arial" w:cs="Arial" w:eastAsia="Arial" w:hAnsi="Arial"/>
          <w:sz w:val="17"/>
          <w:szCs w:val="17"/>
          <w:color w:val="auto"/>
        </w:rPr>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177"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FOURTH: To the payment of the remainder, if any, to the Issuer or as a court of competent jurisdiction shall direct in writing.</w:t>
      </w:r>
    </w:p>
    <w:p>
      <w:pPr>
        <w:spacing w:after="0" w:line="238" w:lineRule="exact"/>
        <w:rPr>
          <w:sz w:val="20"/>
          <w:szCs w:val="20"/>
          <w:color w:val="auto"/>
        </w:rPr>
      </w:pPr>
    </w:p>
    <w:p>
      <w:pPr>
        <w:ind w:right="80" w:firstLine="1369"/>
        <w:spacing w:after="0" w:line="256" w:lineRule="auto"/>
        <w:rPr>
          <w:sz w:val="20"/>
          <w:szCs w:val="20"/>
          <w:color w:val="auto"/>
        </w:rPr>
      </w:pPr>
      <w:r>
        <w:rPr>
          <w:rFonts w:ascii="Arial" w:cs="Arial" w:eastAsia="Arial" w:hAnsi="Arial"/>
          <w:sz w:val="19"/>
          <w:szCs w:val="19"/>
          <w:color w:val="auto"/>
        </w:rPr>
        <w:t xml:space="preserve">SECTION 4.04. </w:t>
      </w:r>
      <w:r>
        <w:rPr>
          <w:rFonts w:ascii="Arial" w:cs="Arial" w:eastAsia="Arial" w:hAnsi="Arial"/>
          <w:sz w:val="19"/>
          <w:szCs w:val="19"/>
          <w:u w:val="single" w:color="auto"/>
          <w:color w:val="auto"/>
        </w:rPr>
        <w:t>Suits for Enforcement.</w:t>
      </w:r>
      <w:r>
        <w:rPr>
          <w:rFonts w:ascii="Arial" w:cs="Arial" w:eastAsia="Arial" w:hAnsi="Arial"/>
          <w:sz w:val="19"/>
          <w:szCs w:val="19"/>
          <w:color w:val="auto"/>
        </w:rPr>
        <w:t xml:space="preserve"> In case an Event of Default has occurred, has not been waived and is continuing, the Trustee may in its discretion proceed to protect and enforce the rights vested in it by this Indenture by such appropriate judicial proceedings as the Trustee shall deem necessary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204" w:lineRule="exact"/>
        <w:rPr>
          <w:sz w:val="20"/>
          <w:szCs w:val="20"/>
          <w:color w:val="auto"/>
        </w:rPr>
      </w:pPr>
    </w:p>
    <w:p>
      <w:pPr>
        <w:ind w:right="40" w:firstLine="1369"/>
        <w:spacing w:after="0" w:line="336" w:lineRule="auto"/>
        <w:rPr>
          <w:sz w:val="20"/>
          <w:szCs w:val="20"/>
          <w:color w:val="auto"/>
        </w:rPr>
      </w:pPr>
      <w:r>
        <w:rPr>
          <w:rFonts w:ascii="Arial" w:cs="Arial" w:eastAsia="Arial" w:hAnsi="Arial"/>
          <w:sz w:val="17"/>
          <w:szCs w:val="17"/>
          <w:color w:val="auto"/>
        </w:rPr>
        <w:t xml:space="preserve">SECTION 4.05. </w:t>
      </w:r>
      <w:r>
        <w:rPr>
          <w:rFonts w:ascii="Arial" w:cs="Arial" w:eastAsia="Arial" w:hAnsi="Arial"/>
          <w:sz w:val="17"/>
          <w:szCs w:val="17"/>
          <w:u w:val="single" w:color="auto"/>
          <w:color w:val="auto"/>
        </w:rPr>
        <w:t>Restoration of Rights on Abandonment of Proceeding.</w:t>
      </w:r>
      <w:r>
        <w:rPr>
          <w:rFonts w:ascii="Arial" w:cs="Arial" w:eastAsia="Arial" w:hAnsi="Arial"/>
          <w:sz w:val="17"/>
          <w:szCs w:val="17"/>
          <w:color w:val="auto"/>
        </w:rPr>
        <w:t xml:space="preserve"> In case the Trustee shall have proceeded to enforce any right under this Indenture and such proceedings shall have been discontinued or abandoned for any reason, or shall have been determined adversely to the Trustee,</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61" w:name="page62"/>
    <w:bookmarkEnd w:id="61"/>
    <w:p>
      <w:pPr>
        <w:ind w:right="280"/>
        <w:spacing w:after="0" w:line="304" w:lineRule="auto"/>
        <w:rPr>
          <w:sz w:val="20"/>
          <w:szCs w:val="20"/>
          <w:color w:val="auto"/>
        </w:rPr>
      </w:pPr>
      <w:r>
        <w:rPr>
          <w:rFonts w:ascii="Arial" w:cs="Arial" w:eastAsia="Arial" w:hAnsi="Arial"/>
          <w:sz w:val="18"/>
          <w:szCs w:val="18"/>
          <w:color w:val="auto"/>
        </w:rPr>
        <w:t>then and in every such case the Issuer and the Trustee shall be restored respectively to their former positions and rights hereunder, and all rights, remedies and powers of the Issuer, the Trustee and the Securityholders shall continue as though no such proceedings had been taken.</w:t>
      </w:r>
    </w:p>
    <w:p>
      <w:pPr>
        <w:spacing w:after="0" w:line="160" w:lineRule="exact"/>
        <w:rPr>
          <w:sz w:val="20"/>
          <w:szCs w:val="20"/>
          <w:color w:val="auto"/>
        </w:rPr>
      </w:pPr>
    </w:p>
    <w:p>
      <w:pPr>
        <w:ind w:right="40" w:firstLine="1369"/>
        <w:spacing w:after="0" w:line="284" w:lineRule="auto"/>
        <w:rPr>
          <w:sz w:val="20"/>
          <w:szCs w:val="20"/>
          <w:color w:val="auto"/>
        </w:rPr>
      </w:pPr>
      <w:r>
        <w:rPr>
          <w:rFonts w:ascii="Arial" w:cs="Arial" w:eastAsia="Arial" w:hAnsi="Arial"/>
          <w:sz w:val="17"/>
          <w:szCs w:val="17"/>
          <w:color w:val="auto"/>
        </w:rPr>
        <w:t xml:space="preserve">SECTION 4.06. </w:t>
      </w:r>
      <w:r>
        <w:rPr>
          <w:rFonts w:ascii="Arial" w:cs="Arial" w:eastAsia="Arial" w:hAnsi="Arial"/>
          <w:sz w:val="17"/>
          <w:szCs w:val="17"/>
          <w:u w:val="single" w:color="auto"/>
          <w:color w:val="auto"/>
        </w:rPr>
        <w:t>Limitations on Suits by Securityholder.</w:t>
      </w:r>
      <w:r>
        <w:rPr>
          <w:rFonts w:ascii="Arial" w:cs="Arial" w:eastAsia="Arial" w:hAnsi="Arial"/>
          <w:sz w:val="17"/>
          <w:szCs w:val="17"/>
          <w:color w:val="auto"/>
        </w:rPr>
        <w:t xml:space="preserve">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 official or for any other remedy hereunder, unless such Holder previously shall have given to the Trustee written notice of default and of the continuance thereof, as hereinbefore provided, and unless also the Holders of not less than 25% in aggregate principal amount of the Securities of each affected series then Outstanding (treated as a single class) shall have made written request upon the Trustee to institute such action or proceedings in its own name as trustee hereunder and shall have offered to the Trustee such indemnity as it may require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taker and Holder of every Security with every other taker and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84" w:lineRule="exact"/>
        <w:rPr>
          <w:sz w:val="20"/>
          <w:szCs w:val="20"/>
          <w:color w:val="auto"/>
        </w:rPr>
      </w:pPr>
    </w:p>
    <w:p>
      <w:pPr>
        <w:ind w:right="80" w:firstLine="1369"/>
        <w:spacing w:after="0" w:line="259" w:lineRule="auto"/>
        <w:rPr>
          <w:sz w:val="20"/>
          <w:szCs w:val="20"/>
          <w:color w:val="auto"/>
        </w:rPr>
      </w:pPr>
      <w:r>
        <w:rPr>
          <w:rFonts w:ascii="Arial" w:cs="Arial" w:eastAsia="Arial" w:hAnsi="Arial"/>
          <w:sz w:val="19"/>
          <w:szCs w:val="19"/>
          <w:color w:val="auto"/>
        </w:rPr>
        <w:t xml:space="preserve">SECTION 4.07. </w:t>
      </w:r>
      <w:r>
        <w:rPr>
          <w:rFonts w:ascii="Arial" w:cs="Arial" w:eastAsia="Arial" w:hAnsi="Arial"/>
          <w:sz w:val="19"/>
          <w:szCs w:val="19"/>
          <w:u w:val="single" w:color="auto"/>
          <w:color w:val="auto"/>
        </w:rPr>
        <w:t>Unconditional Right of Securityholders to Institute Certain Suits.</w:t>
      </w:r>
      <w:r>
        <w:rPr>
          <w:rFonts w:ascii="Arial" w:cs="Arial" w:eastAsia="Arial" w:hAnsi="Arial"/>
          <w:sz w:val="19"/>
          <w:szCs w:val="19"/>
          <w:color w:val="auto"/>
        </w:rPr>
        <w:t xml:space="preserve"> Notwithstanding any other provision in this Indenture and any provision of any Security, the right of any Holder of any Security to receive payment of the principal of and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98" w:lineRule="exact"/>
        <w:rPr>
          <w:sz w:val="20"/>
          <w:szCs w:val="20"/>
          <w:color w:val="auto"/>
        </w:rPr>
      </w:pPr>
    </w:p>
    <w:p>
      <w:pPr>
        <w:ind w:right="80" w:firstLine="1369"/>
        <w:spacing w:after="0" w:line="256" w:lineRule="auto"/>
        <w:rPr>
          <w:sz w:val="20"/>
          <w:szCs w:val="20"/>
          <w:color w:val="auto"/>
        </w:rPr>
      </w:pPr>
      <w:r>
        <w:rPr>
          <w:rFonts w:ascii="Arial" w:cs="Arial" w:eastAsia="Arial" w:hAnsi="Arial"/>
          <w:sz w:val="19"/>
          <w:szCs w:val="19"/>
          <w:color w:val="auto"/>
        </w:rPr>
        <w:t xml:space="preserve">SECTION 4.08. </w:t>
      </w:r>
      <w:r>
        <w:rPr>
          <w:rFonts w:ascii="Arial" w:cs="Arial" w:eastAsia="Arial" w:hAnsi="Arial"/>
          <w:sz w:val="19"/>
          <w:szCs w:val="19"/>
          <w:u w:val="single" w:color="auto"/>
          <w:color w:val="auto"/>
        </w:rPr>
        <w:t>Powers and Remedies Cumulative; Delay or Omission Not Waiver of Default.</w:t>
      </w:r>
      <w:r>
        <w:rPr>
          <w:rFonts w:ascii="Arial" w:cs="Arial" w:eastAsia="Arial" w:hAnsi="Arial"/>
          <w:sz w:val="19"/>
          <w:szCs w:val="19"/>
          <w:color w:val="auto"/>
        </w:rPr>
        <w:t xml:space="preserve">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204" w:lineRule="exact"/>
        <w:rPr>
          <w:sz w:val="20"/>
          <w:szCs w:val="20"/>
          <w:color w:val="auto"/>
        </w:rPr>
      </w:pPr>
    </w:p>
    <w:p>
      <w:pPr>
        <w:ind w:firstLine="1369"/>
        <w:spacing w:after="0" w:line="277" w:lineRule="auto"/>
        <w:rPr>
          <w:sz w:val="20"/>
          <w:szCs w:val="20"/>
          <w:color w:val="auto"/>
        </w:rPr>
      </w:pPr>
      <w:r>
        <w:rPr>
          <w:rFonts w:ascii="Arial" w:cs="Arial" w:eastAsia="Arial" w:hAnsi="Arial"/>
          <w:sz w:val="18"/>
          <w:szCs w:val="18"/>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 Section 4.06, every power and remedy given by this Indenture or by law to the Trustee or to the Securityholders may be exercised from time to time, and as often as shall be deemed expedient, by the Trustee or by the Securityholders.</w:t>
      </w:r>
    </w:p>
    <w:p>
      <w:pPr>
        <w:spacing w:after="0" w:line="185" w:lineRule="exact"/>
        <w:rPr>
          <w:sz w:val="20"/>
          <w:szCs w:val="20"/>
          <w:color w:val="auto"/>
        </w:rPr>
      </w:pPr>
    </w:p>
    <w:p>
      <w:pPr>
        <w:ind w:right="40" w:firstLine="1369"/>
        <w:spacing w:after="0" w:line="254" w:lineRule="auto"/>
        <w:rPr>
          <w:sz w:val="20"/>
          <w:szCs w:val="20"/>
          <w:color w:val="auto"/>
        </w:rPr>
      </w:pPr>
      <w:r>
        <w:rPr>
          <w:rFonts w:ascii="Arial" w:cs="Arial" w:eastAsia="Arial" w:hAnsi="Arial"/>
          <w:sz w:val="19"/>
          <w:szCs w:val="19"/>
          <w:color w:val="auto"/>
        </w:rPr>
        <w:t xml:space="preserve">SECTION 4.09. </w:t>
      </w:r>
      <w:r>
        <w:rPr>
          <w:rFonts w:ascii="Arial" w:cs="Arial" w:eastAsia="Arial" w:hAnsi="Arial"/>
          <w:sz w:val="19"/>
          <w:szCs w:val="19"/>
          <w:u w:val="single" w:color="auto"/>
          <w:color w:val="auto"/>
        </w:rPr>
        <w:t>Control by Securityholders.</w:t>
      </w:r>
      <w:r>
        <w:rPr>
          <w:rFonts w:ascii="Arial" w:cs="Arial" w:eastAsia="Arial" w:hAnsi="Arial"/>
          <w:sz w:val="19"/>
          <w:szCs w:val="19"/>
          <w:color w:val="auto"/>
        </w:rPr>
        <w:t xml:space="preserve"> The Holders of a majority in aggregate principal amount of the Securities of each series affected (with all such series voting as a single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direction shall not be otherwise than in accordance with law and the provisions of this Indenture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further that (subject to the provisions of Section 5.01) the Trustee shall have the right to decline to follow any such direction if the Trustee shall determine that the action or proceeding so directed may not lawfully be taken or if the Trustee in good faith by its board of directors, the executive committee, or a trust committee of directors or</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62" w:name="page63"/>
    <w:bookmarkEnd w:id="62"/>
    <w:p>
      <w:pPr>
        <w:spacing w:after="0" w:line="277" w:lineRule="auto"/>
        <w:rPr>
          <w:sz w:val="20"/>
          <w:szCs w:val="20"/>
          <w:color w:val="auto"/>
        </w:rPr>
      </w:pPr>
      <w:r>
        <w:rPr>
          <w:rFonts w:ascii="Arial" w:cs="Arial" w:eastAsia="Arial" w:hAnsi="Arial"/>
          <w:sz w:val="18"/>
          <w:szCs w:val="18"/>
          <w:color w:val="auto"/>
        </w:rPr>
        <w:t>Responsible Officers of the Trustee shall determine that the action or proceedings so directed would involve the Trustee in personal liability or if the Trustee in good faith shall so determine that the actions or forebearances specified in or pursuant to such direction would be unduly prejudicial to the interests of Holders of the Securities of all series so affected not joining in the giving of said direction, it being understood that (subject to Section 5.01) the Trustee shall have no duty to ascertain whether or not such actions or forebearances are unduly prejudicial to such Holders.</w:t>
      </w:r>
    </w:p>
    <w:p>
      <w:pPr>
        <w:spacing w:after="0" w:line="185" w:lineRule="exact"/>
        <w:rPr>
          <w:sz w:val="20"/>
          <w:szCs w:val="20"/>
          <w:color w:val="auto"/>
        </w:rPr>
      </w:pPr>
    </w:p>
    <w:p>
      <w:pPr>
        <w:ind w:firstLine="1369"/>
        <w:spacing w:after="0" w:line="275" w:lineRule="auto"/>
        <w:rPr>
          <w:sz w:val="20"/>
          <w:szCs w:val="20"/>
          <w:color w:val="auto"/>
        </w:rPr>
      </w:pPr>
      <w:r>
        <w:rPr>
          <w:rFonts w:ascii="Arial" w:cs="Arial" w:eastAsia="Arial" w:hAnsi="Arial"/>
          <w:sz w:val="19"/>
          <w:szCs w:val="19"/>
          <w:color w:val="auto"/>
        </w:rPr>
        <w:t>Nothing in this Indenture shall impair the right of the Trustee in its discretion to take any action deemed proper by the Trustee and which is not inconsistent with such direction or directions by Securityholders.</w:t>
      </w:r>
    </w:p>
    <w:p>
      <w:pPr>
        <w:spacing w:after="0" w:line="184" w:lineRule="exact"/>
        <w:rPr>
          <w:sz w:val="20"/>
          <w:szCs w:val="20"/>
          <w:color w:val="auto"/>
        </w:rPr>
      </w:pPr>
    </w:p>
    <w:p>
      <w:pPr>
        <w:ind w:right="140" w:firstLine="1369"/>
        <w:spacing w:after="0" w:line="254" w:lineRule="auto"/>
        <w:rPr>
          <w:sz w:val="20"/>
          <w:szCs w:val="20"/>
          <w:color w:val="auto"/>
        </w:rPr>
      </w:pPr>
      <w:r>
        <w:rPr>
          <w:rFonts w:ascii="Arial" w:cs="Arial" w:eastAsia="Arial" w:hAnsi="Arial"/>
          <w:sz w:val="19"/>
          <w:szCs w:val="19"/>
          <w:color w:val="auto"/>
        </w:rPr>
        <w:t xml:space="preserve">SECTION 4.10. </w:t>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 xml:space="preserve"> Prior to the acceleration of the maturity of any Securities as provided in Section 4.01, the Holders of a majority in aggregate principal amount of the Securities of all series at the time Outstanding with respect to which an Event of Default shall have occurred and be continuing (voting as a single class) may on behalf of the Holders of all such Securities waive any past default or Event of Default described in Section 4.01 and its consequences, except a default in respect of a covenant or provision hereof which cannot be modified or amended without the consent of the Holder of each Security affected. In the case of any such waiver, the Issuer, the Trustee and the Holders of all such Securities shall be restored to their former positions and rights hereunder, respectively; but no such waiver shall extend to any subsequent or other default or impair any right consequent thereon.</w:t>
      </w:r>
    </w:p>
    <w:p>
      <w:pPr>
        <w:spacing w:after="0" w:line="207" w:lineRule="exact"/>
        <w:rPr>
          <w:sz w:val="20"/>
          <w:szCs w:val="20"/>
          <w:color w:val="auto"/>
        </w:rPr>
      </w:pPr>
    </w:p>
    <w:p>
      <w:pPr>
        <w:ind w:right="100" w:firstLine="1369"/>
        <w:spacing w:after="0" w:line="263" w:lineRule="auto"/>
        <w:rPr>
          <w:sz w:val="20"/>
          <w:szCs w:val="20"/>
          <w:color w:val="auto"/>
        </w:rPr>
      </w:pPr>
      <w:r>
        <w:rPr>
          <w:rFonts w:ascii="Arial" w:cs="Arial" w:eastAsia="Arial" w:hAnsi="Arial"/>
          <w:sz w:val="19"/>
          <w:szCs w:val="19"/>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94" w:lineRule="exact"/>
        <w:rPr>
          <w:sz w:val="20"/>
          <w:szCs w:val="20"/>
          <w:color w:val="auto"/>
        </w:rPr>
      </w:pPr>
    </w:p>
    <w:p>
      <w:pPr>
        <w:ind w:right="120" w:firstLine="1369"/>
        <w:spacing w:after="0" w:line="269" w:lineRule="auto"/>
        <w:rPr>
          <w:sz w:val="20"/>
          <w:szCs w:val="20"/>
          <w:color w:val="auto"/>
        </w:rPr>
      </w:pPr>
      <w:r>
        <w:rPr>
          <w:rFonts w:ascii="Arial" w:cs="Arial" w:eastAsia="Arial" w:hAnsi="Arial"/>
          <w:sz w:val="18"/>
          <w:szCs w:val="18"/>
          <w:color w:val="auto"/>
        </w:rPr>
        <w:t xml:space="preserve">SECTION 4.11. </w:t>
      </w:r>
      <w:r>
        <w:rPr>
          <w:rFonts w:ascii="Arial" w:cs="Arial" w:eastAsia="Arial" w:hAnsi="Arial"/>
          <w:sz w:val="18"/>
          <w:szCs w:val="18"/>
          <w:u w:val="single" w:color="auto"/>
          <w:color w:val="auto"/>
        </w:rPr>
        <w:t>Trustee to Give Notice of Default, But May Withhold in Certain Circumstances.</w:t>
      </w:r>
      <w:r>
        <w:rPr>
          <w:rFonts w:ascii="Arial" w:cs="Arial" w:eastAsia="Arial" w:hAnsi="Arial"/>
          <w:sz w:val="18"/>
          <w:szCs w:val="18"/>
          <w:color w:val="auto"/>
        </w:rPr>
        <w:t xml:space="preserve"> The Trustee shall give to the Securityholders of any series, as the names and addresses of such Holders appear on the registry books, notice by mail of all defaults known to the Trustee which have occurred with respect to such series, such notice to be transmitted within 90 days after the occurrence thereof, unless such defaults shall have been cured before the giving of such notice (the term â€œdefaultâ€ or â€œdefaultsâ€ for the purposes of this Section being hereby defined to mean any event or condition which is, or with notice or lapse of time or both would become, an Event of Default);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94" w:lineRule="exact"/>
        <w:rPr>
          <w:sz w:val="20"/>
          <w:szCs w:val="20"/>
          <w:color w:val="auto"/>
        </w:rPr>
      </w:pPr>
    </w:p>
    <w:p>
      <w:pPr>
        <w:ind w:firstLine="1369"/>
        <w:spacing w:after="0" w:line="285"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Right of Court to Require Filing of Undertaking to Pay Costs.</w:t>
      </w:r>
      <w:r>
        <w:rPr>
          <w:rFonts w:ascii="Arial" w:cs="Arial" w:eastAsia="Arial" w:hAnsi="Arial"/>
          <w:sz w:val="17"/>
          <w:szCs w:val="17"/>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attorneysâ€™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in the case of any suit relating to or arising under Section 4.01(b) or 4.01(e) (if the suit relates to Securities of more than one but less than all series), 10% in aggregate principal amount of Securities Outstanding affected thereby, or in the case of any suit relating to or arising under Section 4.01(b) or 4.01(e) (if the suit relates to all the Securities then Outstanding), 4.01(c) or 4.01(d), 10% in aggregate principal amount of all Securities Outstanding, or to any suit instituted by any Securityholder for the enforcement of the payment of the principal of or interest on any Security, on or after the due date expressed in such Security.</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20" w:top="213" w:right="180" w:bottom="1440" w:gutter="0" w:footer="0" w:header="0"/>
        </w:sectPr>
      </w:pPr>
    </w:p>
    <w:bookmarkStart w:id="63" w:name="page64"/>
    <w:bookmarkEnd w:id="63"/>
    <w:p>
      <w:pPr>
        <w:jc w:val="center"/>
        <w:spacing w:after="0"/>
        <w:rPr>
          <w:sz w:val="20"/>
          <w:szCs w:val="20"/>
          <w:color w:val="auto"/>
        </w:rPr>
      </w:pPr>
      <w:r>
        <w:rPr>
          <w:rFonts w:ascii="Arial" w:cs="Arial" w:eastAsia="Arial" w:hAnsi="Arial"/>
          <w:sz w:val="19"/>
          <w:szCs w:val="19"/>
          <w:color w:val="auto"/>
        </w:rPr>
        <w:t>ARTICLE 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Concerning the Trustee</w:t>
      </w:r>
    </w:p>
    <w:p>
      <w:pPr>
        <w:spacing w:after="0" w:line="238" w:lineRule="exact"/>
        <w:rPr>
          <w:sz w:val="20"/>
          <w:szCs w:val="20"/>
          <w:color w:val="auto"/>
        </w:rPr>
      </w:pPr>
    </w:p>
    <w:p>
      <w:pPr>
        <w:ind w:firstLine="1369"/>
        <w:spacing w:after="0" w:line="291"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Duties and Responsibilities of the Trustee; During Default; Prior to Default.</w:t>
      </w:r>
      <w:r>
        <w:rPr>
          <w:rFonts w:ascii="Arial" w:cs="Arial" w:eastAsia="Arial" w:hAnsi="Arial"/>
          <w:sz w:val="17"/>
          <w:szCs w:val="17"/>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with respect to such series of Securities such of the rights and powers vested in it by this Indenture, and use the same degree of care and skill in their exercise, as a prudent person would exercise or use under the circumstances in the conduct of his or her own affairs.</w:t>
      </w:r>
    </w:p>
    <w:p>
      <w:pPr>
        <w:spacing w:after="0" w:line="175" w:lineRule="exact"/>
        <w:rPr>
          <w:sz w:val="20"/>
          <w:szCs w:val="20"/>
          <w:color w:val="auto"/>
        </w:rPr>
      </w:pPr>
    </w:p>
    <w:p>
      <w:pPr>
        <w:ind w:right="120" w:firstLine="1369"/>
        <w:spacing w:after="0" w:line="275" w:lineRule="auto"/>
        <w:rPr>
          <w:sz w:val="20"/>
          <w:szCs w:val="20"/>
          <w:color w:val="auto"/>
        </w:rPr>
      </w:pPr>
      <w:r>
        <w:rPr>
          <w:rFonts w:ascii="Arial" w:cs="Arial" w:eastAsia="Arial" w:hAnsi="Arial"/>
          <w:sz w:val="19"/>
          <w:szCs w:val="19"/>
          <w:color w:val="auto"/>
        </w:rPr>
        <w:t>No provision of this Indenture shall be construed to relieve the Trustee from liability for its own negligent action, its own negligent failure to act or its own willful misconduct, except that</w:t>
      </w:r>
    </w:p>
    <w:p>
      <w:pPr>
        <w:spacing w:after="0" w:line="184" w:lineRule="exact"/>
        <w:rPr>
          <w:sz w:val="20"/>
          <w:szCs w:val="20"/>
          <w:color w:val="auto"/>
        </w:rPr>
      </w:pPr>
    </w:p>
    <w:p>
      <w:pPr>
        <w:ind w:left="680" w:right="380" w:firstLine="683"/>
        <w:spacing w:after="0" w:line="275" w:lineRule="auto"/>
        <w:tabs>
          <w:tab w:leader="none" w:pos="1671" w:val="left"/>
        </w:tabs>
        <w:numPr>
          <w:ilvl w:val="0"/>
          <w:numId w:val="25"/>
        </w:numPr>
        <w:rPr>
          <w:rFonts w:ascii="Arial" w:cs="Arial" w:eastAsia="Arial" w:hAnsi="Arial"/>
          <w:sz w:val="19"/>
          <w:szCs w:val="19"/>
          <w:color w:val="auto"/>
        </w:rPr>
      </w:pPr>
      <w:r>
        <w:rPr>
          <w:rFonts w:ascii="Arial" w:cs="Arial" w:eastAsia="Arial" w:hAnsi="Arial"/>
          <w:sz w:val="19"/>
          <w:szCs w:val="19"/>
          <w:color w:val="auto"/>
        </w:rPr>
        <w:t>prior to the occurrence of an Event of Default with respect to the Securities of any series and after the curing or waiving of all such Events of Default with respect to such series which may have occurred:</w:t>
      </w:r>
    </w:p>
    <w:p>
      <w:pPr>
        <w:spacing w:after="0" w:line="183" w:lineRule="exact"/>
        <w:rPr>
          <w:rFonts w:ascii="Arial" w:cs="Arial" w:eastAsia="Arial" w:hAnsi="Arial"/>
          <w:sz w:val="19"/>
          <w:szCs w:val="19"/>
          <w:color w:val="auto"/>
        </w:rPr>
      </w:pPr>
    </w:p>
    <w:p>
      <w:pPr>
        <w:ind w:left="1360" w:right="60" w:firstLine="688"/>
        <w:spacing w:after="0" w:line="308" w:lineRule="auto"/>
        <w:tabs>
          <w:tab w:leader="none" w:pos="2319" w:val="left"/>
        </w:tabs>
        <w:numPr>
          <w:ilvl w:val="1"/>
          <w:numId w:val="25"/>
        </w:numPr>
        <w:rPr>
          <w:rFonts w:ascii="Arial" w:cs="Arial" w:eastAsia="Arial" w:hAnsi="Arial"/>
          <w:sz w:val="17"/>
          <w:szCs w:val="17"/>
          <w:color w:val="auto"/>
        </w:rPr>
      </w:pPr>
      <w:r>
        <w:rPr>
          <w:rFonts w:ascii="Arial" w:cs="Arial" w:eastAsia="Arial" w:hAnsi="Arial"/>
          <w:sz w:val="17"/>
          <w:szCs w:val="17"/>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160" w:lineRule="exact"/>
        <w:rPr>
          <w:rFonts w:ascii="Arial" w:cs="Arial" w:eastAsia="Arial" w:hAnsi="Arial"/>
          <w:sz w:val="17"/>
          <w:szCs w:val="17"/>
          <w:color w:val="auto"/>
        </w:rPr>
      </w:pPr>
    </w:p>
    <w:p>
      <w:pPr>
        <w:ind w:left="1360" w:right="100" w:firstLine="688"/>
        <w:spacing w:after="0" w:line="255" w:lineRule="auto"/>
        <w:tabs>
          <w:tab w:leader="none" w:pos="2372" w:val="left"/>
        </w:tabs>
        <w:numPr>
          <w:ilvl w:val="1"/>
          <w:numId w:val="25"/>
        </w:numPr>
        <w:rPr>
          <w:rFonts w:ascii="Arial" w:cs="Arial" w:eastAsia="Arial" w:hAnsi="Arial"/>
          <w:sz w:val="19"/>
          <w:szCs w:val="19"/>
          <w:color w:val="auto"/>
        </w:rPr>
      </w:pPr>
      <w:r>
        <w:rPr>
          <w:rFonts w:ascii="Arial" w:cs="Arial" w:eastAsia="Arial" w:hAnsi="Arial"/>
          <w:sz w:val="19"/>
          <w:szCs w:val="19"/>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204" w:lineRule="exact"/>
        <w:rPr>
          <w:rFonts w:ascii="Arial" w:cs="Arial" w:eastAsia="Arial" w:hAnsi="Arial"/>
          <w:sz w:val="19"/>
          <w:szCs w:val="19"/>
          <w:color w:val="auto"/>
        </w:rPr>
      </w:pPr>
    </w:p>
    <w:p>
      <w:pPr>
        <w:ind w:left="680" w:right="360" w:firstLine="683"/>
        <w:spacing w:after="0" w:line="275" w:lineRule="auto"/>
        <w:tabs>
          <w:tab w:leader="none" w:pos="1681"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183" w:lineRule="exact"/>
        <w:rPr>
          <w:rFonts w:ascii="Arial" w:cs="Arial" w:eastAsia="Arial" w:hAnsi="Arial"/>
          <w:sz w:val="19"/>
          <w:szCs w:val="19"/>
          <w:color w:val="auto"/>
        </w:rPr>
      </w:pPr>
    </w:p>
    <w:p>
      <w:pPr>
        <w:jc w:val="both"/>
        <w:ind w:left="680" w:right="20" w:firstLine="683"/>
        <w:spacing w:after="0" w:line="263" w:lineRule="auto"/>
        <w:tabs>
          <w:tab w:leader="none" w:pos="1671"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Trustee shall not be liable with respect to any action taken or omitted to be taken by it in good faith in accordance with the direction of the Holders pursuant to Section 4.09 relating to the time, method and place of conducting any proceeding for any remedy available to the Trustee, or exercising any trust or power conferred upon the Trustee, under this Indenture.</w:t>
      </w:r>
    </w:p>
    <w:p>
      <w:pPr>
        <w:spacing w:after="0" w:line="194" w:lineRule="exact"/>
        <w:rPr>
          <w:sz w:val="20"/>
          <w:szCs w:val="20"/>
          <w:color w:val="auto"/>
        </w:rPr>
      </w:pPr>
    </w:p>
    <w:p>
      <w:pPr>
        <w:ind w:right="80" w:firstLine="1369"/>
        <w:spacing w:after="0" w:line="263" w:lineRule="auto"/>
        <w:rPr>
          <w:sz w:val="20"/>
          <w:szCs w:val="20"/>
          <w:color w:val="auto"/>
        </w:rPr>
      </w:pPr>
      <w:r>
        <w:rPr>
          <w:rFonts w:ascii="Arial" w:cs="Arial" w:eastAsia="Arial" w:hAnsi="Arial"/>
          <w:sz w:val="19"/>
          <w:szCs w:val="19"/>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shall be reasonable ground for believing that the repayment of such funds or adequate indemnity against such liability is not reasonably assured to it.</w:t>
      </w:r>
    </w:p>
    <w:p>
      <w:pPr>
        <w:spacing w:after="0" w:line="194" w:lineRule="exact"/>
        <w:rPr>
          <w:sz w:val="20"/>
          <w:szCs w:val="20"/>
          <w:color w:val="auto"/>
        </w:rPr>
      </w:pPr>
    </w:p>
    <w:p>
      <w:pPr>
        <w:jc w:val="center"/>
        <w:ind w:left="480"/>
        <w:spacing w:after="0"/>
        <w:rPr>
          <w:sz w:val="20"/>
          <w:szCs w:val="20"/>
          <w:color w:val="auto"/>
        </w:rPr>
      </w:pPr>
      <w:r>
        <w:rPr>
          <w:rFonts w:ascii="Arial" w:cs="Arial" w:eastAsia="Arial" w:hAnsi="Arial"/>
          <w:sz w:val="19"/>
          <w:szCs w:val="19"/>
          <w:color w:val="auto"/>
        </w:rPr>
        <w:t>The provisions of this Section 5.01 are in furtherance of and subject to Sections 315 and 316 of the Trust Indenture Act of 1939.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64" w:name="page65"/>
    <w:bookmarkEnd w:id="64"/>
    <w:p>
      <w:pPr>
        <w:ind w:left="1360"/>
        <w:spacing w:after="0"/>
        <w:rPr>
          <w:sz w:val="20"/>
          <w:szCs w:val="20"/>
          <w:color w:val="auto"/>
        </w:rPr>
      </w:pPr>
      <w:r>
        <w:rPr>
          <w:rFonts w:ascii="Arial" w:cs="Arial" w:eastAsia="Arial" w:hAnsi="Arial"/>
          <w:sz w:val="19"/>
          <w:szCs w:val="19"/>
          <w:color w:val="auto"/>
        </w:rPr>
        <w:t xml:space="preserve">SECTION 5.02. </w:t>
      </w:r>
      <w:r>
        <w:rPr>
          <w:rFonts w:ascii="Arial" w:cs="Arial" w:eastAsia="Arial" w:hAnsi="Arial"/>
          <w:sz w:val="19"/>
          <w:szCs w:val="19"/>
          <w:u w:val="single" w:color="auto"/>
          <w:color w:val="auto"/>
        </w:rPr>
        <w:t>Certain Rights of the Trustee.</w:t>
      </w:r>
      <w:r>
        <w:rPr>
          <w:rFonts w:ascii="Arial" w:cs="Arial" w:eastAsia="Arial" w:hAnsi="Arial"/>
          <w:sz w:val="19"/>
          <w:szCs w:val="19"/>
          <w:color w:val="auto"/>
        </w:rPr>
        <w:t xml:space="preserve"> In furtherance of and subject to the Trust Indenture Act of 1939, and subject to</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Section 5.01:</w:t>
      </w:r>
    </w:p>
    <w:p>
      <w:pPr>
        <w:spacing w:after="0" w:line="225" w:lineRule="exact"/>
        <w:rPr>
          <w:sz w:val="20"/>
          <w:szCs w:val="20"/>
          <w:color w:val="auto"/>
        </w:rPr>
      </w:pPr>
    </w:p>
    <w:p>
      <w:pPr>
        <w:ind w:left="680" w:right="120" w:firstLine="683"/>
        <w:spacing w:after="0" w:line="284" w:lineRule="auto"/>
        <w:tabs>
          <w:tab w:leader="none" w:pos="1671"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Trustee may conclusively rely and shall be protected in acting or refraining from acting upon any resolution, Officersâ€™ Certificate or any other certificate, statement, instrument, opinion, report, notice, request, consent, order, bond, debenture, note, coupon, security or other paper or document believed by it to be genuine and to have been signed or presented by the proper party or parties;</w:t>
      </w:r>
    </w:p>
    <w:p>
      <w:pPr>
        <w:spacing w:after="0" w:line="177" w:lineRule="exact"/>
        <w:rPr>
          <w:rFonts w:ascii="Arial" w:cs="Arial" w:eastAsia="Arial" w:hAnsi="Arial"/>
          <w:sz w:val="18"/>
          <w:szCs w:val="18"/>
          <w:color w:val="auto"/>
        </w:rPr>
      </w:pPr>
    </w:p>
    <w:p>
      <w:pPr>
        <w:jc w:val="both"/>
        <w:ind w:left="680" w:right="260" w:firstLine="683"/>
        <w:spacing w:after="0" w:line="263" w:lineRule="auto"/>
        <w:tabs>
          <w:tab w:leader="none" w:pos="1681" w:val="left"/>
        </w:tabs>
        <w:numPr>
          <w:ilvl w:val="0"/>
          <w:numId w:val="26"/>
        </w:numPr>
        <w:rPr>
          <w:rFonts w:ascii="Arial" w:cs="Arial" w:eastAsia="Arial" w:hAnsi="Arial"/>
          <w:sz w:val="19"/>
          <w:szCs w:val="19"/>
          <w:color w:val="auto"/>
        </w:rPr>
      </w:pPr>
      <w:r>
        <w:rPr>
          <w:rFonts w:ascii="Arial" w:cs="Arial" w:eastAsia="Arial" w:hAnsi="Arial"/>
          <w:sz w:val="19"/>
          <w:szCs w:val="19"/>
          <w:color w:val="auto"/>
        </w:rPr>
        <w:t>any request, direction, order or demand of the Issuer mentioned herein shall be sufficiently evidenced by an Officersâ€™ Certificate (unless other evidence in respect thereof be herein specifically prescribed); and any resolution of the Board may be evidenced to the Trustee by a copy thereof certified by the secretary or an assistant secretary of the Issuer;</w:t>
      </w:r>
    </w:p>
    <w:p>
      <w:pPr>
        <w:spacing w:after="0" w:line="194" w:lineRule="exact"/>
        <w:rPr>
          <w:rFonts w:ascii="Arial" w:cs="Arial" w:eastAsia="Arial" w:hAnsi="Arial"/>
          <w:sz w:val="19"/>
          <w:szCs w:val="19"/>
          <w:color w:val="auto"/>
        </w:rPr>
      </w:pPr>
    </w:p>
    <w:p>
      <w:pPr>
        <w:jc w:val="both"/>
        <w:ind w:left="680" w:firstLine="683"/>
        <w:spacing w:after="0" w:line="263" w:lineRule="auto"/>
        <w:tabs>
          <w:tab w:leader="none" w:pos="1671"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194" w:lineRule="exact"/>
        <w:rPr>
          <w:rFonts w:ascii="Arial" w:cs="Arial" w:eastAsia="Arial" w:hAnsi="Arial"/>
          <w:sz w:val="19"/>
          <w:szCs w:val="19"/>
          <w:color w:val="auto"/>
        </w:rPr>
      </w:pPr>
    </w:p>
    <w:p>
      <w:pPr>
        <w:jc w:val="both"/>
        <w:ind w:left="680" w:right="380" w:firstLine="683"/>
        <w:spacing w:after="0" w:line="308" w:lineRule="auto"/>
        <w:tabs>
          <w:tab w:leader="none" w:pos="1681"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satisfactory to it against the costs, expenses and liabilities which might be incurred therein or thereby;</w:t>
      </w:r>
    </w:p>
    <w:p>
      <w:pPr>
        <w:spacing w:after="0" w:line="160" w:lineRule="exact"/>
        <w:rPr>
          <w:rFonts w:ascii="Arial" w:cs="Arial" w:eastAsia="Arial" w:hAnsi="Arial"/>
          <w:sz w:val="17"/>
          <w:szCs w:val="17"/>
          <w:color w:val="auto"/>
        </w:rPr>
      </w:pPr>
    </w:p>
    <w:p>
      <w:pPr>
        <w:ind w:left="680" w:right="600" w:firstLine="683"/>
        <w:spacing w:after="0" w:line="275" w:lineRule="auto"/>
        <w:tabs>
          <w:tab w:leader="none" w:pos="1671"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Trustee shall not be liable for any action taken or omitted by it in good faith and believed by it to be authorized or within the discretion, rights or powers conferred upon it by this Indenture;</w:t>
      </w:r>
    </w:p>
    <w:p>
      <w:pPr>
        <w:spacing w:after="0" w:line="183" w:lineRule="exact"/>
        <w:rPr>
          <w:rFonts w:ascii="Arial" w:cs="Arial" w:eastAsia="Arial" w:hAnsi="Arial"/>
          <w:sz w:val="19"/>
          <w:szCs w:val="19"/>
          <w:color w:val="auto"/>
        </w:rPr>
      </w:pPr>
    </w:p>
    <w:p>
      <w:pPr>
        <w:ind w:left="680" w:right="80" w:firstLine="683"/>
        <w:spacing w:after="0" w:line="288" w:lineRule="auto"/>
        <w:tabs>
          <w:tab w:leader="none" w:pos="1649" w:val="left"/>
        </w:tabs>
        <w:numPr>
          <w:ilvl w:val="0"/>
          <w:numId w:val="26"/>
        </w:numPr>
        <w:rPr>
          <w:rFonts w:ascii="Arial" w:cs="Arial" w:eastAsia="Arial" w:hAnsi="Arial"/>
          <w:sz w:val="17"/>
          <w:szCs w:val="17"/>
          <w:color w:val="auto"/>
        </w:rPr>
      </w:pPr>
      <w:r>
        <w:rPr>
          <w:rFonts w:ascii="Arial" w:cs="Arial" w:eastAsia="Arial" w:hAnsi="Arial"/>
          <w:sz w:val="17"/>
          <w:szCs w:val="17"/>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177" w:lineRule="exact"/>
        <w:rPr>
          <w:rFonts w:ascii="Arial" w:cs="Arial" w:eastAsia="Arial" w:hAnsi="Arial"/>
          <w:sz w:val="17"/>
          <w:szCs w:val="17"/>
          <w:color w:val="auto"/>
        </w:rPr>
      </w:pPr>
    </w:p>
    <w:p>
      <w:pPr>
        <w:ind w:left="680" w:right="180" w:firstLine="683"/>
        <w:spacing w:after="0" w:line="263" w:lineRule="auto"/>
        <w:tabs>
          <w:tab w:leader="none" w:pos="1681"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194" w:lineRule="exact"/>
        <w:rPr>
          <w:rFonts w:ascii="Arial" w:cs="Arial" w:eastAsia="Arial" w:hAnsi="Arial"/>
          <w:sz w:val="19"/>
          <w:szCs w:val="19"/>
          <w:color w:val="auto"/>
        </w:rPr>
      </w:pPr>
    </w:p>
    <w:p>
      <w:pPr>
        <w:ind w:left="680" w:right="220" w:firstLine="683"/>
        <w:spacing w:after="0" w:line="263" w:lineRule="auto"/>
        <w:tabs>
          <w:tab w:leader="none" w:pos="1681" w:val="left"/>
        </w:tabs>
        <w:numPr>
          <w:ilvl w:val="0"/>
          <w:numId w:val="26"/>
        </w:numPr>
        <w:rPr>
          <w:rFonts w:ascii="Arial" w:cs="Arial" w:eastAsia="Arial" w:hAnsi="Arial"/>
          <w:sz w:val="19"/>
          <w:szCs w:val="19"/>
          <w:color w:val="auto"/>
        </w:rPr>
      </w:pPr>
      <w:r>
        <w:rPr>
          <w:rFonts w:ascii="Arial" w:cs="Arial" w:eastAsia="Arial" w:hAnsi="Arial"/>
          <w:sz w:val="19"/>
          <w:szCs w:val="19"/>
          <w:color w:val="auto"/>
        </w:rPr>
        <w:t>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Officersâ€™ Certificate;</w:t>
      </w:r>
    </w:p>
    <w:p>
      <w:pPr>
        <w:spacing w:after="0" w:line="194" w:lineRule="exact"/>
        <w:rPr>
          <w:rFonts w:ascii="Arial" w:cs="Arial" w:eastAsia="Arial" w:hAnsi="Arial"/>
          <w:sz w:val="19"/>
          <w:szCs w:val="19"/>
          <w:color w:val="auto"/>
        </w:rPr>
      </w:pPr>
    </w:p>
    <w:p>
      <w:pPr>
        <w:ind w:left="680" w:right="260" w:firstLine="683"/>
        <w:spacing w:after="0" w:line="336" w:lineRule="auto"/>
        <w:tabs>
          <w:tab w:leader="none" w:pos="1639"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Trustee shall not be deemed to have notice of any Event of Default or an event which, with notice or lapse of time or both, would constitute an Event of Default unless a Responsible Officer of the Trustee has actual knowledge thereof or unless written notice of any</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0" w:right="80"/>
        <w:spacing w:after="0" w:line="275" w:lineRule="auto"/>
        <w:rPr>
          <w:sz w:val="20"/>
          <w:szCs w:val="20"/>
          <w:color w:val="auto"/>
        </w:rPr>
      </w:pPr>
      <w:r>
        <w:rPr>
          <w:rFonts w:ascii="Arial" w:cs="Arial" w:eastAsia="Arial" w:hAnsi="Arial"/>
          <w:sz w:val="19"/>
          <w:szCs w:val="19"/>
          <w:color w:val="auto"/>
        </w:rPr>
        <w:t>event which is in fact such a default is received by the Trustee at the Corporate Trust Office of the Trustee, and such notice references the Securities and this Indenture;</w:t>
      </w:r>
    </w:p>
    <w:p>
      <w:pPr>
        <w:spacing w:after="0" w:line="184" w:lineRule="exact"/>
        <w:rPr>
          <w:sz w:val="20"/>
          <w:szCs w:val="20"/>
          <w:color w:val="auto"/>
        </w:rPr>
      </w:pPr>
    </w:p>
    <w:p>
      <w:pPr>
        <w:jc w:val="both"/>
        <w:ind w:left="680" w:right="200" w:firstLine="683"/>
        <w:spacing w:after="0" w:line="372" w:lineRule="auto"/>
        <w:tabs>
          <w:tab w:leader="none" w:pos="1639"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rights, privileges, protections, immunities and benefits given to the Trustee, including its right to be indemnified, are extended to, and shall be enforceable by, the Trustee in each of its capacities hereunder, and each agent, custodian and other Person employed to act hereunder;</w:t>
      </w:r>
    </w:p>
    <w:p>
      <w:pPr>
        <w:spacing w:after="0" w:line="114" w:lineRule="exact"/>
        <w:rPr>
          <w:rFonts w:ascii="Arial" w:cs="Arial" w:eastAsia="Arial" w:hAnsi="Arial"/>
          <w:sz w:val="16"/>
          <w:szCs w:val="16"/>
          <w:color w:val="auto"/>
        </w:rPr>
      </w:pPr>
    </w:p>
    <w:p>
      <w:pPr>
        <w:ind w:left="680" w:right="40" w:firstLine="683"/>
        <w:spacing w:after="0" w:line="259" w:lineRule="auto"/>
        <w:tabs>
          <w:tab w:leader="none" w:pos="1681"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Trustee may request that the Issuer deliver an Officersâ€™ Certificate setting forth the names of individuals and/or titles of officers authorized at such time to take specified actions pursuant to this Indenture, which Officersâ€™ Certificate may be signed by any person authorized to sign an Officersâ€™ Certificate, including any person specified as so authorized in any such certificate previously delivered and not superseded; and</w:t>
      </w:r>
    </w:p>
    <w:p>
      <w:pPr>
        <w:spacing w:after="0" w:line="197" w:lineRule="exact"/>
        <w:rPr>
          <w:rFonts w:ascii="Arial" w:cs="Arial" w:eastAsia="Arial" w:hAnsi="Arial"/>
          <w:sz w:val="19"/>
          <w:szCs w:val="19"/>
          <w:color w:val="auto"/>
        </w:rPr>
      </w:pPr>
    </w:p>
    <w:p>
      <w:pPr>
        <w:jc w:val="both"/>
        <w:ind w:left="680" w:right="560" w:firstLine="683"/>
        <w:spacing w:after="0" w:line="263" w:lineRule="auto"/>
        <w:tabs>
          <w:tab w:leader="none" w:pos="1639" w:val="left"/>
        </w:tabs>
        <w:numPr>
          <w:ilvl w:val="0"/>
          <w:numId w:val="27"/>
        </w:numPr>
        <w:rPr>
          <w:rFonts w:ascii="Arial" w:cs="Arial" w:eastAsia="Arial" w:hAnsi="Arial"/>
          <w:sz w:val="19"/>
          <w:szCs w:val="19"/>
          <w:color w:val="auto"/>
        </w:rPr>
      </w:pPr>
      <w:r>
        <w:rPr>
          <w:rFonts w:ascii="Arial" w:cs="Arial" w:eastAsia="Arial" w:hAnsi="Arial"/>
          <w:sz w:val="19"/>
          <w:szCs w:val="19"/>
          <w:color w:val="auto"/>
        </w:rPr>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w:t>
      </w:r>
    </w:p>
    <w:p>
      <w:pPr>
        <w:spacing w:after="0" w:line="194" w:lineRule="exact"/>
        <w:rPr>
          <w:sz w:val="20"/>
          <w:szCs w:val="20"/>
          <w:color w:val="auto"/>
        </w:rPr>
      </w:pPr>
    </w:p>
    <w:p>
      <w:pPr>
        <w:ind w:right="300" w:firstLine="1369"/>
        <w:spacing w:after="0" w:line="298"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Trustee Not Responsible for Recitals, Disposition of Securities or Application of Proceeds Thereof.</w:t>
      </w:r>
      <w:r>
        <w:rPr>
          <w:rFonts w:ascii="Arial" w:cs="Arial" w:eastAsia="Arial" w:hAnsi="Arial"/>
          <w:sz w:val="17"/>
          <w:szCs w:val="17"/>
          <w:color w:val="auto"/>
        </w:rPr>
        <w:t xml:space="preserve"> The recitals contained herein and in the Securities, except the Trusteeâ€™s certificates of authentication, shall be taken as the statements of the Issuer, and the Trustee assumes no responsibility for the correctness of the same. The Trustee makes no representation as to the validity or sufficiency of this Indenture or of the Securities. The Trustee shall not be accountable for the use or application by the Issuer of any of the Securities or of the proceeds thereof.</w:t>
      </w:r>
    </w:p>
    <w:p>
      <w:pPr>
        <w:spacing w:after="0" w:line="170" w:lineRule="exact"/>
        <w:rPr>
          <w:sz w:val="20"/>
          <w:szCs w:val="20"/>
          <w:color w:val="auto"/>
        </w:rPr>
      </w:pPr>
    </w:p>
    <w:p>
      <w:pPr>
        <w:ind w:firstLine="1369"/>
        <w:spacing w:after="0" w:line="336" w:lineRule="auto"/>
        <w:rPr>
          <w:sz w:val="20"/>
          <w:szCs w:val="20"/>
          <w:color w:val="auto"/>
        </w:rPr>
      </w:pPr>
      <w:r>
        <w:rPr>
          <w:rFonts w:ascii="Arial" w:cs="Arial" w:eastAsia="Arial" w:hAnsi="Arial"/>
          <w:sz w:val="17"/>
          <w:szCs w:val="17"/>
          <w:color w:val="auto"/>
        </w:rPr>
        <w:t xml:space="preserve">SECTION 5.04. </w:t>
      </w:r>
      <w:r>
        <w:rPr>
          <w:rFonts w:ascii="Arial" w:cs="Arial" w:eastAsia="Arial" w:hAnsi="Arial"/>
          <w:sz w:val="17"/>
          <w:szCs w:val="17"/>
          <w:u w:val="single" w:color="auto"/>
          <w:color w:val="auto"/>
        </w:rPr>
        <w:t>Trustee and Agents May Hold Securities; Collections, etc.</w:t>
      </w:r>
      <w:r>
        <w:rPr>
          <w:rFonts w:ascii="Arial" w:cs="Arial" w:eastAsia="Arial" w:hAnsi="Arial"/>
          <w:sz w:val="17"/>
          <w:szCs w:val="17"/>
          <w:color w:val="auto"/>
        </w:rPr>
        <w:t xml:space="preserve"> Subject to Section 311 of the Trust Indenture Act of 1939, the Trustee or any agent of the Issuer or the Trustee, in its individual or any other capacity, may become the owner or pledgee of Securities with the same rights it</w:t>
      </w:r>
    </w:p>
    <w:p>
      <w:pPr>
        <w:sectPr>
          <w:pgSz w:w="12240" w:h="15840" w:orient="portrait"/>
          <w:cols w:equalWidth="0" w:num="1">
            <w:col w:w="12000"/>
          </w:cols>
          <w:pgMar w:left="120" w:top="213" w:right="120" w:bottom="0" w:gutter="0" w:footer="0" w:header="0"/>
        </w:sectPr>
      </w:pPr>
    </w:p>
    <w:bookmarkStart w:id="65" w:name="page66"/>
    <w:bookmarkEnd w:id="65"/>
    <w:p>
      <w:pPr>
        <w:ind w:right="240"/>
        <w:spacing w:after="0" w:line="260" w:lineRule="auto"/>
        <w:rPr>
          <w:sz w:val="20"/>
          <w:szCs w:val="20"/>
          <w:color w:val="auto"/>
        </w:rPr>
      </w:pPr>
      <w:r>
        <w:rPr>
          <w:rFonts w:ascii="Arial" w:cs="Arial" w:eastAsia="Arial" w:hAnsi="Arial"/>
          <w:sz w:val="19"/>
          <w:szCs w:val="19"/>
          <w:color w:val="auto"/>
        </w:rPr>
        <w:t>would have if it were not the Trustee or such agent and may otherwise deal with the Issuer and receive, collect, hold and retain collections from the Issuer with the same rights it would have if it were not the Trustee or such agent.</w:t>
      </w:r>
    </w:p>
    <w:p>
      <w:pPr>
        <w:spacing w:after="0" w:line="197" w:lineRule="exact"/>
        <w:rPr>
          <w:sz w:val="20"/>
          <w:szCs w:val="20"/>
          <w:color w:val="auto"/>
        </w:rPr>
      </w:pPr>
    </w:p>
    <w:p>
      <w:pPr>
        <w:ind w:firstLine="1369"/>
        <w:spacing w:after="0" w:line="259" w:lineRule="auto"/>
        <w:rPr>
          <w:sz w:val="20"/>
          <w:szCs w:val="20"/>
          <w:color w:val="auto"/>
        </w:rPr>
      </w:pPr>
      <w:r>
        <w:rPr>
          <w:rFonts w:ascii="Arial" w:cs="Arial" w:eastAsia="Arial" w:hAnsi="Arial"/>
          <w:sz w:val="19"/>
          <w:szCs w:val="19"/>
          <w:color w:val="auto"/>
        </w:rPr>
        <w:t xml:space="preserve">SECTION 5.05. </w:t>
      </w:r>
      <w:r>
        <w:rPr>
          <w:rFonts w:ascii="Arial" w:cs="Arial" w:eastAsia="Arial" w:hAnsi="Arial"/>
          <w:sz w:val="19"/>
          <w:szCs w:val="19"/>
          <w:u w:val="single" w:color="auto"/>
          <w:color w:val="auto"/>
        </w:rPr>
        <w:t>Moneys Held by Trustee.</w:t>
      </w:r>
      <w:r>
        <w:rPr>
          <w:rFonts w:ascii="Arial" w:cs="Arial" w:eastAsia="Arial" w:hAnsi="Arial"/>
          <w:sz w:val="19"/>
          <w:szCs w:val="19"/>
          <w:color w:val="auto"/>
        </w:rPr>
        <w:t xml:space="preserve"> Subject to the provisions of Section 9.04 hereof, all moneys received by the Trustee shall, until used or applied as herein provided, be held in trust for the purposes for which they were received, but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98" w:lineRule="exact"/>
        <w:rPr>
          <w:sz w:val="20"/>
          <w:szCs w:val="20"/>
          <w:color w:val="auto"/>
        </w:rPr>
      </w:pPr>
    </w:p>
    <w:p>
      <w:pPr>
        <w:ind w:firstLine="1369"/>
        <w:spacing w:after="0" w:line="285" w:lineRule="auto"/>
        <w:rPr>
          <w:sz w:val="20"/>
          <w:szCs w:val="20"/>
          <w:color w:val="auto"/>
        </w:rPr>
      </w:pPr>
      <w:r>
        <w:rPr>
          <w:rFonts w:ascii="Arial" w:cs="Arial" w:eastAsia="Arial" w:hAnsi="Arial"/>
          <w:sz w:val="17"/>
          <w:szCs w:val="17"/>
          <w:color w:val="auto"/>
        </w:rPr>
        <w:t xml:space="preserve">SECTION 5.06. </w:t>
      </w:r>
      <w:r>
        <w:rPr>
          <w:rFonts w:ascii="Arial" w:cs="Arial" w:eastAsia="Arial" w:hAnsi="Arial"/>
          <w:sz w:val="17"/>
          <w:szCs w:val="17"/>
          <w:u w:val="single" w:color="auto"/>
          <w:color w:val="auto"/>
        </w:rPr>
        <w:t>Compensation and Indemnification of Trustee and its Prior Claim.</w:t>
      </w:r>
      <w:r>
        <w:rPr>
          <w:rFonts w:ascii="Arial" w:cs="Arial" w:eastAsia="Arial" w:hAnsi="Arial"/>
          <w:sz w:val="17"/>
          <w:szCs w:val="17"/>
          <w:color w:val="auto"/>
        </w:rPr>
        <w:t xml:space="preserve"> The Issuer covenants and agrees to pay to the Trustee from time to time, and the Trustee shall be entitled to, compensation as the Issuer and the Trustee shall from time to time agree in writing (which shall not be limited by any provision of law in regard to the compensation of a trustee of an express trust) and the Issuer covenants and agrees to pay or reimburse the Trustee and each predecessor trustee upon its request for all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is caused by its own negligence, willful misconduct or bad faith. The Issuer also covenants to indemnify the Trustee and each predecessor trustee and their agents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in the premises, except to the extent such loss, liability or expense is caused by the negligence, willful misconduct or bad faith of the Trustee, its agents or employees or such predecessor trustee. The obligations of the Issuer under this Section to compensate and indemnify the Trustee and each predecessor trustee and to pay</w:t>
      </w:r>
    </w:p>
    <w:p>
      <w:pPr>
        <w:spacing w:after="0" w:line="185" w:lineRule="exact"/>
        <w:rPr>
          <w:sz w:val="20"/>
          <w:szCs w:val="20"/>
          <w:color w:val="auto"/>
        </w:rPr>
      </w:pPr>
    </w:p>
    <w:p>
      <w:pPr>
        <w:jc w:val="center"/>
        <w:ind w:right="-79"/>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20"/>
          </w:cols>
          <w:pgMar w:left="120" w:top="0" w:right="200" w:bottom="1440" w:gutter="0" w:footer="0" w:header="0"/>
        </w:sectPr>
      </w:pPr>
    </w:p>
    <w:bookmarkStart w:id="66" w:name="page67"/>
    <w:bookmarkEnd w:id="66"/>
    <w:p>
      <w:pPr>
        <w:ind w:right="80"/>
        <w:spacing w:after="0" w:line="259" w:lineRule="auto"/>
        <w:rPr>
          <w:sz w:val="20"/>
          <w:szCs w:val="20"/>
          <w:color w:val="auto"/>
        </w:rPr>
      </w:pPr>
      <w:r>
        <w:rPr>
          <w:rFonts w:ascii="Arial" w:cs="Arial" w:eastAsia="Arial" w:hAnsi="Arial"/>
          <w:sz w:val="19"/>
          <w:szCs w:val="19"/>
          <w:color w:val="auto"/>
        </w:rPr>
        <w:t>or reimburse the Trustee and each predecessor trustee for expenses, disbursements and advances shall constitute additional indebtedness hereunder and shall survive the satisfaction and discharge of this Indenture. Such additional indebtedness shall be a senior claim to that of the Securities upon all property and funds held or collected by the Trustee as such, except funds held in trust for the benefit of the Holders of particular Securities, and the Securities are hereby subordinated to such senior claim.</w:t>
      </w:r>
    </w:p>
    <w:p>
      <w:pPr>
        <w:spacing w:after="0" w:line="198" w:lineRule="exact"/>
        <w:rPr>
          <w:sz w:val="20"/>
          <w:szCs w:val="20"/>
          <w:color w:val="auto"/>
        </w:rPr>
      </w:pPr>
    </w:p>
    <w:p>
      <w:pPr>
        <w:ind w:left="1360"/>
        <w:spacing w:after="0"/>
        <w:rPr>
          <w:sz w:val="20"/>
          <w:szCs w:val="20"/>
          <w:color w:val="auto"/>
        </w:rPr>
      </w:pPr>
      <w:r>
        <w:rPr>
          <w:rFonts w:ascii="Arial" w:cs="Arial" w:eastAsia="Arial" w:hAnsi="Arial"/>
          <w:sz w:val="19"/>
          <w:szCs w:val="19"/>
          <w:color w:val="auto"/>
        </w:rPr>
        <w:t>When the Trustee incurs expenses or renders services in connection with an Event of Default specified in Section 4.01(c) or</w:t>
      </w:r>
    </w:p>
    <w:p>
      <w:pPr>
        <w:spacing w:after="0" w:line="23" w:lineRule="exact"/>
        <w:rPr>
          <w:sz w:val="20"/>
          <w:szCs w:val="20"/>
          <w:color w:val="auto"/>
        </w:rPr>
      </w:pPr>
    </w:p>
    <w:p>
      <w:pPr>
        <w:ind w:right="80"/>
        <w:spacing w:after="0" w:line="289" w:lineRule="auto"/>
        <w:rPr>
          <w:sz w:val="20"/>
          <w:szCs w:val="20"/>
          <w:color w:val="auto"/>
        </w:rPr>
      </w:pPr>
      <w:r>
        <w:rPr>
          <w:rFonts w:ascii="Arial" w:cs="Arial" w:eastAsia="Arial" w:hAnsi="Arial"/>
          <w:sz w:val="18"/>
          <w:szCs w:val="18"/>
          <w:color w:val="auto"/>
        </w:rPr>
        <w:t>Section 4.01(d), the expenses (including the reasonable charges and expenses of its counsel) and the compensation for the services are intended to constitute expenses of administration under any applicable U.S. federal, state or non-U.S. bankruptcy, insolvency or other similar law.</w:t>
      </w:r>
    </w:p>
    <w:p>
      <w:pPr>
        <w:spacing w:after="0" w:line="173" w:lineRule="exact"/>
        <w:rPr>
          <w:sz w:val="20"/>
          <w:szCs w:val="20"/>
          <w:color w:val="auto"/>
        </w:rPr>
      </w:pPr>
    </w:p>
    <w:p>
      <w:pPr>
        <w:ind w:firstLine="1369"/>
        <w:spacing w:after="0" w:line="255" w:lineRule="auto"/>
        <w:rPr>
          <w:sz w:val="20"/>
          <w:szCs w:val="20"/>
          <w:color w:val="auto"/>
        </w:rPr>
      </w:pPr>
      <w:r>
        <w:rPr>
          <w:rFonts w:ascii="Arial" w:cs="Arial" w:eastAsia="Arial" w:hAnsi="Arial"/>
          <w:sz w:val="19"/>
          <w:szCs w:val="19"/>
          <w:color w:val="auto"/>
        </w:rPr>
        <w:t xml:space="preserve">SECTION 5.07. </w:t>
      </w:r>
      <w:r>
        <w:rPr>
          <w:rFonts w:ascii="Arial" w:cs="Arial" w:eastAsia="Arial" w:hAnsi="Arial"/>
          <w:sz w:val="19"/>
          <w:szCs w:val="19"/>
          <w:u w:val="single" w:color="auto"/>
          <w:color w:val="auto"/>
        </w:rPr>
        <w:t>Right of Trustee to Rely on Officersâ€™ Certificate, etc.</w:t>
      </w:r>
      <w:r>
        <w:rPr>
          <w:rFonts w:ascii="Arial" w:cs="Arial" w:eastAsia="Arial" w:hAnsi="Arial"/>
          <w:sz w:val="19"/>
          <w:szCs w:val="19"/>
          <w:color w:val="auto"/>
        </w:rPr>
        <w:t xml:space="preserve">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Officersâ€™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204" w:lineRule="exact"/>
        <w:rPr>
          <w:sz w:val="20"/>
          <w:szCs w:val="20"/>
          <w:color w:val="auto"/>
        </w:rPr>
      </w:pPr>
    </w:p>
    <w:p>
      <w:pPr>
        <w:ind w:right="120" w:firstLine="1369"/>
        <w:spacing w:after="0" w:line="255" w:lineRule="auto"/>
        <w:rPr>
          <w:sz w:val="20"/>
          <w:szCs w:val="20"/>
          <w:color w:val="auto"/>
        </w:rPr>
      </w:pPr>
      <w:r>
        <w:rPr>
          <w:rFonts w:ascii="Arial" w:cs="Arial" w:eastAsia="Arial" w:hAnsi="Arial"/>
          <w:sz w:val="19"/>
          <w:szCs w:val="19"/>
          <w:color w:val="auto"/>
        </w:rPr>
        <w:t xml:space="preserve">SECTION 5.08. </w:t>
      </w:r>
      <w:r>
        <w:rPr>
          <w:rFonts w:ascii="Arial" w:cs="Arial" w:eastAsia="Arial" w:hAnsi="Arial"/>
          <w:sz w:val="19"/>
          <w:szCs w:val="19"/>
          <w:u w:val="single" w:color="auto"/>
          <w:color w:val="auto"/>
        </w:rPr>
        <w:t>Persons Eligible for Appointment as Trustee.</w:t>
      </w:r>
      <w:r>
        <w:rPr>
          <w:rFonts w:ascii="Arial" w:cs="Arial" w:eastAsia="Arial" w:hAnsi="Arial"/>
          <w:sz w:val="19"/>
          <w:szCs w:val="19"/>
          <w:color w:val="auto"/>
        </w:rPr>
        <w:t xml:space="preserve"> The Trustee for each series of Securities hereunder shall at all times be a corporation organized and doing business under the laws of the United States of America or the District of Columbia having a combined capital and surplus of at least $25,000,000, and which is eligible in accordance with the provisions of Section 310(a) of the Trust Indenture Act of 1939. If such corporation publishes reports of condition at least annually, pursuant to law or to the requirements of a federal, state or District of Columbia supervising or examining authority, then for the purposes of this Section, the combined capital and surplus of such corporation shall be deemed to be its combined capital and surplus as set forth in its most recent report of condition so published.</w:t>
      </w:r>
    </w:p>
    <w:p>
      <w:pPr>
        <w:spacing w:after="0" w:line="204" w:lineRule="exact"/>
        <w:rPr>
          <w:sz w:val="20"/>
          <w:szCs w:val="20"/>
          <w:color w:val="auto"/>
        </w:rPr>
      </w:pPr>
    </w:p>
    <w:p>
      <w:pPr>
        <w:ind w:right="120" w:firstLine="1369"/>
        <w:spacing w:after="0" w:line="286" w:lineRule="auto"/>
        <w:rPr>
          <w:sz w:val="20"/>
          <w:szCs w:val="20"/>
          <w:color w:val="auto"/>
        </w:rPr>
      </w:pPr>
      <w:r>
        <w:rPr>
          <w:rFonts w:ascii="Arial" w:cs="Arial" w:eastAsia="Arial" w:hAnsi="Arial"/>
          <w:sz w:val="17"/>
          <w:szCs w:val="17"/>
          <w:color w:val="auto"/>
        </w:rPr>
        <w:t xml:space="preserve">SECTION 5.09. </w:t>
      </w:r>
      <w:r>
        <w:rPr>
          <w:rFonts w:ascii="Arial" w:cs="Arial" w:eastAsia="Arial" w:hAnsi="Arial"/>
          <w:sz w:val="17"/>
          <w:szCs w:val="17"/>
          <w:u w:val="single" w:color="auto"/>
          <w:color w:val="auto"/>
        </w:rPr>
        <w:t>Resignation and Removal; Appointment of Successor Trustee.</w:t>
      </w:r>
      <w:r>
        <w:rPr>
          <w:rFonts w:ascii="Arial" w:cs="Arial" w:eastAsia="Arial" w:hAnsi="Arial"/>
          <w:sz w:val="17"/>
          <w:szCs w:val="17"/>
          <w:color w:val="auto"/>
        </w:rPr>
        <w:t xml:space="preserve"> (a) The Trustee, or any trustee or trustees hereafter appointed, may at any time resign with respect to one or more or all series of Securities by giving written notice of resignation to the Issuer and by mailing notice thereof by first class mail to Holders of the applicable series of Securities at their last addresses as they shall appear on the Security register. Upon receiving such notice of resignation, the Issuer shall promptly appoint a successor trustee or trustees with respect to the applicable series by written instrument in duplicate, executed by authority of the Board,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at the Issuerâ€™s expense may petition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81" w:lineRule="exact"/>
        <w:rPr>
          <w:sz w:val="20"/>
          <w:szCs w:val="20"/>
          <w:color w:val="auto"/>
        </w:rPr>
      </w:pPr>
    </w:p>
    <w:p>
      <w:pPr>
        <w:ind w:left="1680" w:hanging="317"/>
        <w:spacing w:after="0"/>
        <w:tabs>
          <w:tab w:leader="none" w:pos="1680" w:val="left"/>
        </w:tabs>
        <w:numPr>
          <w:ilvl w:val="0"/>
          <w:numId w:val="28"/>
        </w:numPr>
        <w:rPr>
          <w:rFonts w:ascii="Arial" w:cs="Arial" w:eastAsia="Arial" w:hAnsi="Arial"/>
          <w:sz w:val="19"/>
          <w:szCs w:val="19"/>
          <w:color w:val="auto"/>
        </w:rPr>
      </w:pPr>
      <w:r>
        <w:rPr>
          <w:rFonts w:ascii="Arial" w:cs="Arial" w:eastAsia="Arial" w:hAnsi="Arial"/>
          <w:sz w:val="19"/>
          <w:szCs w:val="19"/>
          <w:color w:val="auto"/>
        </w:rPr>
        <w:t>In case at any time any of the following shall occur:</w:t>
      </w:r>
    </w:p>
    <w:p>
      <w:pPr>
        <w:spacing w:after="0" w:line="237" w:lineRule="exact"/>
        <w:rPr>
          <w:rFonts w:ascii="Arial" w:cs="Arial" w:eastAsia="Arial" w:hAnsi="Arial"/>
          <w:sz w:val="19"/>
          <w:szCs w:val="19"/>
          <w:color w:val="auto"/>
        </w:rPr>
      </w:pPr>
    </w:p>
    <w:p>
      <w:pPr>
        <w:jc w:val="both"/>
        <w:ind w:left="1360" w:right="200" w:firstLine="688"/>
        <w:spacing w:after="0" w:line="263" w:lineRule="auto"/>
        <w:tabs>
          <w:tab w:leader="none" w:pos="2319"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13" w:right="160" w:bottom="1440" w:gutter="0" w:footer="0" w:header="0"/>
        </w:sectPr>
      </w:pPr>
    </w:p>
    <w:bookmarkStart w:id="67" w:name="page68"/>
    <w:bookmarkEnd w:id="67"/>
    <w:p>
      <w:pPr>
        <w:ind w:left="1360" w:right="240" w:firstLine="688"/>
        <w:spacing w:after="0" w:line="275" w:lineRule="auto"/>
        <w:tabs>
          <w:tab w:leader="none" w:pos="2372"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183" w:lineRule="exact"/>
        <w:rPr>
          <w:rFonts w:ascii="Arial" w:cs="Arial" w:eastAsia="Arial" w:hAnsi="Arial"/>
          <w:sz w:val="19"/>
          <w:szCs w:val="19"/>
          <w:color w:val="auto"/>
        </w:rPr>
      </w:pPr>
    </w:p>
    <w:p>
      <w:pPr>
        <w:ind w:left="1360" w:right="80" w:firstLine="688"/>
        <w:spacing w:after="0" w:line="263" w:lineRule="auto"/>
        <w:tabs>
          <w:tab w:leader="none" w:pos="2425" w:val="left"/>
        </w:tabs>
        <w:numPr>
          <w:ilvl w:val="0"/>
          <w:numId w:val="29"/>
        </w:numPr>
        <w:rPr>
          <w:rFonts w:ascii="Arial" w:cs="Arial" w:eastAsia="Arial" w:hAnsi="Arial"/>
          <w:sz w:val="19"/>
          <w:szCs w:val="19"/>
          <w:color w:val="auto"/>
        </w:rPr>
      </w:pPr>
      <w:r>
        <w:rPr>
          <w:rFonts w:ascii="Arial" w:cs="Arial" w:eastAsia="Arial" w:hAnsi="Arial"/>
          <w:sz w:val="19"/>
          <w:szCs w:val="19"/>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94" w:lineRule="exact"/>
        <w:rPr>
          <w:sz w:val="20"/>
          <w:szCs w:val="20"/>
          <w:color w:val="auto"/>
        </w:rPr>
      </w:pPr>
    </w:p>
    <w:p>
      <w:pPr>
        <w:ind w:right="20"/>
        <w:spacing w:after="0" w:line="272" w:lineRule="auto"/>
        <w:rPr>
          <w:sz w:val="20"/>
          <w:szCs w:val="20"/>
          <w:color w:val="auto"/>
        </w:rPr>
      </w:pPr>
      <w:r>
        <w:rPr>
          <w:rFonts w:ascii="Arial" w:cs="Arial" w:eastAsia="Arial" w:hAnsi="Arial"/>
          <w:sz w:val="18"/>
          <w:szCs w:val="18"/>
          <w:color w:val="auto"/>
        </w:rPr>
        <w:t>then, in any such case, the Issuer may remove the Trustee with respect to the applicable series of Securities and appoint a successor trustee for such series by written instrument, in duplicate, executed by order of the Board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90" w:lineRule="exact"/>
        <w:rPr>
          <w:sz w:val="20"/>
          <w:szCs w:val="20"/>
          <w:color w:val="auto"/>
        </w:rPr>
      </w:pPr>
    </w:p>
    <w:p>
      <w:pPr>
        <w:ind w:left="680" w:firstLine="683"/>
        <w:spacing w:after="0" w:line="259" w:lineRule="auto"/>
        <w:tabs>
          <w:tab w:leader="none" w:pos="1671" w:val="left"/>
        </w:tabs>
        <w:numPr>
          <w:ilvl w:val="0"/>
          <w:numId w:val="30"/>
        </w:numPr>
        <w:rPr>
          <w:rFonts w:ascii="Arial" w:cs="Arial" w:eastAsia="Arial" w:hAnsi="Arial"/>
          <w:sz w:val="19"/>
          <w:szCs w:val="19"/>
          <w:color w:val="auto"/>
        </w:rPr>
      </w:pPr>
      <w:r>
        <w:rPr>
          <w:rFonts w:ascii="Arial" w:cs="Arial" w:eastAsia="Arial" w:hAnsi="Arial"/>
          <w:sz w:val="19"/>
          <w:szCs w:val="19"/>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for in Section 6.01 of the action in that regard taken by the Securityholders.</w:t>
      </w:r>
    </w:p>
    <w:p>
      <w:pPr>
        <w:spacing w:after="0" w:line="197" w:lineRule="exact"/>
        <w:rPr>
          <w:rFonts w:ascii="Arial" w:cs="Arial" w:eastAsia="Arial" w:hAnsi="Arial"/>
          <w:sz w:val="19"/>
          <w:szCs w:val="19"/>
          <w:color w:val="auto"/>
        </w:rPr>
      </w:pPr>
    </w:p>
    <w:p>
      <w:pPr>
        <w:ind w:left="680" w:right="280" w:firstLine="683"/>
        <w:spacing w:after="0" w:line="263" w:lineRule="auto"/>
        <w:tabs>
          <w:tab w:leader="none" w:pos="1681" w:val="left"/>
        </w:tabs>
        <w:numPr>
          <w:ilvl w:val="0"/>
          <w:numId w:val="30"/>
        </w:numPr>
        <w:rPr>
          <w:rFonts w:ascii="Arial" w:cs="Arial" w:eastAsia="Arial" w:hAnsi="Arial"/>
          <w:sz w:val="19"/>
          <w:szCs w:val="19"/>
          <w:color w:val="auto"/>
        </w:rPr>
      </w:pPr>
      <w:r>
        <w:rPr>
          <w:rFonts w:ascii="Arial" w:cs="Arial" w:eastAsia="Arial" w:hAnsi="Arial"/>
          <w:sz w:val="19"/>
          <w:szCs w:val="19"/>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194" w:lineRule="exact"/>
        <w:rPr>
          <w:sz w:val="20"/>
          <w:szCs w:val="20"/>
          <w:color w:val="auto"/>
        </w:rPr>
      </w:pPr>
    </w:p>
    <w:p>
      <w:pPr>
        <w:ind w:right="20" w:firstLine="1369"/>
        <w:spacing w:after="0" w:line="286" w:lineRule="auto"/>
        <w:rPr>
          <w:sz w:val="20"/>
          <w:szCs w:val="20"/>
          <w:color w:val="auto"/>
        </w:rPr>
      </w:pPr>
      <w:r>
        <w:rPr>
          <w:rFonts w:ascii="Arial" w:cs="Arial" w:eastAsia="Arial" w:hAnsi="Arial"/>
          <w:sz w:val="17"/>
          <w:szCs w:val="17"/>
          <w:color w:val="auto"/>
        </w:rPr>
        <w:t xml:space="preserve">SECTION 5.10. </w:t>
      </w:r>
      <w:r>
        <w:rPr>
          <w:rFonts w:ascii="Arial" w:cs="Arial" w:eastAsia="Arial" w:hAnsi="Arial"/>
          <w:sz w:val="17"/>
          <w:szCs w:val="17"/>
          <w:u w:val="single" w:color="auto"/>
          <w:color w:val="auto"/>
        </w:rPr>
        <w:t>Acceptance of Appointment by Successor Trustee.</w:t>
      </w:r>
      <w:r>
        <w:rPr>
          <w:rFonts w:ascii="Arial" w:cs="Arial" w:eastAsia="Arial" w:hAnsi="Arial"/>
          <w:sz w:val="17"/>
          <w:szCs w:val="17"/>
          <w:color w:val="auto"/>
        </w:rPr>
        <w:t xml:space="preserve">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9.04,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181" w:lineRule="exact"/>
        <w:rPr>
          <w:sz w:val="20"/>
          <w:szCs w:val="20"/>
          <w:color w:val="auto"/>
        </w:rPr>
      </w:pPr>
    </w:p>
    <w:p>
      <w:pPr>
        <w:ind w:right="20" w:firstLine="1369"/>
        <w:spacing w:after="0" w:line="271" w:lineRule="auto"/>
        <w:rPr>
          <w:sz w:val="20"/>
          <w:szCs w:val="20"/>
          <w:color w:val="auto"/>
        </w:rPr>
      </w:pPr>
      <w:r>
        <w:rPr>
          <w:rFonts w:ascii="Arial" w:cs="Arial" w:eastAsia="Arial" w:hAnsi="Arial"/>
          <w:sz w:val="18"/>
          <w:szCs w:val="18"/>
          <w:color w:val="auto"/>
        </w:rPr>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68" w:name="page69"/>
    <w:bookmarkEnd w:id="68"/>
    <w:p>
      <w:pPr>
        <w:ind w:right="40" w:firstLine="1369"/>
        <w:spacing w:after="0" w:line="274" w:lineRule="auto"/>
        <w:rPr>
          <w:sz w:val="20"/>
          <w:szCs w:val="20"/>
          <w:color w:val="auto"/>
        </w:rPr>
      </w:pPr>
      <w:r>
        <w:rPr>
          <w:rFonts w:ascii="Arial" w:cs="Arial" w:eastAsia="Arial" w:hAnsi="Arial"/>
          <w:sz w:val="18"/>
          <w:szCs w:val="18"/>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88" w:lineRule="exact"/>
        <w:rPr>
          <w:sz w:val="20"/>
          <w:szCs w:val="20"/>
          <w:color w:val="auto"/>
        </w:rPr>
      </w:pPr>
    </w:p>
    <w:p>
      <w:pPr>
        <w:ind w:right="40" w:firstLine="1369"/>
        <w:spacing w:after="0" w:line="274"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u w:val="single" w:color="auto"/>
          <w:color w:val="auto"/>
        </w:rPr>
        <w:t>Merger, Conversion, Consolidation or Succession to Business of Trustee.</w:t>
      </w:r>
      <w:r>
        <w:rPr>
          <w:rFonts w:ascii="Arial" w:cs="Arial" w:eastAsia="Arial" w:hAnsi="Arial"/>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of the corporate trust business of the Trustee, shall be the successor of the Trustee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corporation shall be eligible under the provisions of Section 5.08, without the execution or filing of any paper or any further act on the part of any of the parties hereto, anything herein to the contrary notwithstanding.</w:t>
      </w:r>
    </w:p>
    <w:p>
      <w:pPr>
        <w:spacing w:after="0" w:line="188" w:lineRule="exact"/>
        <w:rPr>
          <w:sz w:val="20"/>
          <w:szCs w:val="20"/>
          <w:color w:val="auto"/>
        </w:rPr>
      </w:pPr>
    </w:p>
    <w:p>
      <w:pPr>
        <w:ind w:firstLine="1369"/>
        <w:spacing w:after="0" w:line="289" w:lineRule="auto"/>
        <w:rPr>
          <w:sz w:val="20"/>
          <w:szCs w:val="20"/>
          <w:color w:val="auto"/>
        </w:rPr>
      </w:pPr>
      <w:r>
        <w:rPr>
          <w:rFonts w:ascii="Arial" w:cs="Arial" w:eastAsia="Arial" w:hAnsi="Arial"/>
          <w:sz w:val="17"/>
          <w:szCs w:val="17"/>
          <w:color w:val="auto"/>
        </w:rPr>
        <w:t xml:space="preserve">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 which it is anywhere in the Securities of such series or in this Indenture provided that the certificate of the Trustee shall have;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ARTICLE 6</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9"/>
          <w:szCs w:val="19"/>
          <w:u w:val="single" w:color="auto"/>
          <w:color w:val="auto"/>
        </w:rPr>
        <w:t>Concerning the Securityholders</w:t>
      </w:r>
    </w:p>
    <w:p>
      <w:pPr>
        <w:spacing w:after="0" w:line="238" w:lineRule="exact"/>
        <w:rPr>
          <w:sz w:val="20"/>
          <w:szCs w:val="20"/>
          <w:color w:val="auto"/>
        </w:rPr>
      </w:pPr>
    </w:p>
    <w:p>
      <w:pPr>
        <w:ind w:right="60" w:firstLine="1369"/>
        <w:spacing w:after="0" w:line="291" w:lineRule="auto"/>
        <w:rPr>
          <w:sz w:val="20"/>
          <w:szCs w:val="20"/>
          <w:color w:val="auto"/>
        </w:rPr>
      </w:pPr>
      <w:r>
        <w:rPr>
          <w:rFonts w:ascii="Arial" w:cs="Arial" w:eastAsia="Arial" w:hAnsi="Arial"/>
          <w:sz w:val="17"/>
          <w:szCs w:val="17"/>
          <w:color w:val="auto"/>
        </w:rPr>
        <w:t xml:space="preserve">SECTION 6.01. </w:t>
      </w:r>
      <w:r>
        <w:rPr>
          <w:rFonts w:ascii="Arial" w:cs="Arial" w:eastAsia="Arial" w:hAnsi="Arial"/>
          <w:sz w:val="17"/>
          <w:szCs w:val="17"/>
          <w:u w:val="single" w:color="auto"/>
          <w:color w:val="auto"/>
        </w:rPr>
        <w:t>Evidence of Action Taken by Securityholders.</w:t>
      </w:r>
      <w:r>
        <w:rPr>
          <w:rFonts w:ascii="Arial" w:cs="Arial" w:eastAsia="Arial" w:hAnsi="Arial"/>
          <w:sz w:val="17"/>
          <w:szCs w:val="17"/>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75" w:lineRule="exact"/>
        <w:rPr>
          <w:sz w:val="20"/>
          <w:szCs w:val="20"/>
          <w:color w:val="auto"/>
        </w:rPr>
      </w:pPr>
    </w:p>
    <w:p>
      <w:pPr>
        <w:ind w:right="20" w:firstLine="1369"/>
        <w:spacing w:after="0" w:line="270"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u w:val="single" w:color="auto"/>
          <w:color w:val="auto"/>
        </w:rPr>
        <w:t>Proof of Execution of Instruments and of Holding of Securities; Record Date.</w:t>
      </w:r>
      <w:r>
        <w:rPr>
          <w:rFonts w:ascii="Arial" w:cs="Arial" w:eastAsia="Arial" w:hAnsi="Arial"/>
          <w:sz w:val="18"/>
          <w:szCs w:val="18"/>
          <w:color w:val="auto"/>
        </w:rPr>
        <w:t xml:space="preserve"> Subject to Sections 5.01 and 5.02, the execution of any instrument by a Securityholder or his agent or proxy may be proved in accordance with such reasonable rules and regulations as may be prescribed by the Trustee or in such manner as shall be satisfactory to the Trustee.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91" w:lineRule="exact"/>
        <w:rPr>
          <w:sz w:val="20"/>
          <w:szCs w:val="20"/>
          <w:color w:val="auto"/>
        </w:rPr>
      </w:pPr>
    </w:p>
    <w:p>
      <w:pPr>
        <w:jc w:val="both"/>
        <w:ind w:right="200" w:firstLine="1369"/>
        <w:spacing w:after="0" w:line="263" w:lineRule="auto"/>
        <w:rPr>
          <w:sz w:val="20"/>
          <w:szCs w:val="20"/>
          <w:color w:val="auto"/>
        </w:rPr>
      </w:pPr>
      <w:r>
        <w:rPr>
          <w:rFonts w:ascii="Arial" w:cs="Arial" w:eastAsia="Arial" w:hAnsi="Arial"/>
          <w:sz w:val="19"/>
          <w:szCs w:val="19"/>
          <w:color w:val="auto"/>
        </w:rPr>
        <w:t xml:space="preserve">SECTION 6.03. </w:t>
      </w:r>
      <w:r>
        <w:rPr>
          <w:rFonts w:ascii="Arial" w:cs="Arial" w:eastAsia="Arial" w:hAnsi="Arial"/>
          <w:sz w:val="19"/>
          <w:szCs w:val="19"/>
          <w:u w:val="single" w:color="auto"/>
          <w:color w:val="auto"/>
        </w:rPr>
        <w:t>Holders to be Treated as Owners.</w:t>
      </w:r>
      <w:r>
        <w:rPr>
          <w:rFonts w:ascii="Arial" w:cs="Arial" w:eastAsia="Arial" w:hAnsi="Arial"/>
          <w:sz w:val="19"/>
          <w:szCs w:val="19"/>
          <w:color w:val="auto"/>
        </w:rPr>
        <w:t xml:space="preserve"> The Issuer, the Trustee and any agent of the Issuer or the Trustee may deem and treat the person in whose name any Security shall be registered upon the Security register for such series as the absolute owner of such Security (whether or not such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69" w:name="page70"/>
    <w:bookmarkEnd w:id="69"/>
    <w:p>
      <w:pPr>
        <w:jc w:val="both"/>
        <w:ind w:right="80"/>
        <w:spacing w:after="0" w:line="298" w:lineRule="auto"/>
        <w:rPr>
          <w:sz w:val="20"/>
          <w:szCs w:val="20"/>
          <w:color w:val="auto"/>
        </w:rPr>
      </w:pPr>
      <w:r>
        <w:rPr>
          <w:rFonts w:ascii="Arial" w:cs="Arial" w:eastAsia="Arial" w:hAnsi="Arial"/>
          <w:sz w:val="17"/>
          <w:szCs w:val="17"/>
          <w:color w:val="auto"/>
        </w:rPr>
        <w:t>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70" w:lineRule="exact"/>
        <w:rPr>
          <w:sz w:val="20"/>
          <w:szCs w:val="20"/>
          <w:color w:val="auto"/>
        </w:rPr>
      </w:pPr>
    </w:p>
    <w:p>
      <w:pPr>
        <w:ind w:firstLine="1369"/>
        <w:spacing w:after="0" w:line="284" w:lineRule="auto"/>
        <w:rPr>
          <w:sz w:val="20"/>
          <w:szCs w:val="20"/>
          <w:color w:val="auto"/>
        </w:rPr>
      </w:pPr>
      <w:r>
        <w:rPr>
          <w:rFonts w:ascii="Arial" w:cs="Arial" w:eastAsia="Arial" w:hAnsi="Arial"/>
          <w:sz w:val="17"/>
          <w:szCs w:val="17"/>
          <w:color w:val="auto"/>
        </w:rPr>
        <w:t xml:space="preserve">SECTION 6.04. </w:t>
      </w:r>
      <w:r>
        <w:rPr>
          <w:rFonts w:ascii="Arial" w:cs="Arial" w:eastAsia="Arial" w:hAnsi="Arial"/>
          <w:sz w:val="17"/>
          <w:szCs w:val="17"/>
          <w:u w:val="single" w:color="auto"/>
          <w:color w:val="auto"/>
        </w:rPr>
        <w:t>Securities Owned by Issuer Deemed Not Outstanding.</w:t>
      </w:r>
      <w:r>
        <w:rPr>
          <w:rFonts w:ascii="Arial" w:cs="Arial" w:eastAsia="Arial" w:hAnsi="Arial"/>
          <w:sz w:val="17"/>
          <w:szCs w:val="17"/>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which a Responsible Officer of the Trustee actually knows are so owned shall be so disregarded. Securities so owned which have been pledged in good faith may be regarded as Outstanding if the pledgee establishes to the satisfaction of the Trustee the pledgeeâ€™s right so to act with respect to such Securities and that the pledgee is not the Issuer or any other obligor upon the Securities or any person 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Officersâ€™ Certificate listing and identifying all Securities, if any, known by the Issuer to be owned or held by or for the account of any of the above-described persons; and, subject to Sections 5.01 and 5.02, the Trustee shall be entitled to accept such Officersâ€™ Certificate as conclusive evidence of the facts therein set forth and of the fact that all Securities not listed therein are Outstanding for the purpose of any such determination.</w:t>
      </w:r>
    </w:p>
    <w:p>
      <w:pPr>
        <w:spacing w:after="0" w:line="184" w:lineRule="exact"/>
        <w:rPr>
          <w:sz w:val="20"/>
          <w:szCs w:val="20"/>
          <w:color w:val="auto"/>
        </w:rPr>
      </w:pPr>
    </w:p>
    <w:p>
      <w:pPr>
        <w:ind w:right="40" w:firstLine="1369"/>
        <w:spacing w:after="0" w:line="269" w:lineRule="auto"/>
        <w:rPr>
          <w:sz w:val="20"/>
          <w:szCs w:val="20"/>
          <w:color w:val="auto"/>
        </w:rPr>
      </w:pPr>
      <w:r>
        <w:rPr>
          <w:rFonts w:ascii="Arial" w:cs="Arial" w:eastAsia="Arial" w:hAnsi="Arial"/>
          <w:sz w:val="18"/>
          <w:szCs w:val="18"/>
          <w:color w:val="auto"/>
        </w:rPr>
        <w:t xml:space="preserve">SECTION 6.05. </w:t>
      </w:r>
      <w:r>
        <w:rPr>
          <w:rFonts w:ascii="Arial" w:cs="Arial" w:eastAsia="Arial" w:hAnsi="Arial"/>
          <w:sz w:val="18"/>
          <w:szCs w:val="18"/>
          <w:u w:val="single" w:color="auto"/>
          <w:color w:val="auto"/>
        </w:rPr>
        <w:t>Right of Revocation of Action Taken.</w:t>
      </w:r>
      <w:r>
        <w:rPr>
          <w:rFonts w:ascii="Arial" w:cs="Arial" w:eastAsia="Arial" w:hAnsi="Arial"/>
          <w:sz w:val="18"/>
          <w:szCs w:val="18"/>
          <w:color w:val="auto"/>
        </w:rPr>
        <w:t xml:space="preserve">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or on registration of transfer thereof,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Supplemental Indentures</w:t>
      </w:r>
    </w:p>
    <w:p>
      <w:pPr>
        <w:spacing w:after="0" w:line="238" w:lineRule="exact"/>
        <w:rPr>
          <w:sz w:val="20"/>
          <w:szCs w:val="20"/>
          <w:color w:val="auto"/>
        </w:rPr>
      </w:pPr>
    </w:p>
    <w:p>
      <w:pPr>
        <w:ind w:right="20" w:firstLine="1369"/>
        <w:spacing w:after="0" w:line="259" w:lineRule="auto"/>
        <w:rPr>
          <w:sz w:val="20"/>
          <w:szCs w:val="20"/>
          <w:color w:val="auto"/>
        </w:rPr>
      </w:pPr>
      <w:r>
        <w:rPr>
          <w:rFonts w:ascii="Arial" w:cs="Arial" w:eastAsia="Arial" w:hAnsi="Arial"/>
          <w:sz w:val="19"/>
          <w:szCs w:val="19"/>
          <w:color w:val="auto"/>
        </w:rPr>
        <w:t xml:space="preserve">SECTION 7.01. </w:t>
      </w:r>
      <w:r>
        <w:rPr>
          <w:rFonts w:ascii="Arial" w:cs="Arial" w:eastAsia="Arial" w:hAnsi="Arial"/>
          <w:sz w:val="19"/>
          <w:szCs w:val="19"/>
          <w:u w:val="single" w:color="auto"/>
          <w:color w:val="auto"/>
        </w:rPr>
        <w:t>Supplemental Indentures Without Consent of Securityholders.</w:t>
      </w:r>
      <w:r>
        <w:rPr>
          <w:rFonts w:ascii="Arial" w:cs="Arial" w:eastAsia="Arial" w:hAnsi="Arial"/>
          <w:sz w:val="19"/>
          <w:szCs w:val="19"/>
          <w:color w:val="auto"/>
        </w:rPr>
        <w:t xml:space="preserve"> 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one or more of the following purposes:</w:t>
      </w:r>
    </w:p>
    <w:p>
      <w:pPr>
        <w:spacing w:after="0" w:line="198" w:lineRule="exact"/>
        <w:rPr>
          <w:sz w:val="20"/>
          <w:szCs w:val="20"/>
          <w:color w:val="auto"/>
        </w:rPr>
      </w:pPr>
    </w:p>
    <w:p>
      <w:pPr>
        <w:ind w:left="5900" w:right="80" w:hanging="4537"/>
        <w:spacing w:after="0" w:line="526" w:lineRule="auto"/>
        <w:tabs>
          <w:tab w:leader="none" w:pos="1666" w:val="left"/>
        </w:tabs>
        <w:numPr>
          <w:ilvl w:val="0"/>
          <w:numId w:val="31"/>
        </w:numPr>
        <w:rPr>
          <w:rFonts w:ascii="Arial" w:cs="Arial" w:eastAsia="Arial" w:hAnsi="Arial"/>
          <w:sz w:val="19"/>
          <w:szCs w:val="19"/>
          <w:color w:val="auto"/>
        </w:rPr>
      </w:pPr>
      <w:r>
        <w:rPr>
          <w:rFonts w:ascii="Arial" w:cs="Arial" w:eastAsia="Arial" w:hAnsi="Arial"/>
          <w:sz w:val="19"/>
          <w:szCs w:val="19"/>
          <w:color w:val="auto"/>
        </w:rPr>
        <w:t>to convey, transfer, assign, mortgage or pledge to the Trustee as security for the Securities of one or more series any property or assets;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-93345</wp:posOffset>
            </wp:positionV>
            <wp:extent cx="7646670" cy="311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70" w:name="page71"/>
    <w:bookmarkEnd w:id="70"/>
    <w:p>
      <w:pPr>
        <w:ind w:left="680" w:right="280" w:firstLine="683"/>
        <w:spacing w:after="0" w:line="275" w:lineRule="auto"/>
        <w:tabs>
          <w:tab w:leader="none" w:pos="1681" w:val="left"/>
        </w:tabs>
        <w:numPr>
          <w:ilvl w:val="0"/>
          <w:numId w:val="32"/>
        </w:numPr>
        <w:rPr>
          <w:rFonts w:ascii="Arial" w:cs="Arial" w:eastAsia="Arial" w:hAnsi="Arial"/>
          <w:sz w:val="19"/>
          <w:szCs w:val="19"/>
          <w:color w:val="auto"/>
        </w:rPr>
      </w:pPr>
      <w:r>
        <w:rPr>
          <w:rFonts w:ascii="Arial" w:cs="Arial" w:eastAsia="Arial" w:hAnsi="Arial"/>
          <w:sz w:val="19"/>
          <w:szCs w:val="19"/>
          <w:color w:val="auto"/>
        </w:rPr>
        <w:t>to evidence the succession of another legal entity to the Issuer, or successive successions, and the assumption by the successor legal entity of the covenants, agreements and obligations of the Issuer pursuant to Article 8;</w:t>
      </w:r>
    </w:p>
    <w:p>
      <w:pPr>
        <w:spacing w:after="0" w:line="183" w:lineRule="exact"/>
        <w:rPr>
          <w:rFonts w:ascii="Arial" w:cs="Arial" w:eastAsia="Arial" w:hAnsi="Arial"/>
          <w:sz w:val="19"/>
          <w:szCs w:val="19"/>
          <w:color w:val="auto"/>
        </w:rPr>
      </w:pPr>
    </w:p>
    <w:p>
      <w:pPr>
        <w:ind w:left="680" w:right="40" w:firstLine="683"/>
        <w:spacing w:after="0" w:line="270" w:lineRule="auto"/>
        <w:tabs>
          <w:tab w:leader="none" w:pos="1671"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to add to the covenants of the Issuer such further covenants, restrictions, conditions or provisions as the Issuer and the Trustee shall consider to be for the protection of the Holders of Securities, and to make the occurrence, or the occurrence and continuance, of a default in any such additional covenants, restrictions, conditions or provisions an Event of Default permitting the enforcement of all or any of the several remedies provided in this Indenture as herein set forth;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w:t>
      </w:r>
    </w:p>
    <w:p>
      <w:pPr>
        <w:spacing w:after="0" w:line="190" w:lineRule="exact"/>
        <w:rPr>
          <w:rFonts w:ascii="Arial" w:cs="Arial" w:eastAsia="Arial" w:hAnsi="Arial"/>
          <w:sz w:val="18"/>
          <w:szCs w:val="18"/>
          <w:color w:val="auto"/>
        </w:rPr>
      </w:pPr>
    </w:p>
    <w:p>
      <w:pPr>
        <w:ind w:left="680" w:firstLine="683"/>
        <w:spacing w:after="0" w:line="259" w:lineRule="auto"/>
        <w:tabs>
          <w:tab w:leader="none" w:pos="1681" w:val="left"/>
        </w:tabs>
        <w:numPr>
          <w:ilvl w:val="0"/>
          <w:numId w:val="32"/>
        </w:numPr>
        <w:rPr>
          <w:rFonts w:ascii="Arial" w:cs="Arial" w:eastAsia="Arial" w:hAnsi="Arial"/>
          <w:sz w:val="19"/>
          <w:szCs w:val="19"/>
          <w:color w:val="auto"/>
        </w:rPr>
      </w:pPr>
      <w:r>
        <w:rPr>
          <w:rFonts w:ascii="Arial" w:cs="Arial" w:eastAsia="Arial" w:hAnsi="Arial"/>
          <w:sz w:val="19"/>
          <w:szCs w:val="19"/>
          <w:color w:val="auto"/>
        </w:rPr>
        <w:t>to cure any ambiguity or to correct or supplement any provision contained herein or in any supplemental indenture which may be defective or inconsistent with any other provision contained herein or in any supplemental indenture; or to make such other provisions in regard to matters or questions arising under this Indenture or under any supplemental indenture as the Board may deem necessary or desirable and which shall not adversely affect the interests of the Holders of the Securities in any material respect;</w:t>
      </w:r>
    </w:p>
    <w:p>
      <w:pPr>
        <w:spacing w:after="0" w:line="197" w:lineRule="exact"/>
        <w:rPr>
          <w:rFonts w:ascii="Arial" w:cs="Arial" w:eastAsia="Arial" w:hAnsi="Arial"/>
          <w:sz w:val="19"/>
          <w:szCs w:val="19"/>
          <w:color w:val="auto"/>
        </w:rPr>
      </w:pPr>
    </w:p>
    <w:p>
      <w:pPr>
        <w:ind w:left="1660" w:hanging="297"/>
        <w:spacing w:after="0"/>
        <w:tabs>
          <w:tab w:leader="none" w:pos="1660" w:val="left"/>
        </w:tabs>
        <w:numPr>
          <w:ilvl w:val="0"/>
          <w:numId w:val="32"/>
        </w:numPr>
        <w:rPr>
          <w:rFonts w:ascii="Arial" w:cs="Arial" w:eastAsia="Arial" w:hAnsi="Arial"/>
          <w:sz w:val="19"/>
          <w:szCs w:val="19"/>
          <w:color w:val="auto"/>
        </w:rPr>
      </w:pPr>
      <w:r>
        <w:rPr>
          <w:rFonts w:ascii="Arial" w:cs="Arial" w:eastAsia="Arial" w:hAnsi="Arial"/>
          <w:sz w:val="19"/>
          <w:szCs w:val="19"/>
          <w:color w:val="auto"/>
        </w:rPr>
        <w:t>to establish the form or terms of Securities of any series as permitted by Sections 2.01 and 2.03; and</w:t>
      </w:r>
    </w:p>
    <w:p>
      <w:pPr>
        <w:spacing w:after="0" w:line="237" w:lineRule="exact"/>
        <w:rPr>
          <w:rFonts w:ascii="Arial" w:cs="Arial" w:eastAsia="Arial" w:hAnsi="Arial"/>
          <w:sz w:val="19"/>
          <w:szCs w:val="19"/>
          <w:color w:val="auto"/>
        </w:rPr>
      </w:pPr>
    </w:p>
    <w:p>
      <w:pPr>
        <w:ind w:left="680" w:right="100" w:firstLine="683"/>
        <w:spacing w:after="0" w:line="263" w:lineRule="auto"/>
        <w:tabs>
          <w:tab w:leader="none" w:pos="1649" w:val="left"/>
        </w:tabs>
        <w:numPr>
          <w:ilvl w:val="0"/>
          <w:numId w:val="32"/>
        </w:numPr>
        <w:rPr>
          <w:rFonts w:ascii="Arial" w:cs="Arial" w:eastAsia="Arial" w:hAnsi="Arial"/>
          <w:sz w:val="19"/>
          <w:szCs w:val="19"/>
          <w:color w:val="auto"/>
        </w:rPr>
      </w:pPr>
      <w:r>
        <w:rPr>
          <w:rFonts w:ascii="Arial" w:cs="Arial" w:eastAsia="Arial" w:hAnsi="Arial"/>
          <w:sz w:val="19"/>
          <w:szCs w:val="19"/>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94" w:lineRule="exact"/>
        <w:rPr>
          <w:sz w:val="20"/>
          <w:szCs w:val="20"/>
          <w:color w:val="auto"/>
        </w:rPr>
      </w:pPr>
    </w:p>
    <w:p>
      <w:pPr>
        <w:ind w:right="60" w:firstLine="1369"/>
        <w:spacing w:after="0" w:line="259" w:lineRule="auto"/>
        <w:rPr>
          <w:sz w:val="20"/>
          <w:szCs w:val="20"/>
          <w:color w:val="auto"/>
        </w:rPr>
      </w:pPr>
      <w:r>
        <w:rPr>
          <w:rFonts w:ascii="Arial" w:cs="Arial" w:eastAsia="Arial" w:hAnsi="Arial"/>
          <w:sz w:val="19"/>
          <w:szCs w:val="19"/>
          <w:color w:val="auto"/>
        </w:rPr>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Trusteeâ€™s own rights, duties or immunities under this Indenture or otherwise.</w:t>
      </w:r>
    </w:p>
    <w:p>
      <w:pPr>
        <w:spacing w:after="0" w:line="198" w:lineRule="exact"/>
        <w:rPr>
          <w:sz w:val="20"/>
          <w:szCs w:val="20"/>
          <w:color w:val="auto"/>
        </w:rPr>
      </w:pPr>
    </w:p>
    <w:p>
      <w:pPr>
        <w:ind w:right="100" w:firstLine="1369"/>
        <w:spacing w:after="0" w:line="275" w:lineRule="auto"/>
        <w:rPr>
          <w:sz w:val="20"/>
          <w:szCs w:val="20"/>
          <w:color w:val="auto"/>
        </w:rPr>
      </w:pPr>
      <w:r>
        <w:rPr>
          <w:rFonts w:ascii="Arial" w:cs="Arial" w:eastAsia="Arial" w:hAnsi="Arial"/>
          <w:sz w:val="19"/>
          <w:szCs w:val="19"/>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84" w:lineRule="exact"/>
        <w:rPr>
          <w:sz w:val="20"/>
          <w:szCs w:val="20"/>
          <w:color w:val="auto"/>
        </w:rPr>
      </w:pPr>
    </w:p>
    <w:p>
      <w:pPr>
        <w:ind w:right="40" w:firstLine="1369"/>
        <w:spacing w:after="0" w:line="269"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Supplemental Indentures With Consent of Securityholders.</w:t>
      </w:r>
      <w:r>
        <w:rPr>
          <w:rFonts w:ascii="Arial" w:cs="Arial" w:eastAsia="Arial" w:hAnsi="Arial"/>
          <w:sz w:val="18"/>
          <w:szCs w:val="18"/>
          <w:color w:val="auto"/>
        </w:rPr>
        <w:t xml:space="preserve">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(which resolutions may provide general authorization for such action and may provide that the specific terms of such action may be determined by officers of the Issuer authorized thereby),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such supplemental indenture shall (a) (i) extend the final maturity of any Security, (ii) reduce the principal amount thereof, (iii) reduce the rate or extend the time of payment of interest thereon, (iv) reduce any amount payable on redemption thereof, (v) make the principal thereof (including any amount in respect of original issue discount), or interest thereon payable in any coin or currency other than that provided in the Securities or in accordance with the terms thereof, (vi) modify or</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71" w:name="page72"/>
    <w:bookmarkEnd w:id="71"/>
    <w:p>
      <w:pPr>
        <w:spacing w:after="0" w:line="269" w:lineRule="auto"/>
        <w:rPr>
          <w:sz w:val="20"/>
          <w:szCs w:val="20"/>
          <w:color w:val="auto"/>
        </w:rPr>
      </w:pPr>
      <w:r>
        <w:rPr>
          <w:rFonts w:ascii="Arial" w:cs="Arial" w:eastAsia="Arial" w:hAnsi="Arial"/>
          <w:sz w:val="18"/>
          <w:szCs w:val="18"/>
          <w:color w:val="auto"/>
        </w:rPr>
        <w:t>amend any provisions for converting any currency into any other currency as provided in the Securities or in accordance with the terms thereof, (vii) reduce the amount of the principal of an Original Issue Discount Security that would be due and payable upon an acceleration of the maturity thereof pursuant to Section 4.01 or the amount thereof provable in bankruptcy pursuant to Section 4.02, (viii) modify or amend any provisions relating to the conversion or exchange of the Securities for securities of the Issuer or of other entities or other property (or the cash value thereof), including the determination of the amount of securities or other property (or cash) into which the Securities shall be converted or exchanged, other than as provided in the antidilution provisions or other similar adjustment provisions of the Securities or otherwise in accordance with the terms thereof, (ix) alter the provisions of Section 10.12 or Section 10.14 or impair or affect the right of any Securityholder to institute suit for the payment thereof or, if the Securities provide therefor, any right of repayment at the option of the Securityholder, in each case without the consent of the Holder of each Security so affected, or (b) reduce the aforesaid percentage of Securities of any series, the consent of the Holders of which is required for any such supplemental indenture, without the consent of the Holders of each Security so affected.</w:t>
      </w:r>
    </w:p>
    <w:p>
      <w:pPr>
        <w:spacing w:after="0" w:line="190" w:lineRule="exact"/>
        <w:rPr>
          <w:sz w:val="20"/>
          <w:szCs w:val="20"/>
          <w:color w:val="auto"/>
        </w:rPr>
      </w:pPr>
    </w:p>
    <w:p>
      <w:pPr>
        <w:ind w:right="20" w:firstLine="1369"/>
        <w:spacing w:after="0" w:line="284" w:lineRule="auto"/>
        <w:rPr>
          <w:sz w:val="20"/>
          <w:szCs w:val="20"/>
          <w:color w:val="auto"/>
        </w:rPr>
      </w:pPr>
      <w:r>
        <w:rPr>
          <w:rFonts w:ascii="Arial" w:cs="Arial" w:eastAsia="Arial" w:hAnsi="Arial"/>
          <w:sz w:val="18"/>
          <w:szCs w:val="18"/>
          <w:color w:val="auto"/>
        </w:rPr>
        <w:t>A supplemental indenture which changes or eliminates any covenant or other provision of this Indenture which has expressly been included solely for the benefit of one or more particular series of Securities, or which modifies the rights of Holders of Securities of such series, with respect to such covenant or provision, shall be deemed not to affect the rights under this Indenture of the Holders of Securities of any other series.</w:t>
      </w:r>
    </w:p>
    <w:p>
      <w:pPr>
        <w:spacing w:after="0" w:line="178" w:lineRule="exact"/>
        <w:rPr>
          <w:sz w:val="20"/>
          <w:szCs w:val="20"/>
          <w:color w:val="auto"/>
        </w:rPr>
      </w:pPr>
    </w:p>
    <w:p>
      <w:pPr>
        <w:ind w:firstLine="1369"/>
        <w:spacing w:after="0" w:line="291" w:lineRule="auto"/>
        <w:rPr>
          <w:sz w:val="20"/>
          <w:szCs w:val="20"/>
          <w:color w:val="auto"/>
        </w:rPr>
      </w:pPr>
      <w:r>
        <w:rPr>
          <w:rFonts w:ascii="Arial" w:cs="Arial" w:eastAsia="Arial" w:hAnsi="Arial"/>
          <w:sz w:val="17"/>
          <w:szCs w:val="17"/>
          <w:color w:val="auto"/>
        </w:rPr>
        <w:t>Upon the request of the Issuer, accompanied by a copy of a resolution of the Board (which resolutions may provide general authorization for such action and may provide that the specific terms of such action may be determined by officers of the Issuer authorized thereby)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Trusteeâ€™s own rights, duties or immunities under this Indenture or otherwise, in which case the Trustee may in its discretion, but shall not be obligated to, enter into such supplemental indenture.</w:t>
      </w:r>
    </w:p>
    <w:p>
      <w:pPr>
        <w:spacing w:after="0" w:line="175" w:lineRule="exact"/>
        <w:rPr>
          <w:sz w:val="20"/>
          <w:szCs w:val="20"/>
          <w:color w:val="auto"/>
        </w:rPr>
      </w:pPr>
    </w:p>
    <w:p>
      <w:pPr>
        <w:ind w:right="880" w:firstLine="1369"/>
        <w:spacing w:after="0" w:line="275" w:lineRule="auto"/>
        <w:rPr>
          <w:sz w:val="20"/>
          <w:szCs w:val="20"/>
          <w:color w:val="auto"/>
        </w:rPr>
      </w:pPr>
      <w:r>
        <w:rPr>
          <w:rFonts w:ascii="Arial" w:cs="Arial" w:eastAsia="Arial" w:hAnsi="Arial"/>
          <w:sz w:val="19"/>
          <w:szCs w:val="19"/>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84" w:lineRule="exact"/>
        <w:rPr>
          <w:sz w:val="20"/>
          <w:szCs w:val="20"/>
          <w:color w:val="auto"/>
        </w:rPr>
      </w:pPr>
    </w:p>
    <w:p>
      <w:pPr>
        <w:ind w:right="20" w:firstLine="1369"/>
        <w:spacing w:after="0" w:line="256" w:lineRule="auto"/>
        <w:rPr>
          <w:sz w:val="20"/>
          <w:szCs w:val="20"/>
          <w:color w:val="auto"/>
        </w:rPr>
      </w:pPr>
      <w:r>
        <w:rPr>
          <w:rFonts w:ascii="Arial" w:cs="Arial" w:eastAsia="Arial" w:hAnsi="Arial"/>
          <w:sz w:val="19"/>
          <w:szCs w:val="19"/>
          <w:color w:val="auto"/>
        </w:rPr>
        <w:t>Promptly after the execution by the Issuer and the Trustee of any supplemental indenture pursuant to the provisions of this Section, the Trustee shall give notice thereof by (a) first class mail to the Holders of Securities of each series affected thereby at their addresses as they shall appear on the registry books of the Issuer or (b) by any other means set forth in such supplemental indenture, setting forth in general terms the substance of such supplemental indenture. Any failure of the Trustee to mail such notice, or any defect therein, shall not, however, in any way impair or affect the validity of any such supplemental indenture.</w:t>
      </w:r>
    </w:p>
    <w:p>
      <w:pPr>
        <w:spacing w:after="0" w:line="204" w:lineRule="exact"/>
        <w:rPr>
          <w:sz w:val="20"/>
          <w:szCs w:val="20"/>
          <w:color w:val="auto"/>
        </w:rPr>
      </w:pPr>
    </w:p>
    <w:p>
      <w:pPr>
        <w:ind w:right="80" w:firstLine="1369"/>
        <w:spacing w:after="0" w:line="294" w:lineRule="auto"/>
        <w:rPr>
          <w:sz w:val="20"/>
          <w:szCs w:val="20"/>
          <w:color w:val="auto"/>
        </w:rPr>
      </w:pPr>
      <w:r>
        <w:rPr>
          <w:rFonts w:ascii="Arial" w:cs="Arial" w:eastAsia="Arial" w:hAnsi="Arial"/>
          <w:sz w:val="17"/>
          <w:szCs w:val="17"/>
          <w:color w:val="auto"/>
        </w:rPr>
        <w:t xml:space="preserve">SECTION 7.03. </w:t>
      </w:r>
      <w:r>
        <w:rPr>
          <w:rFonts w:ascii="Arial" w:cs="Arial" w:eastAsia="Arial" w:hAnsi="Arial"/>
          <w:sz w:val="17"/>
          <w:szCs w:val="17"/>
          <w:u w:val="single" w:color="auto"/>
          <w:color w:val="auto"/>
        </w:rPr>
        <w:t>Effect of Supplemental Indenture.</w:t>
      </w:r>
      <w:r>
        <w:rPr>
          <w:rFonts w:ascii="Arial" w:cs="Arial" w:eastAsia="Arial" w:hAnsi="Arial"/>
          <w:sz w:val="17"/>
          <w:szCs w:val="17"/>
          <w:color w:val="auto"/>
        </w:rPr>
        <w:t xml:space="preserve"> Upon the execution of any supplemental indenture pursuant to the provisions hereof, this Indenture shall 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72" w:lineRule="exact"/>
        <w:rPr>
          <w:sz w:val="20"/>
          <w:szCs w:val="20"/>
          <w:color w:val="auto"/>
        </w:rPr>
      </w:pPr>
    </w:p>
    <w:p>
      <w:pPr>
        <w:ind w:right="280" w:firstLine="1369"/>
        <w:spacing w:after="0" w:line="263" w:lineRule="auto"/>
        <w:rPr>
          <w:sz w:val="20"/>
          <w:szCs w:val="20"/>
          <w:color w:val="auto"/>
        </w:rPr>
      </w:pPr>
      <w:r>
        <w:rPr>
          <w:rFonts w:ascii="Arial" w:cs="Arial" w:eastAsia="Arial" w:hAnsi="Arial"/>
          <w:sz w:val="19"/>
          <w:szCs w:val="19"/>
          <w:color w:val="auto"/>
        </w:rPr>
        <w:t xml:space="preserve">SECTION 7.04. </w:t>
      </w:r>
      <w:r>
        <w:rPr>
          <w:rFonts w:ascii="Arial" w:cs="Arial" w:eastAsia="Arial" w:hAnsi="Arial"/>
          <w:sz w:val="19"/>
          <w:szCs w:val="19"/>
          <w:u w:val="single" w:color="auto"/>
          <w:color w:val="auto"/>
        </w:rPr>
        <w:t>Documents to Be Given to Trustee.</w:t>
      </w:r>
      <w:r>
        <w:rPr>
          <w:rFonts w:ascii="Arial" w:cs="Arial" w:eastAsia="Arial" w:hAnsi="Arial"/>
          <w:sz w:val="19"/>
          <w:szCs w:val="19"/>
          <w:color w:val="auto"/>
        </w:rPr>
        <w:t xml:space="preserve"> In executing, or accepting the additional trusts created by, any supplemental indenture permitted by this Article or the modification thereby of the trusts created by this Indenture, the Trustee shall be provided with, and shall be fully protected in relying upon, an Opinion of Counsel stating that the execution of such supplemental indenture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72" w:name="page73"/>
    <w:bookmarkEnd w:id="72"/>
    <w:p>
      <w:pPr>
        <w:ind w:right="480"/>
        <w:spacing w:after="0" w:line="275" w:lineRule="auto"/>
        <w:rPr>
          <w:sz w:val="20"/>
          <w:szCs w:val="20"/>
          <w:color w:val="auto"/>
        </w:rPr>
      </w:pPr>
      <w:r>
        <w:rPr>
          <w:rFonts w:ascii="Arial" w:cs="Arial" w:eastAsia="Arial" w:hAnsi="Arial"/>
          <w:sz w:val="19"/>
          <w:szCs w:val="19"/>
          <w:color w:val="auto"/>
        </w:rPr>
        <w:t>is authorized or permitted by this Indenture. The Trustee may, but shall not be obligated to, enter into any such supplemental indenture which adversely affects the Trusteeâ€™s own rights, duties or immunities under this Indenture or otherwise.</w:t>
      </w:r>
    </w:p>
    <w:p>
      <w:pPr>
        <w:spacing w:after="0" w:line="184" w:lineRule="exact"/>
        <w:rPr>
          <w:sz w:val="20"/>
          <w:szCs w:val="20"/>
          <w:color w:val="auto"/>
        </w:rPr>
      </w:pPr>
    </w:p>
    <w:p>
      <w:pPr>
        <w:ind w:right="120" w:firstLine="1369"/>
        <w:spacing w:after="0" w:line="255" w:lineRule="auto"/>
        <w:rPr>
          <w:sz w:val="20"/>
          <w:szCs w:val="20"/>
          <w:color w:val="auto"/>
        </w:rPr>
      </w:pPr>
      <w:r>
        <w:rPr>
          <w:rFonts w:ascii="Arial" w:cs="Arial" w:eastAsia="Arial" w:hAnsi="Arial"/>
          <w:sz w:val="19"/>
          <w:szCs w:val="19"/>
          <w:color w:val="auto"/>
        </w:rPr>
        <w:t xml:space="preserve">SECTION 7.05. </w:t>
      </w:r>
      <w:r>
        <w:rPr>
          <w:rFonts w:ascii="Arial" w:cs="Arial" w:eastAsia="Arial" w:hAnsi="Arial"/>
          <w:sz w:val="19"/>
          <w:szCs w:val="19"/>
          <w:u w:val="single" w:color="auto"/>
          <w:color w:val="auto"/>
        </w:rPr>
        <w:t>Notation on Securities in Respect of Supplemental Indentures.</w:t>
      </w:r>
      <w:r>
        <w:rPr>
          <w:rFonts w:ascii="Arial" w:cs="Arial" w:eastAsia="Arial" w:hAnsi="Arial"/>
          <w:sz w:val="19"/>
          <w:szCs w:val="19"/>
          <w:color w:val="auto"/>
        </w:rPr>
        <w:t xml:space="preserve">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by Securityholders. If the Issuer or the Trustee shall so determine, new Securities of any series so modified as to conform, in the opinion of the Trustee and the Board, to any modification of this Indenture contained in any such supplemental indenture may be prepared by the Issuer, authenticated by the Trustee and delivered in exchange for the Securities of such series then Outstanding.</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8</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Consolidation, Merger, Sale or Conveyance</w:t>
      </w:r>
    </w:p>
    <w:p>
      <w:pPr>
        <w:spacing w:after="0" w:line="238" w:lineRule="exact"/>
        <w:rPr>
          <w:sz w:val="20"/>
          <w:szCs w:val="20"/>
          <w:color w:val="auto"/>
        </w:rPr>
      </w:pPr>
    </w:p>
    <w:p>
      <w:pPr>
        <w:ind w:firstLine="1369"/>
        <w:spacing w:after="0" w:line="289"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Issuer May Consolidate, etc., on Certain Terms.</w:t>
      </w:r>
      <w:r>
        <w:rPr>
          <w:rFonts w:ascii="Arial" w:cs="Arial" w:eastAsia="Arial" w:hAnsi="Arial"/>
          <w:sz w:val="17"/>
          <w:szCs w:val="17"/>
          <w:color w:val="auto"/>
        </w:rPr>
        <w:t xml:space="preserve"> The Issuer covenants that it will not merge or consolidate with any other Person or sell or convey all or substantially all of its assets to any Person, unless (i) either the Issuer shall be the continuing legal entity, or the successor legal entity or the Person which acquires by sale or conveyance substantially all the assets of the Issuer (if other than the Issuer)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successor legal entity, and (ii) the Issuer or such successor legal entity, as the case may be, shall not, immediately after such merger or consolidation, or such sale or conveyance, be in default in the performance of any such covenant or condition.</w:t>
      </w:r>
    </w:p>
    <w:p>
      <w:pPr>
        <w:spacing w:after="0" w:line="178" w:lineRule="exact"/>
        <w:rPr>
          <w:sz w:val="20"/>
          <w:szCs w:val="20"/>
          <w:color w:val="auto"/>
        </w:rPr>
      </w:pPr>
    </w:p>
    <w:p>
      <w:pPr>
        <w:ind w:firstLine="1369"/>
        <w:spacing w:after="0" w:line="287"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Successor Substituted.</w:t>
      </w:r>
      <w:r>
        <w:rPr>
          <w:rFonts w:ascii="Arial" w:cs="Arial" w:eastAsia="Arial" w:hAnsi="Arial"/>
          <w:sz w:val="17"/>
          <w:szCs w:val="17"/>
          <w:color w:val="auto"/>
        </w:rPr>
        <w:t xml:space="preserve"> In case of any such consolidation, merger, sale or conveyance, and following such an assumption by the successor legal entity, all in the manner described in Section 8.01, such successor legal entity shall succeed to and be substituted for the Issuer, with the same effect as if it had been named herein. Such successor legal entity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legal entity instead of the Issuer and subject to all the terms, conditions and limitations in this Indenture prescribed, the Trustee shall authenticate and shall deliver any Securities which previously shall have been signed and delivered by the officers of the Issuer to the Trustee for authentication, and any Securities which such successor legal entity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78" w:lineRule="exact"/>
        <w:rPr>
          <w:sz w:val="20"/>
          <w:szCs w:val="20"/>
          <w:color w:val="auto"/>
        </w:rPr>
      </w:pPr>
    </w:p>
    <w:p>
      <w:pPr>
        <w:ind w:right="20" w:firstLine="1369"/>
        <w:spacing w:after="0" w:line="275" w:lineRule="auto"/>
        <w:rPr>
          <w:sz w:val="20"/>
          <w:szCs w:val="20"/>
          <w:color w:val="auto"/>
        </w:rPr>
      </w:pPr>
      <w:r>
        <w:rPr>
          <w:rFonts w:ascii="Arial" w:cs="Arial" w:eastAsia="Arial" w:hAnsi="Arial"/>
          <w:sz w:val="19"/>
          <w:szCs w:val="19"/>
          <w:color w:val="auto"/>
        </w:rPr>
        <w:t>In case of any such consolidation, merger, sale, lease or conveyance such changes in phrasing and form (but not in substance) may be made in the Securities thereafter to be issued as may be appropriate.</w:t>
      </w:r>
    </w:p>
    <w:p>
      <w:pPr>
        <w:spacing w:after="0" w:line="184" w:lineRule="exact"/>
        <w:rPr>
          <w:sz w:val="20"/>
          <w:szCs w:val="20"/>
          <w:color w:val="auto"/>
        </w:rPr>
      </w:pPr>
    </w:p>
    <w:p>
      <w:pPr>
        <w:ind w:right="180" w:firstLine="1369"/>
        <w:spacing w:after="0" w:line="263" w:lineRule="auto"/>
        <w:rPr>
          <w:sz w:val="20"/>
          <w:szCs w:val="20"/>
          <w:color w:val="auto"/>
        </w:rPr>
      </w:pPr>
      <w:r>
        <w:rPr>
          <w:rFonts w:ascii="Arial" w:cs="Arial" w:eastAsia="Arial" w:hAnsi="Arial"/>
          <w:sz w:val="19"/>
          <w:szCs w:val="19"/>
          <w:color w:val="auto"/>
        </w:rPr>
        <w:t>In the event of any such sale or conveyance (other than a conveyance by way of lease) the Issuer or any successor legal entity which shall theretofore have become such in the manner described in this Article shall be discharged from all obligations and covenants under this Indenture and the Securities and may be liquidated and dissolved.</w:t>
      </w:r>
    </w:p>
    <w:p>
      <w:pPr>
        <w:spacing w:after="0" w:line="194" w:lineRule="exact"/>
        <w:rPr>
          <w:sz w:val="20"/>
          <w:szCs w:val="20"/>
          <w:color w:val="auto"/>
        </w:rPr>
      </w:pPr>
    </w:p>
    <w:p>
      <w:pPr>
        <w:ind w:right="80" w:firstLine="1369"/>
        <w:spacing w:after="0" w:line="275" w:lineRule="auto"/>
        <w:rPr>
          <w:sz w:val="20"/>
          <w:szCs w:val="20"/>
          <w:color w:val="auto"/>
        </w:rPr>
      </w:pPr>
      <w:r>
        <w:rPr>
          <w:rFonts w:ascii="Arial" w:cs="Arial" w:eastAsia="Arial" w:hAnsi="Arial"/>
          <w:sz w:val="19"/>
          <w:szCs w:val="19"/>
          <w:color w:val="auto"/>
        </w:rPr>
        <w:t xml:space="preserve">SECTION 8.03. </w:t>
      </w:r>
      <w:r>
        <w:rPr>
          <w:rFonts w:ascii="Arial" w:cs="Arial" w:eastAsia="Arial" w:hAnsi="Arial"/>
          <w:sz w:val="19"/>
          <w:szCs w:val="19"/>
          <w:u w:val="single" w:color="auto"/>
          <w:color w:val="auto"/>
        </w:rPr>
        <w:t>Opinion of Counsel to Trustee.</w:t>
      </w:r>
      <w:r>
        <w:rPr>
          <w:rFonts w:ascii="Arial" w:cs="Arial" w:eastAsia="Arial" w:hAnsi="Arial"/>
          <w:sz w:val="19"/>
          <w:szCs w:val="19"/>
          <w:color w:val="auto"/>
        </w:rPr>
        <w:t xml:space="preserve"> The Trustee, subject to the provisions of Sections 5.01 and 5.02, shall receive an Opinion of Counsel, prepared in accordance with Section 10.06,</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73" w:name="page74"/>
    <w:bookmarkEnd w:id="73"/>
    <w:p>
      <w:pPr>
        <w:ind w:right="380"/>
        <w:spacing w:after="0" w:line="275" w:lineRule="auto"/>
        <w:rPr>
          <w:sz w:val="20"/>
          <w:szCs w:val="20"/>
          <w:color w:val="auto"/>
        </w:rPr>
      </w:pPr>
      <w:r>
        <w:rPr>
          <w:rFonts w:ascii="Arial" w:cs="Arial" w:eastAsia="Arial" w:hAnsi="Arial"/>
          <w:sz w:val="19"/>
          <w:szCs w:val="19"/>
          <w:color w:val="auto"/>
        </w:rPr>
        <w:t>as conclusive evidence that any such consolidation, merger, sale, lease or conveyance, and any such assumption, and any such liquidation or dissolution, complies with the applicable provisions of this Indenture.</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Satisfaction and Discharge of Indenture; Unclaimed Moneys</w:t>
      </w:r>
    </w:p>
    <w:p>
      <w:pPr>
        <w:spacing w:after="0" w:line="238" w:lineRule="exact"/>
        <w:rPr>
          <w:sz w:val="20"/>
          <w:szCs w:val="20"/>
          <w:color w:val="auto"/>
        </w:rPr>
      </w:pPr>
    </w:p>
    <w:p>
      <w:pPr>
        <w:ind w:firstLine="1369"/>
        <w:spacing w:after="0" w:line="282" w:lineRule="auto"/>
        <w:rPr>
          <w:sz w:val="20"/>
          <w:szCs w:val="20"/>
          <w:color w:val="auto"/>
        </w:rPr>
      </w:pPr>
      <w:r>
        <w:rPr>
          <w:rFonts w:ascii="Arial" w:cs="Arial" w:eastAsia="Arial" w:hAnsi="Arial"/>
          <w:sz w:val="17"/>
          <w:szCs w:val="17"/>
          <w:color w:val="auto"/>
        </w:rPr>
        <w:t xml:space="preserve">SECTION 9.01. </w:t>
      </w:r>
      <w:r>
        <w:rPr>
          <w:rFonts w:ascii="Arial" w:cs="Arial" w:eastAsia="Arial" w:hAnsi="Arial"/>
          <w:sz w:val="17"/>
          <w:szCs w:val="17"/>
          <w:u w:val="single" w:color="auto"/>
          <w:color w:val="auto"/>
        </w:rPr>
        <w:t>Satisfaction and Discharge of Indenture.</w:t>
      </w:r>
      <w:r>
        <w:rPr>
          <w:rFonts w:ascii="Arial" w:cs="Arial" w:eastAsia="Arial" w:hAnsi="Arial"/>
          <w:sz w:val="17"/>
          <w:szCs w:val="17"/>
          <w:color w:val="auto"/>
        </w:rPr>
        <w:t xml:space="preserve"> (a) If at any time (i) the Issuer shall have paid or caused to be paid the principal of and interest on all the Securities of any series outstanding hereunder (other than Securities of such series which have been destroyed, lost or stolen and which have been replaced or paid as provided in Section 2.09) as and when the same shall have become due and payable, or (ii) the Issuer shall have delivered to the Trustee for cancellation all Securities of any series theretofore authenticated (other than any Securities of such series which shall have been destroyed, lost or stolen and which shall have been replaced or paid as provided in Section 2.09) or (iii) (A) all the securities of such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(B) the Issuer shall have irrevocably deposited or caused to be deposited with the Trustee as trust funds the entire amount in cash (other than moneys repaid by the Trustee or any paying agent to the Issuer in accordance with Section 9.04) in the case of any series of Securities the payments on which may only be made in U.S. Dollars, direct obligations of the United States of America, backed by its full faith and credit (â€œ</w:t>
      </w:r>
      <w:r>
        <w:rPr>
          <w:rFonts w:ascii="Arial" w:cs="Arial" w:eastAsia="Arial" w:hAnsi="Arial"/>
          <w:sz w:val="17"/>
          <w:szCs w:val="17"/>
          <w:u w:val="single" w:color="auto"/>
          <w:color w:val="auto"/>
        </w:rPr>
        <w:t>U.S. Government Obligations</w:t>
      </w:r>
      <w:r>
        <w:rPr>
          <w:rFonts w:ascii="Arial" w:cs="Arial" w:eastAsia="Arial" w:hAnsi="Arial"/>
          <w:sz w:val="17"/>
          <w:szCs w:val="17"/>
          <w:color w:val="auto"/>
        </w:rPr>
        <w:t xml:space="preserve">â€ ), maturing as to principal and interest at such times and in such amounts as will insure the availability of cash, or a combination thereof, sufficient to pay at maturity or upon redemption all Securities of such series (other than any Securities of such series which shall have been destroyed, lost or stolen and which shall have been replaced or paid as provided in Section 2.09) not theretofore delivered to the Trustee for cancellation, including principal and interest due or to become due on or prior to such date of maturity as the case may be, and if, in any such case, the Issuer shall also pay or cause to be paid all other sums payable hereunder by the Issuer with respect to Securities of such series, then this Indenture shall cease to be of further effect with respect to Securities of such series (except as to (i) rights of registration of transfer and exchange of Securities of such series, and the Issuerâ€™s right of optional redemption, if any, (ii) substitution of mutilated, defaced, destroyed, lost or stolen Securities, (iii) rights of Holders to receive payments of principal thereof and interest thereon upon the original stated due date therefor (but not upon acceleration), and remaining rights of the Holders to receive mandatory sinking fund payments, if any, (iv) the rights, obligations and immunities of the Trustee hereunder and (v) the rights of the Securityholders of such series as beneficiaries hereof with respect to the property so deposited with the Trustee payable to all or any of them), and the Trustee, on demand of the Issuer accompanied by an Officersâ€™ Certificate and an Opinion of Counsel and at the cost and expense of the Issuer, shall execute proper instruments acknowledging such satisfaction of and discharging this Indenture with respect to such series;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rights of Holders of the Securities to receive amounts in respect of principal of and interest on the Securities held by them shall not be delayed longer than required by then-applicable mandatory rules or policies of any securities exchange upon which the Securities are listed. The Issuer agrees to reimburse the Trustee for any costs or expenses thereafter reasonably and properly incurred and to compensate the Trustee for any services thereafter reasonably and properly rendered by the Trustee in connection with this Indenture or the Securities of such series.</w:t>
      </w:r>
    </w:p>
    <w:p>
      <w:pPr>
        <w:spacing w:after="0" w:line="191" w:lineRule="exact"/>
        <w:rPr>
          <w:sz w:val="20"/>
          <w:szCs w:val="20"/>
          <w:color w:val="auto"/>
        </w:rPr>
      </w:pPr>
    </w:p>
    <w:p>
      <w:pPr>
        <w:ind w:left="680" w:right="40" w:firstLine="683"/>
        <w:spacing w:after="0" w:line="271" w:lineRule="auto"/>
        <w:tabs>
          <w:tab w:leader="none" w:pos="168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following provisions shall apply to the Securities of each series unless specifically otherwise provided in a Board Resolution, Officersâ€™ Certificate or indenture supplemental hereto provided pursuant to Section 2.03. In addition to discharge of the Indenture pursuant to the next preceding paragraph, in the case of any series of Securities the exact amounts (including the currency of payment) of principal of and interest due on which can be determined at the time of making the deposit referred to in Section 9.01(b)(i) below, the Issuer shall be deemed to have paid and discharged the entire indebtedness on all the Securities of such a series on the 91st day after the date of the deposit referred to in Section 9.01(b)(i) below, and the provisions of this Indenture with respect to the Securities of such series thereto shall no longer be in effect (except as to (1) rights of registration of transfer and exchange of Securities of such series and the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74" w:name="page75"/>
    <w:bookmarkEnd w:id="74"/>
    <w:p>
      <w:pPr>
        <w:spacing w:after="0" w:line="163" w:lineRule="exact"/>
        <w:rPr>
          <w:sz w:val="20"/>
          <w:szCs w:val="20"/>
          <w:color w:val="auto"/>
        </w:rPr>
      </w:pPr>
    </w:p>
    <w:p>
      <w:pPr>
        <w:ind w:right="80"/>
        <w:spacing w:after="0" w:line="272" w:lineRule="auto"/>
        <w:rPr>
          <w:sz w:val="20"/>
          <w:szCs w:val="20"/>
          <w:color w:val="auto"/>
        </w:rPr>
      </w:pPr>
      <w:r>
        <w:rPr>
          <w:rFonts w:ascii="Arial" w:cs="Arial" w:eastAsia="Arial" w:hAnsi="Arial"/>
          <w:sz w:val="18"/>
          <w:szCs w:val="18"/>
          <w:color w:val="auto"/>
        </w:rPr>
        <w:t>Issuerâ€™s right of optional redemption, if any, (2) substitution of mutilated, defaced, destroyed, lost or stolen Securities, (3) rights of Holders of Securities to receive payments of principal thereof and interest thereon, upon the original stated due dates therefor (but not upon acceleration), and remaining rights of the Holders to receive mandatory sinking fund payments, if any, (4) the rights, obligations, duties and immunities of the Trustee hereunder, (5) the rights of the Holders of Securities of such series as beneficiaries hereof with respect to the property so deposited with the Trustee payable to all or any of them and (6) the obligations of the Issuer under Section 3.02) and the Trustee, at the expense of the Issuer, shall at the Issuerâ€™s request, execute proper instruments acknowledging the same, if</w:t>
      </w:r>
    </w:p>
    <w:p>
      <w:pPr>
        <w:spacing w:after="0" w:line="190" w:lineRule="exact"/>
        <w:rPr>
          <w:sz w:val="20"/>
          <w:szCs w:val="20"/>
          <w:color w:val="auto"/>
        </w:rPr>
      </w:pPr>
    </w:p>
    <w:p>
      <w:pPr>
        <w:ind w:left="680" w:right="140" w:firstLine="688"/>
        <w:spacing w:after="0" w:line="288" w:lineRule="auto"/>
        <w:tabs>
          <w:tab w:leader="none" w:pos="1639" w:val="left"/>
        </w:tabs>
        <w:numPr>
          <w:ilvl w:val="1"/>
          <w:numId w:val="34"/>
        </w:numPr>
        <w:rPr>
          <w:rFonts w:ascii="Arial" w:cs="Arial" w:eastAsia="Arial" w:hAnsi="Arial"/>
          <w:sz w:val="17"/>
          <w:szCs w:val="17"/>
          <w:color w:val="auto"/>
        </w:rPr>
      </w:pPr>
      <w:r>
        <w:rPr>
          <w:rFonts w:ascii="Arial" w:cs="Arial" w:eastAsia="Arial" w:hAnsi="Arial"/>
          <w:sz w:val="17"/>
          <w:szCs w:val="17"/>
          <w:color w:val="auto"/>
        </w:rPr>
        <w:t>with reference to this provision the Issuer has irrevocably deposited or caused to be irrevocably deposited with the Trustee as trust funds in trust, specifically pledged as security for, and dedicated solely to, the benefit of the Holders of the Securities of such series</w:t>
      </w:r>
    </w:p>
    <w:p>
      <w:pPr>
        <w:ind w:left="680" w:right="220" w:firstLine="3"/>
        <w:spacing w:after="0" w:line="280" w:lineRule="auto"/>
        <w:tabs>
          <w:tab w:leader="none" w:pos="991" w:val="left"/>
        </w:tabs>
        <w:numPr>
          <w:ilvl w:val="0"/>
          <w:numId w:val="35"/>
        </w:numPr>
        <w:rPr>
          <w:rFonts w:ascii="Arial" w:cs="Arial" w:eastAsia="Arial" w:hAnsi="Arial"/>
          <w:sz w:val="17"/>
          <w:szCs w:val="17"/>
          <w:color w:val="auto"/>
        </w:rPr>
      </w:pPr>
      <w:r>
        <w:rPr>
          <w:rFonts w:ascii="Arial" w:cs="Arial" w:eastAsia="Arial" w:hAnsi="Arial"/>
          <w:sz w:val="17"/>
          <w:szCs w:val="17"/>
          <w:color w:val="auto"/>
        </w:rPr>
        <w:t>cash in an amount, or (B) in the case of any series of Securities the payments on which may only be made in U.S. Dollars, U.S. Government Obligations, maturing as to principal and interest at such times and in such amounts as will insure the availability of cash or</w:t>
      </w:r>
    </w:p>
    <w:p>
      <w:pPr>
        <w:jc w:val="both"/>
        <w:ind w:left="680" w:right="300" w:firstLine="3"/>
        <w:spacing w:after="0" w:line="293" w:lineRule="auto"/>
        <w:tabs>
          <w:tab w:leader="none" w:pos="981" w:val="left"/>
        </w:tabs>
        <w:numPr>
          <w:ilvl w:val="0"/>
          <w:numId w:val="36"/>
        </w:numPr>
        <w:rPr>
          <w:rFonts w:ascii="Arial" w:cs="Arial" w:eastAsia="Arial" w:hAnsi="Arial"/>
          <w:sz w:val="17"/>
          <w:szCs w:val="17"/>
          <w:color w:val="auto"/>
        </w:rPr>
      </w:pPr>
      <w:r>
        <w:rPr>
          <w:rFonts w:ascii="Arial" w:cs="Arial" w:eastAsia="Arial" w:hAnsi="Arial"/>
          <w:sz w:val="17"/>
          <w:szCs w:val="17"/>
          <w:color w:val="auto"/>
        </w:rPr>
        <w:t>a combination thereof, sufficient, in the opinion of a nationally recognized firm of independent public accountants expressed in a written certification thereof delivered to the Trustee, to pay (1) the principal and interest on all Securities of such series and coupons appertaining thereto on each date that such principal or interest is due and payable and (2) any mandatory sinking fund payments on the dates on which such payments are due and payable in accordance with the terms of the Indenture and the Securities of such series;</w:t>
      </w:r>
    </w:p>
    <w:p>
      <w:pPr>
        <w:spacing w:after="0" w:line="173" w:lineRule="exact"/>
        <w:rPr>
          <w:rFonts w:ascii="Arial" w:cs="Arial" w:eastAsia="Arial" w:hAnsi="Arial"/>
          <w:sz w:val="17"/>
          <w:szCs w:val="17"/>
          <w:color w:val="auto"/>
        </w:rPr>
      </w:pPr>
    </w:p>
    <w:p>
      <w:pPr>
        <w:ind w:left="680" w:right="60" w:firstLine="688"/>
        <w:spacing w:after="0" w:line="275" w:lineRule="auto"/>
        <w:tabs>
          <w:tab w:leader="none" w:pos="1692" w:val="left"/>
        </w:tabs>
        <w:numPr>
          <w:ilvl w:val="1"/>
          <w:numId w:val="36"/>
        </w:numPr>
        <w:rPr>
          <w:rFonts w:ascii="Arial" w:cs="Arial" w:eastAsia="Arial" w:hAnsi="Arial"/>
          <w:sz w:val="19"/>
          <w:szCs w:val="19"/>
          <w:color w:val="auto"/>
        </w:rPr>
      </w:pPr>
      <w:r>
        <w:rPr>
          <w:rFonts w:ascii="Arial" w:cs="Arial" w:eastAsia="Arial" w:hAnsi="Arial"/>
          <w:sz w:val="19"/>
          <w:szCs w:val="19"/>
          <w:color w:val="auto"/>
        </w:rPr>
        <w:t>such deposit will not result in a breach or violation of, or constitute a default under, any agreement or instrument to which the Issuer is a party or by which it is bound;</w:t>
      </w:r>
    </w:p>
    <w:p>
      <w:pPr>
        <w:spacing w:after="0" w:line="183" w:lineRule="exact"/>
        <w:rPr>
          <w:rFonts w:ascii="Arial" w:cs="Arial" w:eastAsia="Arial" w:hAnsi="Arial"/>
          <w:sz w:val="19"/>
          <w:szCs w:val="19"/>
          <w:color w:val="auto"/>
        </w:rPr>
      </w:pPr>
    </w:p>
    <w:p>
      <w:pPr>
        <w:ind w:left="680" w:right="20" w:firstLine="688"/>
        <w:spacing w:after="0" w:line="272" w:lineRule="auto"/>
        <w:tabs>
          <w:tab w:leader="none" w:pos="1745" w:val="left"/>
        </w:tabs>
        <w:numPr>
          <w:ilvl w:val="1"/>
          <w:numId w:val="36"/>
        </w:numPr>
        <w:rPr>
          <w:rFonts w:ascii="Arial" w:cs="Arial" w:eastAsia="Arial" w:hAnsi="Arial"/>
          <w:sz w:val="18"/>
          <w:szCs w:val="18"/>
          <w:color w:val="auto"/>
        </w:rPr>
      </w:pPr>
      <w:r>
        <w:rPr>
          <w:rFonts w:ascii="Arial" w:cs="Arial" w:eastAsia="Arial" w:hAnsi="Arial"/>
          <w:sz w:val="18"/>
          <w:szCs w:val="18"/>
          <w:color w:val="auto"/>
        </w:rPr>
        <w:t>the Issuer has delivered to the Trustee an Opinion of Counsel based on the fact that (x) the Issuer has received from, or there has been published by, the Internal Revenue Service a ruling or (y) since the date hereof, there has been a change in the applicable U.S. federal income tax law, in either case to the effect that, and such opinion shall confirm that, the Holders of the Securities of such series and coupons appertaining thereto will not recognize income, gain or loss for federal income tax purposes as a result of such deposit, defeasance and discharge and will be subject to federal income tax on the same amount and in the same manner and at the same times, as would have been the case if such deposit, defeasance and discharge had not occurred; and</w:t>
      </w:r>
    </w:p>
    <w:p>
      <w:pPr>
        <w:spacing w:after="0" w:line="189" w:lineRule="exact"/>
        <w:rPr>
          <w:rFonts w:ascii="Arial" w:cs="Arial" w:eastAsia="Arial" w:hAnsi="Arial"/>
          <w:sz w:val="18"/>
          <w:szCs w:val="18"/>
          <w:color w:val="auto"/>
        </w:rPr>
      </w:pPr>
    </w:p>
    <w:p>
      <w:pPr>
        <w:ind w:left="680" w:right="80" w:firstLine="688"/>
        <w:spacing w:after="0" w:line="275" w:lineRule="auto"/>
        <w:tabs>
          <w:tab w:leader="none" w:pos="1734"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the Issuer has delivered to the Trustee an Officersâ€™ Certificate and an Opinion of Counsel, each stating that all conditions precedent provided for relating to the defeasance contemplated by this provision have been complied with.</w:t>
      </w:r>
    </w:p>
    <w:p>
      <w:pPr>
        <w:spacing w:after="0" w:line="184" w:lineRule="exact"/>
        <w:rPr>
          <w:sz w:val="20"/>
          <w:szCs w:val="20"/>
          <w:color w:val="auto"/>
        </w:rPr>
      </w:pPr>
    </w:p>
    <w:p>
      <w:pPr>
        <w:ind w:firstLine="683"/>
        <w:spacing w:after="0" w:line="271" w:lineRule="auto"/>
        <w:tabs>
          <w:tab w:leader="none" w:pos="9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Issuer shall be released from its obligations under Section 9.01 with respect to the Securities of any series Outstanding, on and after the date the conditions set forth below are satisfied (hereinafter, â€œ</w:t>
      </w:r>
      <w:r>
        <w:rPr>
          <w:rFonts w:ascii="Arial" w:cs="Arial" w:eastAsia="Arial" w:hAnsi="Arial"/>
          <w:sz w:val="18"/>
          <w:szCs w:val="18"/>
          <w:u w:val="single" w:color="auto"/>
          <w:color w:val="auto"/>
        </w:rPr>
        <w:t>covenant defeasance</w:t>
      </w:r>
      <w:r>
        <w:rPr>
          <w:rFonts w:ascii="Arial" w:cs="Arial" w:eastAsia="Arial" w:hAnsi="Arial"/>
          <w:sz w:val="18"/>
          <w:szCs w:val="18"/>
          <w:color w:val="auto"/>
        </w:rPr>
        <w:t>â€ ). For this purpose, such covenant defeasance means that, with respect to the Outstanding Securities of any series, the Issuer may omit to comply with and shall have no liability in respect of any term, condition or limitation set forth in such Sections, whether directly or indirectly by reason of any reference elsewhere herein to such Sections or by reason of any reference in such Sections to any other provision herein or in any other document and such omission to comply shall not constitute an Event of Default under Section 4.01, but the remainder of this Indenture and such Securities and coupons shall be unaffected thereby. The following shall be the conditions to application of this subsection (c) of this Section 9.01:</w:t>
      </w:r>
    </w:p>
    <w:p>
      <w:pPr>
        <w:spacing w:after="0" w:line="189" w:lineRule="exact"/>
        <w:rPr>
          <w:rFonts w:ascii="Arial" w:cs="Arial" w:eastAsia="Arial" w:hAnsi="Arial"/>
          <w:sz w:val="18"/>
          <w:szCs w:val="18"/>
          <w:color w:val="auto"/>
        </w:rPr>
      </w:pPr>
    </w:p>
    <w:p>
      <w:pPr>
        <w:ind w:left="680" w:right="100" w:firstLine="688"/>
        <w:spacing w:after="0" w:line="263" w:lineRule="auto"/>
        <w:tabs>
          <w:tab w:leader="none" w:pos="1639" w:val="left"/>
        </w:tabs>
        <w:numPr>
          <w:ilvl w:val="1"/>
          <w:numId w:val="37"/>
        </w:numPr>
        <w:rPr>
          <w:rFonts w:ascii="Arial" w:cs="Arial" w:eastAsia="Arial" w:hAnsi="Arial"/>
          <w:sz w:val="19"/>
          <w:szCs w:val="19"/>
          <w:color w:val="auto"/>
        </w:rPr>
      </w:pPr>
      <w:r>
        <w:rPr>
          <w:rFonts w:ascii="Arial" w:cs="Arial" w:eastAsia="Arial" w:hAnsi="Arial"/>
          <w:sz w:val="19"/>
          <w:szCs w:val="19"/>
          <w:color w:val="auto"/>
        </w:rPr>
        <w:t>The Issuer has irrevocably deposited or caused to be deposited with the Trustee as trust funds in trust for the purpose of making the following payments, specifically pledged as security for, and dedicated solely to, the benefit of the Holders of the Securities of such series, (A) cash in an amount, or (B) in the case of any series of</w:t>
      </w:r>
    </w:p>
    <w:p>
      <w:pPr>
        <w:spacing w:after="0" w:line="194" w:lineRule="exact"/>
        <w:rPr>
          <w:sz w:val="20"/>
          <w:szCs w:val="20"/>
          <w:color w:val="auto"/>
        </w:rPr>
      </w:pPr>
    </w:p>
    <w:p>
      <w:pPr>
        <w:ind w:left="5220"/>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-436880</wp:posOffset>
            </wp:positionH>
            <wp:positionV relativeFrom="paragraph">
              <wp:posOffset>85725</wp:posOffset>
            </wp:positionV>
            <wp:extent cx="7646670" cy="311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680" w:right="20"/>
        <w:spacing w:after="0" w:line="294" w:lineRule="auto"/>
        <w:rPr>
          <w:sz w:val="20"/>
          <w:szCs w:val="20"/>
          <w:color w:val="auto"/>
        </w:rPr>
      </w:pPr>
      <w:r>
        <w:rPr>
          <w:rFonts w:ascii="Arial" w:cs="Arial" w:eastAsia="Arial" w:hAnsi="Arial"/>
          <w:sz w:val="17"/>
          <w:szCs w:val="17"/>
          <w:color w:val="auto"/>
        </w:rPr>
        <w:t>Securities the payments on which may only be made in U.S. Dollars, U.S. Government Obligations maturing as to principal and interest at such times and in such amounts as will insure the availability of cash or (C) a combination thereof, sufficient, in the opinion of a nationally recognized firm of independent public accountants expressed in a written certification thereof delivered to the Trustee, to pay (1) the principal and interest on all Securities of such series and coupons appertaining thereto and (2) any mandatory sinking fund payments on the day on which such payments are due and payable in accordance with the terms of the Indenture and the Securities of such series.</w:t>
      </w:r>
    </w:p>
    <w:p>
      <w:pPr>
        <w:spacing w:after="0" w:line="172" w:lineRule="exact"/>
        <w:rPr>
          <w:sz w:val="20"/>
          <w:szCs w:val="20"/>
          <w:color w:val="auto"/>
        </w:rPr>
      </w:pPr>
    </w:p>
    <w:p>
      <w:pPr>
        <w:jc w:val="both"/>
        <w:ind w:left="680" w:firstLine="688"/>
        <w:spacing w:after="0" w:line="259" w:lineRule="auto"/>
        <w:tabs>
          <w:tab w:leader="none" w:pos="1692" w:val="left"/>
        </w:tabs>
        <w:numPr>
          <w:ilvl w:val="0"/>
          <w:numId w:val="38"/>
        </w:numPr>
        <w:rPr>
          <w:rFonts w:ascii="Arial" w:cs="Arial" w:eastAsia="Arial" w:hAnsi="Arial"/>
          <w:sz w:val="19"/>
          <w:szCs w:val="19"/>
          <w:color w:val="auto"/>
        </w:rPr>
      </w:pPr>
      <w:r>
        <w:rPr>
          <w:rFonts w:ascii="Arial" w:cs="Arial" w:eastAsia="Arial" w:hAnsi="Arial"/>
          <w:sz w:val="19"/>
          <w:szCs w:val="19"/>
          <w:color w:val="auto"/>
        </w:rPr>
        <w:t>No Event of Default or event which with notice or lapse of time or both would become an Event of Default with respect to the Securities shall have occurred and be continuing on the date of such deposit or, insofar as subsections 4.01(c) and 4.01(d) are concerned, at any time during the period ending on the 91st day after the date of such deposit (it being understood that this condition shall not be deemed satisfied until the expiration of such period).</w:t>
      </w:r>
    </w:p>
    <w:p>
      <w:pPr>
        <w:spacing w:after="0" w:line="197" w:lineRule="exact"/>
        <w:rPr>
          <w:rFonts w:ascii="Arial" w:cs="Arial" w:eastAsia="Arial" w:hAnsi="Arial"/>
          <w:sz w:val="19"/>
          <w:szCs w:val="19"/>
          <w:color w:val="auto"/>
        </w:rPr>
      </w:pPr>
    </w:p>
    <w:p>
      <w:pPr>
        <w:ind w:left="680" w:right="60" w:firstLine="688"/>
        <w:spacing w:after="0" w:line="275" w:lineRule="auto"/>
        <w:tabs>
          <w:tab w:leader="none" w:pos="1745" w:val="left"/>
        </w:tabs>
        <w:numPr>
          <w:ilvl w:val="0"/>
          <w:numId w:val="38"/>
        </w:numPr>
        <w:rPr>
          <w:rFonts w:ascii="Arial" w:cs="Arial" w:eastAsia="Arial" w:hAnsi="Arial"/>
          <w:sz w:val="19"/>
          <w:szCs w:val="19"/>
          <w:color w:val="auto"/>
        </w:rPr>
      </w:pPr>
      <w:r>
        <w:rPr>
          <w:rFonts w:ascii="Arial" w:cs="Arial" w:eastAsia="Arial" w:hAnsi="Arial"/>
          <w:sz w:val="19"/>
          <w:szCs w:val="19"/>
          <w:color w:val="auto"/>
        </w:rPr>
        <w:t>Such covenant defeasance shall not cause the Trustee to have a conflicting interest for purposes of the Trust Indenture Act of 1939 with respect to any securities of the Issuer.</w:t>
      </w:r>
    </w:p>
    <w:p>
      <w:pPr>
        <w:spacing w:after="0" w:line="183" w:lineRule="exact"/>
        <w:rPr>
          <w:rFonts w:ascii="Arial" w:cs="Arial" w:eastAsia="Arial" w:hAnsi="Arial"/>
          <w:sz w:val="19"/>
          <w:szCs w:val="19"/>
          <w:color w:val="auto"/>
        </w:rPr>
      </w:pPr>
    </w:p>
    <w:p>
      <w:pPr>
        <w:ind w:left="680" w:right="60" w:firstLine="688"/>
        <w:spacing w:after="0" w:line="275" w:lineRule="auto"/>
        <w:tabs>
          <w:tab w:leader="none" w:pos="1734" w:val="left"/>
        </w:tabs>
        <w:numPr>
          <w:ilvl w:val="0"/>
          <w:numId w:val="38"/>
        </w:numPr>
        <w:rPr>
          <w:rFonts w:ascii="Arial" w:cs="Arial" w:eastAsia="Arial" w:hAnsi="Arial"/>
          <w:sz w:val="19"/>
          <w:szCs w:val="19"/>
          <w:color w:val="auto"/>
        </w:rPr>
      </w:pPr>
      <w:r>
        <w:rPr>
          <w:rFonts w:ascii="Arial" w:cs="Arial" w:eastAsia="Arial" w:hAnsi="Arial"/>
          <w:sz w:val="19"/>
          <w:szCs w:val="19"/>
          <w:color w:val="auto"/>
        </w:rPr>
        <w:t>Such covenant defeasance shall not result in a breach or violation of, or constitute a default under, this Indenture or any other agreement or instrument to which the Issuer is a party or by which it is bound.</w:t>
      </w:r>
    </w:p>
    <w:p>
      <w:pPr>
        <w:spacing w:after="0" w:line="183" w:lineRule="exact"/>
        <w:rPr>
          <w:rFonts w:ascii="Arial" w:cs="Arial" w:eastAsia="Arial" w:hAnsi="Arial"/>
          <w:sz w:val="19"/>
          <w:szCs w:val="19"/>
          <w:color w:val="auto"/>
        </w:rPr>
      </w:pPr>
    </w:p>
    <w:p>
      <w:pPr>
        <w:ind w:left="680" w:right="200" w:firstLine="688"/>
        <w:spacing w:after="0" w:line="275" w:lineRule="auto"/>
        <w:tabs>
          <w:tab w:leader="none" w:pos="1681" w:val="left"/>
        </w:tabs>
        <w:numPr>
          <w:ilvl w:val="0"/>
          <w:numId w:val="38"/>
        </w:numPr>
        <w:rPr>
          <w:rFonts w:ascii="Arial" w:cs="Arial" w:eastAsia="Arial" w:hAnsi="Arial"/>
          <w:sz w:val="19"/>
          <w:szCs w:val="19"/>
          <w:color w:val="auto"/>
        </w:rPr>
      </w:pPr>
      <w:r>
        <w:rPr>
          <w:rFonts w:ascii="Arial" w:cs="Arial" w:eastAsia="Arial" w:hAnsi="Arial"/>
          <w:sz w:val="19"/>
          <w:szCs w:val="19"/>
          <w:color w:val="auto"/>
        </w:rPr>
        <w:t>Such covenant defeasance shall not cause any Securities then listed on any registered national securities exchange under the Securities Exchange Act of 1934, as amended, to be delisted.</w:t>
      </w:r>
    </w:p>
    <w:p>
      <w:pPr>
        <w:spacing w:after="0" w:line="183" w:lineRule="exact"/>
        <w:rPr>
          <w:rFonts w:ascii="Arial" w:cs="Arial" w:eastAsia="Arial" w:hAnsi="Arial"/>
          <w:sz w:val="19"/>
          <w:szCs w:val="19"/>
          <w:color w:val="auto"/>
        </w:rPr>
      </w:pPr>
    </w:p>
    <w:p>
      <w:pPr>
        <w:ind w:left="680" w:right="60" w:firstLine="688"/>
        <w:spacing w:after="0" w:line="259" w:lineRule="auto"/>
        <w:tabs>
          <w:tab w:leader="none" w:pos="1734"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Issuer shall have delivered to the Trustee an Officersâ€™ Certificate and Opinion of Counsel to the effect that the Holders of the Securities of such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ectPr>
          <w:pgSz w:w="12240" w:h="16003" w:orient="portrait"/>
          <w:cols w:equalWidth="0" w:num="1">
            <w:col w:w="11300"/>
          </w:cols>
          <w:pgMar w:left="800" w:top="213" w:right="140" w:bottom="0" w:gutter="0" w:footer="0" w:header="0"/>
        </w:sectPr>
      </w:pPr>
    </w:p>
    <w:bookmarkStart w:id="75" w:name="page76"/>
    <w:bookmarkEnd w:id="75"/>
    <w:p>
      <w:pPr>
        <w:ind w:left="1360" w:right="280" w:firstLine="688"/>
        <w:spacing w:after="0" w:line="336" w:lineRule="auto"/>
        <w:tabs>
          <w:tab w:leader="none" w:pos="2467"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Issuer shall have delivered to the Trustee an Officersâ€™ Certificate and an Opinion of Counsel, each stating that all conditions precedent provided for relating to the covenant defeasance contemplated by this provision have been complied with.</w:t>
      </w:r>
    </w:p>
    <w:p>
      <w:pPr>
        <w:spacing w:after="0" w:line="137" w:lineRule="exact"/>
        <w:rPr>
          <w:sz w:val="20"/>
          <w:szCs w:val="20"/>
          <w:color w:val="auto"/>
        </w:rPr>
      </w:pPr>
    </w:p>
    <w:p>
      <w:pPr>
        <w:ind w:firstLine="1369"/>
        <w:spacing w:after="0" w:line="274" w:lineRule="auto"/>
        <w:rPr>
          <w:sz w:val="20"/>
          <w:szCs w:val="20"/>
          <w:color w:val="auto"/>
        </w:rPr>
      </w:pPr>
      <w:r>
        <w:rPr>
          <w:rFonts w:ascii="Arial" w:cs="Arial" w:eastAsia="Arial" w:hAnsi="Arial"/>
          <w:sz w:val="18"/>
          <w:szCs w:val="18"/>
          <w:color w:val="auto"/>
        </w:rPr>
        <w:t xml:space="preserve">SECTION 9.02. </w:t>
      </w:r>
      <w:r>
        <w:rPr>
          <w:rFonts w:ascii="Arial" w:cs="Arial" w:eastAsia="Arial" w:hAnsi="Arial"/>
          <w:sz w:val="18"/>
          <w:szCs w:val="18"/>
          <w:u w:val="single" w:color="auto"/>
          <w:color w:val="auto"/>
        </w:rPr>
        <w:t>Application by Trustee of Funds Deposited for Payment of Securities.</w:t>
      </w:r>
      <w:r>
        <w:rPr>
          <w:rFonts w:ascii="Arial" w:cs="Arial" w:eastAsia="Arial" w:hAnsi="Arial"/>
          <w:sz w:val="18"/>
          <w:szCs w:val="18"/>
          <w:color w:val="auto"/>
        </w:rPr>
        <w:t xml:space="preserve"> Subject to Section 9.04 and any subordination provisions applicable to the Securities, all moneys deposited with the Trustee pursuant to Section 9.01 shall be held in trust and applied by it to the payment, either directly or through any paying agent (including the Issuer acting as its own paying agent), to the Holders of the particular Securities of such series for the payment or redemption of which such moneys have been deposited with the Trustee, of all sums due and to become due thereon for principal and interest; but such money need not be segregated from other funds except to the extent required by law.</w:t>
      </w:r>
    </w:p>
    <w:p>
      <w:pPr>
        <w:spacing w:after="0" w:line="188" w:lineRule="exact"/>
        <w:rPr>
          <w:sz w:val="20"/>
          <w:szCs w:val="20"/>
          <w:color w:val="auto"/>
        </w:rPr>
      </w:pPr>
    </w:p>
    <w:p>
      <w:pPr>
        <w:ind w:right="20" w:firstLine="1369"/>
        <w:spacing w:after="0" w:line="259" w:lineRule="auto"/>
        <w:rPr>
          <w:sz w:val="20"/>
          <w:szCs w:val="20"/>
          <w:color w:val="auto"/>
        </w:rPr>
      </w:pPr>
      <w:r>
        <w:rPr>
          <w:rFonts w:ascii="Arial" w:cs="Arial" w:eastAsia="Arial" w:hAnsi="Arial"/>
          <w:sz w:val="19"/>
          <w:szCs w:val="19"/>
          <w:color w:val="auto"/>
        </w:rPr>
        <w:t xml:space="preserve">SECTION 9.03. </w:t>
      </w:r>
      <w:r>
        <w:rPr>
          <w:rFonts w:ascii="Arial" w:cs="Arial" w:eastAsia="Arial" w:hAnsi="Arial"/>
          <w:sz w:val="19"/>
          <w:szCs w:val="19"/>
          <w:u w:val="single" w:color="auto"/>
          <w:color w:val="auto"/>
        </w:rPr>
        <w:t>Repayment of Moneys Held by Paying Agent.</w:t>
      </w:r>
      <w:r>
        <w:rPr>
          <w:rFonts w:ascii="Arial" w:cs="Arial" w:eastAsia="Arial" w:hAnsi="Arial"/>
          <w:sz w:val="19"/>
          <w:szCs w:val="19"/>
          <w:color w:val="auto"/>
        </w:rPr>
        <w:t xml:space="preserve"> In connection with the satisfaction and discharge of this Indenture with respect to Securities of any series, all moneys then held by any paying agent under the provisions of this Indenture with respect to such series of Securities shall, upon demand of the Issuer, be repaid to it or paid to the Trustee and thereupon such paying agent shall be released from all further liability with respect to such moneys.</w:t>
      </w:r>
    </w:p>
    <w:p>
      <w:pPr>
        <w:spacing w:after="0" w:line="198" w:lineRule="exact"/>
        <w:rPr>
          <w:sz w:val="20"/>
          <w:szCs w:val="20"/>
          <w:color w:val="auto"/>
        </w:rPr>
      </w:pPr>
    </w:p>
    <w:p>
      <w:pPr>
        <w:ind w:right="180" w:firstLine="1369"/>
        <w:spacing w:after="0" w:line="275" w:lineRule="auto"/>
        <w:rPr>
          <w:sz w:val="20"/>
          <w:szCs w:val="20"/>
          <w:color w:val="auto"/>
        </w:rPr>
      </w:pPr>
      <w:r>
        <w:rPr>
          <w:rFonts w:ascii="Arial" w:cs="Arial" w:eastAsia="Arial" w:hAnsi="Arial"/>
          <w:sz w:val="19"/>
          <w:szCs w:val="19"/>
          <w:color w:val="auto"/>
        </w:rPr>
        <w:t xml:space="preserve">SECTION 9.04. </w:t>
      </w:r>
      <w:r>
        <w:rPr>
          <w:rFonts w:ascii="Arial" w:cs="Arial" w:eastAsia="Arial" w:hAnsi="Arial"/>
          <w:sz w:val="19"/>
          <w:szCs w:val="19"/>
          <w:u w:val="single" w:color="auto"/>
          <w:color w:val="auto"/>
        </w:rPr>
        <w:t>Return of Moneys Held by Trustee and Paying Agent Unclaimed for Two Years.</w:t>
      </w:r>
      <w:r>
        <w:rPr>
          <w:rFonts w:ascii="Arial" w:cs="Arial" w:eastAsia="Arial" w:hAnsi="Arial"/>
          <w:sz w:val="19"/>
          <w:szCs w:val="19"/>
          <w:color w:val="auto"/>
        </w:rPr>
        <w:t xml:space="preserve"> Any moneys deposited with or paid to the Trustee or any paying agent for the payment of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4" w:right="140" w:bottom="1440" w:gutter="0" w:footer="0" w:header="0"/>
        </w:sectPr>
      </w:pPr>
    </w:p>
    <w:bookmarkStart w:id="76" w:name="page77"/>
    <w:bookmarkEnd w:id="76"/>
    <w:p>
      <w:pPr>
        <w:spacing w:after="0" w:line="255" w:lineRule="auto"/>
        <w:rPr>
          <w:sz w:val="20"/>
          <w:szCs w:val="20"/>
          <w:color w:val="auto"/>
        </w:rPr>
      </w:pPr>
      <w:r>
        <w:rPr>
          <w:rFonts w:ascii="Arial" w:cs="Arial" w:eastAsia="Arial" w:hAnsi="Arial"/>
          <w:sz w:val="19"/>
          <w:szCs w:val="19"/>
          <w:color w:val="auto"/>
        </w:rPr>
        <w:t>principal of or interest on any Security of any series and not applied but remaining unclaimed for two years after the date upon which such principal or interest shall have become due and payable, shall, upon the written request of the Issuer and unless otherwise required by mandatory provisions of applicable escheat or abandoned or unclaimed property laws, be repaid to the Issuer by the Trustee for such series or such paying agent, and the Holder of the Security of such series shall, unless otherwise required by mandatory provisions of applicable escheat or abandoned or unclaimed property laws, thereafter look only to the Issuer for any payment which such Holder may be entitled to collect, and all liability of the Trustee or any paying agent with respect to such moneys shall thereupon cease.</w:t>
      </w:r>
    </w:p>
    <w:p>
      <w:pPr>
        <w:spacing w:after="0" w:line="204" w:lineRule="exact"/>
        <w:rPr>
          <w:sz w:val="20"/>
          <w:szCs w:val="20"/>
          <w:color w:val="auto"/>
        </w:rPr>
      </w:pPr>
    </w:p>
    <w:p>
      <w:pPr>
        <w:ind w:right="120" w:firstLine="1369"/>
        <w:spacing w:after="0" w:line="263" w:lineRule="auto"/>
        <w:rPr>
          <w:sz w:val="20"/>
          <w:szCs w:val="20"/>
          <w:color w:val="auto"/>
        </w:rPr>
      </w:pPr>
      <w:r>
        <w:rPr>
          <w:rFonts w:ascii="Arial" w:cs="Arial" w:eastAsia="Arial" w:hAnsi="Arial"/>
          <w:sz w:val="19"/>
          <w:szCs w:val="19"/>
          <w:color w:val="auto"/>
        </w:rPr>
        <w:t>The Issuer shall pay and indemnify the Trustee against any tax, fee or other charge imposed on or assessed against the U.S. Government Obligations deposited pursuant to Section 9.01 or the principal and interest received in respect thereof other than any such tax, fee or other charge which by law is for the account of the Holders of Outstanding Securities.</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ARTICLE 10</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9"/>
          <w:szCs w:val="19"/>
          <w:u w:val="single" w:color="auto"/>
          <w:color w:val="auto"/>
        </w:rPr>
        <w:t>Miscellaneous Provisions</w:t>
      </w:r>
    </w:p>
    <w:p>
      <w:pPr>
        <w:spacing w:after="0" w:line="238" w:lineRule="exact"/>
        <w:rPr>
          <w:sz w:val="20"/>
          <w:szCs w:val="20"/>
          <w:color w:val="auto"/>
        </w:rPr>
      </w:pPr>
    </w:p>
    <w:p>
      <w:pPr>
        <w:ind w:right="20" w:firstLine="1369"/>
        <w:spacing w:after="0" w:line="272" w:lineRule="auto"/>
        <w:rPr>
          <w:sz w:val="20"/>
          <w:szCs w:val="20"/>
          <w:color w:val="auto"/>
        </w:rPr>
      </w:pPr>
      <w:r>
        <w:rPr>
          <w:rFonts w:ascii="Arial" w:cs="Arial" w:eastAsia="Arial" w:hAnsi="Arial"/>
          <w:sz w:val="18"/>
          <w:szCs w:val="18"/>
          <w:color w:val="auto"/>
        </w:rPr>
        <w:t xml:space="preserve">SECTION 10.01. </w:t>
      </w:r>
      <w:r>
        <w:rPr>
          <w:rFonts w:ascii="Arial" w:cs="Arial" w:eastAsia="Arial" w:hAnsi="Arial"/>
          <w:sz w:val="18"/>
          <w:szCs w:val="18"/>
          <w:u w:val="single" w:color="auto"/>
          <w:color w:val="auto"/>
        </w:rPr>
        <w:t>Incorporators, Stockholders, Members, Officers and Directors of Issuer Exempt from Individual Liability.</w:t>
      </w:r>
      <w:r>
        <w:rPr>
          <w:rFonts w:ascii="Arial" w:cs="Arial" w:eastAsia="Arial" w:hAnsi="Arial"/>
          <w:sz w:val="18"/>
          <w:szCs w:val="18"/>
          <w:color w:val="auto"/>
        </w:rPr>
        <w:t xml:space="preserve"> No recourse under or upon any obligation, covenant or agreement contained in this Indenture, or in any Security, or because of any indebtedness evidenced thereby, shall be had against any incorporator, as such, or against any past, present or future stockholder, member, officer or director, as such, of the Issuer or of any successor, either directly or through the Issuer or any successor,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90" w:lineRule="exact"/>
        <w:rPr>
          <w:sz w:val="20"/>
          <w:szCs w:val="20"/>
          <w:color w:val="auto"/>
        </w:rPr>
      </w:pPr>
    </w:p>
    <w:p>
      <w:pPr>
        <w:ind w:right="20" w:firstLine="1369"/>
        <w:spacing w:after="0" w:line="298" w:lineRule="auto"/>
        <w:rPr>
          <w:sz w:val="20"/>
          <w:szCs w:val="20"/>
          <w:color w:val="auto"/>
        </w:rPr>
      </w:pPr>
      <w:r>
        <w:rPr>
          <w:rFonts w:ascii="Arial" w:cs="Arial" w:eastAsia="Arial" w:hAnsi="Arial"/>
          <w:sz w:val="17"/>
          <w:szCs w:val="17"/>
          <w:color w:val="auto"/>
        </w:rPr>
        <w:t xml:space="preserve">SECTION 10.02. </w:t>
      </w:r>
      <w:r>
        <w:rPr>
          <w:rFonts w:ascii="Arial" w:cs="Arial" w:eastAsia="Arial" w:hAnsi="Arial"/>
          <w:sz w:val="17"/>
          <w:szCs w:val="17"/>
          <w:u w:val="single" w:color="auto"/>
          <w:color w:val="auto"/>
        </w:rPr>
        <w:t>Provisions of Indenture for the Sole Benefit of Parties and Securityholders.</w:t>
      </w:r>
      <w:r>
        <w:rPr>
          <w:rFonts w:ascii="Arial" w:cs="Arial" w:eastAsia="Arial" w:hAnsi="Arial"/>
          <w:sz w:val="17"/>
          <w:szCs w:val="17"/>
          <w:color w:val="auto"/>
        </w:rPr>
        <w:t xml:space="preserve">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70" w:lineRule="exact"/>
        <w:rPr>
          <w:sz w:val="20"/>
          <w:szCs w:val="20"/>
          <w:color w:val="auto"/>
        </w:rPr>
      </w:pPr>
    </w:p>
    <w:p>
      <w:pPr>
        <w:ind w:right="100" w:firstLine="1369"/>
        <w:spacing w:after="0" w:line="275" w:lineRule="auto"/>
        <w:rPr>
          <w:sz w:val="20"/>
          <w:szCs w:val="20"/>
          <w:color w:val="auto"/>
        </w:rPr>
      </w:pPr>
      <w:r>
        <w:rPr>
          <w:rFonts w:ascii="Arial" w:cs="Arial" w:eastAsia="Arial" w:hAnsi="Arial"/>
          <w:sz w:val="19"/>
          <w:szCs w:val="19"/>
          <w:color w:val="auto"/>
        </w:rPr>
        <w:t xml:space="preserve">SECTION 10.03. </w:t>
      </w:r>
      <w:r>
        <w:rPr>
          <w:rFonts w:ascii="Arial" w:cs="Arial" w:eastAsia="Arial" w:hAnsi="Arial"/>
          <w:sz w:val="19"/>
          <w:szCs w:val="19"/>
          <w:u w:val="single" w:color="auto"/>
          <w:color w:val="auto"/>
        </w:rPr>
        <w:t>Successors and Assigns of Issuer Bound by Indenture.</w:t>
      </w:r>
      <w:r>
        <w:rPr>
          <w:rFonts w:ascii="Arial" w:cs="Arial" w:eastAsia="Arial" w:hAnsi="Arial"/>
          <w:sz w:val="19"/>
          <w:szCs w:val="19"/>
          <w:color w:val="auto"/>
        </w:rPr>
        <w:t xml:space="preserve"> All the covenants, stipulations, promises and agreements in this Indenture contained by or in behalf of the Issuer shall bind its successors and assigns, whether so expressed or not.</w:t>
      </w:r>
    </w:p>
    <w:p>
      <w:pPr>
        <w:spacing w:after="0" w:line="184" w:lineRule="exact"/>
        <w:rPr>
          <w:sz w:val="20"/>
          <w:szCs w:val="20"/>
          <w:color w:val="auto"/>
        </w:rPr>
      </w:pPr>
    </w:p>
    <w:p>
      <w:pPr>
        <w:jc w:val="both"/>
        <w:ind w:right="280" w:firstLine="1369"/>
        <w:spacing w:after="0" w:line="259" w:lineRule="auto"/>
        <w:rPr>
          <w:sz w:val="20"/>
          <w:szCs w:val="20"/>
          <w:color w:val="auto"/>
        </w:rPr>
      </w:pPr>
      <w:r>
        <w:rPr>
          <w:rFonts w:ascii="Arial" w:cs="Arial" w:eastAsia="Arial" w:hAnsi="Arial"/>
          <w:sz w:val="19"/>
          <w:szCs w:val="19"/>
          <w:color w:val="auto"/>
        </w:rPr>
        <w:t xml:space="preserve">SECTION 10.04. </w:t>
      </w:r>
      <w:r>
        <w:rPr>
          <w:rFonts w:ascii="Arial" w:cs="Arial" w:eastAsia="Arial" w:hAnsi="Arial"/>
          <w:sz w:val="19"/>
          <w:szCs w:val="19"/>
          <w:u w:val="single" w:color="auto"/>
          <w:color w:val="auto"/>
        </w:rPr>
        <w:t>Notices and Demands on Issuer, Trustee and Securityholders.</w:t>
      </w:r>
      <w:r>
        <w:rPr>
          <w:rFonts w:ascii="Arial" w:cs="Arial" w:eastAsia="Arial" w:hAnsi="Arial"/>
          <w:sz w:val="19"/>
          <w:szCs w:val="19"/>
          <w:color w:val="auto"/>
        </w:rPr>
        <w:t xml:space="preserve">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GasLog Ltd. at the following address:</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GasLog Ltd.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GasLog Monaco S.A.M.</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Gildo Pastor Center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7 Rue du Gabian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MC 98000, Monaco</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with copies to:</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Cravath Swaine &amp; Moore LLP</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825 Eighth Avenue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40"/>
          </w:cols>
          <w:pgMar w:left="120" w:top="213" w:right="180" w:bottom="1440" w:gutter="0" w:footer="0" w:header="0"/>
        </w:sectPr>
      </w:pPr>
    </w:p>
    <w:bookmarkStart w:id="77" w:name="page78"/>
    <w:bookmarkEnd w:id="77"/>
    <w:p>
      <w:pPr>
        <w:ind w:left="6"/>
        <w:spacing w:after="0"/>
        <w:rPr>
          <w:sz w:val="20"/>
          <w:szCs w:val="20"/>
          <w:color w:val="auto"/>
        </w:rPr>
      </w:pPr>
      <w:r>
        <w:rPr>
          <w:rFonts w:ascii="Arial" w:cs="Arial" w:eastAsia="Arial" w:hAnsi="Arial"/>
          <w:sz w:val="19"/>
          <w:szCs w:val="19"/>
          <w:color w:val="auto"/>
        </w:rPr>
        <w:t>New York, New York 10019</w:t>
      </w:r>
    </w:p>
    <w:p>
      <w:pPr>
        <w:spacing w:after="0" w:line="23" w:lineRule="exact"/>
        <w:rPr>
          <w:sz w:val="20"/>
          <w:szCs w:val="20"/>
          <w:color w:val="auto"/>
        </w:rPr>
      </w:pPr>
    </w:p>
    <w:p>
      <w:pPr>
        <w:ind w:left="6"/>
        <w:spacing w:after="0"/>
        <w:rPr>
          <w:sz w:val="20"/>
          <w:szCs w:val="20"/>
          <w:color w:val="auto"/>
        </w:rPr>
      </w:pPr>
      <w:r>
        <w:rPr>
          <w:rFonts w:ascii="Arial" w:cs="Arial" w:eastAsia="Arial" w:hAnsi="Arial"/>
          <w:sz w:val="19"/>
          <w:szCs w:val="19"/>
          <w:color w:val="auto"/>
        </w:rPr>
        <w:t>Attention: D. Scott Bennett, Esq.</w:t>
      </w:r>
    </w:p>
    <w:p>
      <w:pPr>
        <w:spacing w:after="0" w:line="10" w:lineRule="exact"/>
        <w:rPr>
          <w:sz w:val="20"/>
          <w:szCs w:val="20"/>
          <w:color w:val="auto"/>
        </w:rPr>
      </w:pPr>
    </w:p>
    <w:p>
      <w:pPr>
        <w:ind w:left="6"/>
        <w:spacing w:after="0"/>
        <w:rPr>
          <w:sz w:val="20"/>
          <w:szCs w:val="20"/>
          <w:color w:val="auto"/>
        </w:rPr>
      </w:pPr>
      <w:r>
        <w:rPr>
          <w:rFonts w:ascii="Arial" w:cs="Arial" w:eastAsia="Arial" w:hAnsi="Arial"/>
          <w:sz w:val="19"/>
          <w:szCs w:val="19"/>
          <w:color w:val="auto"/>
        </w:rPr>
        <w:t>Facsimile: (212) 474-3700</w:t>
      </w:r>
    </w:p>
    <w:p>
      <w:pPr>
        <w:spacing w:after="0" w:line="225" w:lineRule="exact"/>
        <w:rPr>
          <w:sz w:val="20"/>
          <w:szCs w:val="20"/>
          <w:color w:val="auto"/>
        </w:rPr>
      </w:pPr>
    </w:p>
    <w:p>
      <w:pPr>
        <w:ind w:left="6" w:right="820" w:firstLine="1369"/>
        <w:spacing w:after="0" w:line="275" w:lineRule="auto"/>
        <w:rPr>
          <w:sz w:val="20"/>
          <w:szCs w:val="20"/>
          <w:color w:val="auto"/>
        </w:rPr>
      </w:pPr>
      <w:r>
        <w:rPr>
          <w:rFonts w:ascii="Arial" w:cs="Arial" w:eastAsia="Arial" w:hAnsi="Arial"/>
          <w:sz w:val="19"/>
          <w:szCs w:val="19"/>
          <w:color w:val="auto"/>
        </w:rPr>
        <w:t>Any notice, direction, request or demand by the Issuer or any Securityholder to or upon the Trustee shall be deemed to have been sufficiently given or made, for all purposes, if delivered in person or mailed by first-class mail to the Trustee at [ ].</w:t>
      </w:r>
    </w:p>
    <w:p>
      <w:pPr>
        <w:spacing w:after="0" w:line="184" w:lineRule="exact"/>
        <w:rPr>
          <w:sz w:val="20"/>
          <w:szCs w:val="20"/>
          <w:color w:val="auto"/>
        </w:rPr>
      </w:pPr>
    </w:p>
    <w:p>
      <w:pPr>
        <w:ind w:left="6" w:right="20" w:firstLine="1369"/>
        <w:spacing w:after="0" w:line="291" w:lineRule="auto"/>
        <w:rPr>
          <w:sz w:val="20"/>
          <w:szCs w:val="20"/>
          <w:color w:val="auto"/>
        </w:rPr>
      </w:pPr>
      <w:r>
        <w:rPr>
          <w:rFonts w:ascii="Arial" w:cs="Arial" w:eastAsia="Arial" w:hAnsi="Arial"/>
          <w:sz w:val="17"/>
          <w:szCs w:val="17"/>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75" w:lineRule="exact"/>
        <w:rPr>
          <w:sz w:val="20"/>
          <w:szCs w:val="20"/>
          <w:color w:val="auto"/>
        </w:rPr>
      </w:pPr>
    </w:p>
    <w:p>
      <w:pPr>
        <w:ind w:left="6" w:right="420" w:firstLine="1369"/>
        <w:spacing w:after="0" w:line="263" w:lineRule="auto"/>
        <w:rPr>
          <w:sz w:val="20"/>
          <w:szCs w:val="20"/>
          <w:color w:val="auto"/>
        </w:rPr>
      </w:pPr>
      <w:r>
        <w:rPr>
          <w:rFonts w:ascii="Arial" w:cs="Arial" w:eastAsia="Arial" w:hAnsi="Arial"/>
          <w:sz w:val="19"/>
          <w:szCs w:val="19"/>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94" w:lineRule="exact"/>
        <w:rPr>
          <w:sz w:val="20"/>
          <w:szCs w:val="20"/>
          <w:color w:val="auto"/>
        </w:rPr>
      </w:pPr>
    </w:p>
    <w:p>
      <w:pPr>
        <w:ind w:left="6" w:firstLine="1369"/>
        <w:spacing w:after="0" w:line="269" w:lineRule="auto"/>
        <w:rPr>
          <w:sz w:val="20"/>
          <w:szCs w:val="20"/>
          <w:color w:val="auto"/>
        </w:rPr>
      </w:pPr>
      <w:r>
        <w:rPr>
          <w:rFonts w:ascii="Arial" w:cs="Arial" w:eastAsia="Arial" w:hAnsi="Arial"/>
          <w:sz w:val="18"/>
          <w:szCs w:val="18"/>
          <w:color w:val="auto"/>
        </w:rPr>
        <w:t xml:space="preserve">Notwithstanding anything to the contrary, the Trustee agrees to accept and act upon instructions or directions pursuant to this Indenture sent by unsecured e-mail, pdf, facsimile transmission or other similar unsecured electronic methods;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the party providing such written instructions, subsequent to such transmission of written instructions, shall provide the originally executed instructions or directions to the Trustee in a timely manner and (b) such originally executed instructions or directions shall be signed by an authorized representative of the party providing such instructions or directions. If the party elects to give the Trustee e-mail or facsimile instructions (or instructions by a similar electronic method) and the Trustee in its discretion elects to act upon such instructions, the Trusteeâ€™s understanding of such instructions shall be deemed controlling. The Trustee shall not be liable for any losses, costs or expenses arising directly or indirectly from the Trusteeâ€™s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of interception and misuse by third parties.</w:t>
      </w:r>
    </w:p>
    <w:p>
      <w:pPr>
        <w:spacing w:after="0" w:line="190" w:lineRule="exact"/>
        <w:rPr>
          <w:sz w:val="20"/>
          <w:szCs w:val="20"/>
          <w:color w:val="auto"/>
        </w:rPr>
      </w:pPr>
    </w:p>
    <w:p>
      <w:pPr>
        <w:ind w:left="1366"/>
        <w:spacing w:after="0"/>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Communication by Securityholders with Other Securityholders</w:t>
      </w:r>
      <w:r>
        <w:rPr>
          <w:rFonts w:ascii="Arial" w:cs="Arial" w:eastAsia="Arial" w:hAnsi="Arial"/>
          <w:sz w:val="18"/>
          <w:szCs w:val="18"/>
          <w:color w:val="auto"/>
        </w:rPr>
        <w:t>. Securityholders may communicate pursuant to</w:t>
      </w:r>
    </w:p>
    <w:p>
      <w:pPr>
        <w:spacing w:after="0" w:line="34" w:lineRule="exact"/>
        <w:rPr>
          <w:sz w:val="20"/>
          <w:szCs w:val="20"/>
          <w:color w:val="auto"/>
        </w:rPr>
      </w:pPr>
    </w:p>
    <w:p>
      <w:pPr>
        <w:ind w:left="6"/>
        <w:spacing w:after="0"/>
        <w:rPr>
          <w:sz w:val="20"/>
          <w:szCs w:val="20"/>
          <w:color w:val="auto"/>
        </w:rPr>
      </w:pPr>
      <w:r>
        <w:rPr>
          <w:rFonts w:ascii="Arial" w:cs="Arial" w:eastAsia="Arial" w:hAnsi="Arial"/>
          <w:sz w:val="17"/>
          <w:szCs w:val="17"/>
          <w:color w:val="auto"/>
        </w:rPr>
        <w:t>Section 312(b) of the Trust Indenture Act of 1939 with other Securityholders with respect to their rights under this Indenture or the Securities. The Issuer, the</w:t>
      </w:r>
    </w:p>
    <w:p>
      <w:pPr>
        <w:spacing w:after="0" w:line="33" w:lineRule="exact"/>
        <w:rPr>
          <w:sz w:val="20"/>
          <w:szCs w:val="20"/>
          <w:color w:val="auto"/>
        </w:rPr>
      </w:pPr>
    </w:p>
    <w:p>
      <w:pPr>
        <w:ind w:left="6"/>
        <w:spacing w:after="0"/>
        <w:rPr>
          <w:sz w:val="20"/>
          <w:szCs w:val="20"/>
          <w:color w:val="auto"/>
        </w:rPr>
      </w:pPr>
      <w:r>
        <w:rPr>
          <w:rFonts w:ascii="Arial" w:cs="Arial" w:eastAsia="Arial" w:hAnsi="Arial"/>
          <w:sz w:val="19"/>
          <w:szCs w:val="19"/>
          <w:color w:val="auto"/>
        </w:rPr>
        <w:t>Trustee, any registrar and anyone else shall have the protection of Section 312(c) of the Trust Indenture Act of 1939.</w:t>
      </w:r>
    </w:p>
    <w:p>
      <w:pPr>
        <w:spacing w:after="0" w:line="225" w:lineRule="exact"/>
        <w:rPr>
          <w:sz w:val="20"/>
          <w:szCs w:val="20"/>
          <w:color w:val="auto"/>
        </w:rPr>
      </w:pPr>
    </w:p>
    <w:p>
      <w:pPr>
        <w:ind w:left="6" w:right="300" w:firstLine="1369"/>
        <w:spacing w:after="0" w:line="277" w:lineRule="auto"/>
        <w:rPr>
          <w:sz w:val="20"/>
          <w:szCs w:val="20"/>
          <w:color w:val="auto"/>
        </w:rPr>
      </w:pPr>
      <w:r>
        <w:rPr>
          <w:rFonts w:ascii="Arial" w:cs="Arial" w:eastAsia="Arial" w:hAnsi="Arial"/>
          <w:sz w:val="18"/>
          <w:szCs w:val="18"/>
          <w:color w:val="auto"/>
        </w:rPr>
        <w:t xml:space="preserve">SECTION 10.06. </w:t>
      </w:r>
      <w:r>
        <w:rPr>
          <w:rFonts w:ascii="Arial" w:cs="Arial" w:eastAsia="Arial" w:hAnsi="Arial"/>
          <w:sz w:val="18"/>
          <w:szCs w:val="18"/>
          <w:u w:val="single" w:color="auto"/>
          <w:color w:val="auto"/>
        </w:rPr>
        <w:t>Officersâ€™ Certificates and Opinions of Counsel; Statements to be Contained Therein.</w:t>
      </w:r>
      <w:r>
        <w:rPr>
          <w:rFonts w:ascii="Arial" w:cs="Arial" w:eastAsia="Arial" w:hAnsi="Arial"/>
          <w:sz w:val="18"/>
          <w:szCs w:val="18"/>
          <w:color w:val="auto"/>
        </w:rPr>
        <w:t xml:space="preserve"> Upon any application or demand by the Issuer to the Trustee to take any action under any of the provisions of this Indenture, the Issuer shall furnish to the Trustee an Officersâ€™ Certificate stating that all conditions precedent provided for in this Indenture relating to the proposed action have been complied with and an Opinion of Counsel stating that in the opinion of such counsel all such conditions precedent have been complied with.</w:t>
      </w:r>
    </w:p>
    <w:p>
      <w:pPr>
        <w:spacing w:after="0" w:line="185" w:lineRule="exact"/>
        <w:rPr>
          <w:sz w:val="20"/>
          <w:szCs w:val="20"/>
          <w:color w:val="auto"/>
        </w:rPr>
      </w:pPr>
    </w:p>
    <w:p>
      <w:pPr>
        <w:ind w:left="6" w:right="200" w:firstLine="1369"/>
        <w:spacing w:after="0" w:line="288" w:lineRule="auto"/>
        <w:rPr>
          <w:sz w:val="20"/>
          <w:szCs w:val="20"/>
          <w:color w:val="auto"/>
        </w:rPr>
      </w:pPr>
      <w:r>
        <w:rPr>
          <w:rFonts w:ascii="Arial" w:cs="Arial" w:eastAsia="Arial" w:hAnsi="Arial"/>
          <w:sz w:val="17"/>
          <w:szCs w:val="17"/>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w:t>
      </w:r>
    </w:p>
    <w:p>
      <w:pPr>
        <w:ind w:left="5906" w:right="3480" w:hanging="5906"/>
        <w:spacing w:after="0" w:line="511" w:lineRule="auto"/>
        <w:tabs>
          <w:tab w:leader="none" w:pos="266" w:val="left"/>
        </w:tabs>
        <w:numPr>
          <w:ilvl w:val="0"/>
          <w:numId w:val="40"/>
        </w:numPr>
        <w:rPr>
          <w:rFonts w:ascii="Arial" w:cs="Arial" w:eastAsia="Arial" w:hAnsi="Arial"/>
          <w:sz w:val="19"/>
          <w:szCs w:val="19"/>
          <w:color w:val="auto"/>
        </w:rPr>
      </w:pPr>
      <w:r>
        <w:rPr>
          <w:rFonts w:ascii="Arial" w:cs="Arial" w:eastAsia="Arial" w:hAnsi="Arial"/>
          <w:sz w:val="19"/>
          <w:szCs w:val="19"/>
          <w:color w:val="auto"/>
        </w:rPr>
        <w:t>a brief statement as to the nature and scope of the examination or investigation upon which the statements or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-84455</wp:posOffset>
            </wp:positionV>
            <wp:extent cx="7646670" cy="3111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6"/>
          </w:cols>
          <w:pgMar w:left="114" w:top="213" w:right="120" w:bottom="1440" w:gutter="0" w:footer="0" w:header="0"/>
        </w:sectPr>
      </w:pPr>
    </w:p>
    <w:bookmarkStart w:id="78" w:name="page79"/>
    <w:bookmarkEnd w:id="78"/>
    <w:p>
      <w:pPr>
        <w:ind w:right="60"/>
        <w:spacing w:after="0" w:line="263" w:lineRule="auto"/>
        <w:rPr>
          <w:sz w:val="20"/>
          <w:szCs w:val="20"/>
          <w:color w:val="auto"/>
        </w:rPr>
      </w:pPr>
      <w:r>
        <w:rPr>
          <w:rFonts w:ascii="Arial" w:cs="Arial" w:eastAsia="Arial" w:hAnsi="Arial"/>
          <w:sz w:val="19"/>
          <w:szCs w:val="19"/>
          <w:color w:val="auto"/>
        </w:rPr>
        <w:t>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94" w:lineRule="exact"/>
        <w:rPr>
          <w:sz w:val="20"/>
          <w:szCs w:val="20"/>
          <w:color w:val="auto"/>
        </w:rPr>
      </w:pPr>
    </w:p>
    <w:p>
      <w:pPr>
        <w:ind w:right="20" w:firstLine="1369"/>
        <w:spacing w:after="0" w:line="271" w:lineRule="auto"/>
        <w:rPr>
          <w:sz w:val="20"/>
          <w:szCs w:val="20"/>
          <w:color w:val="auto"/>
        </w:rPr>
      </w:pPr>
      <w:r>
        <w:rPr>
          <w:rFonts w:ascii="Arial" w:cs="Arial" w:eastAsia="Arial" w:hAnsi="Arial"/>
          <w:sz w:val="18"/>
          <w:szCs w:val="18"/>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or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89" w:lineRule="exact"/>
        <w:rPr>
          <w:sz w:val="20"/>
          <w:szCs w:val="20"/>
          <w:color w:val="auto"/>
        </w:rPr>
      </w:pPr>
    </w:p>
    <w:p>
      <w:pPr>
        <w:ind w:right="60" w:firstLine="1369"/>
        <w:spacing w:after="0" w:line="277" w:lineRule="auto"/>
        <w:rPr>
          <w:sz w:val="20"/>
          <w:szCs w:val="20"/>
          <w:color w:val="auto"/>
        </w:rPr>
      </w:pPr>
      <w:r>
        <w:rPr>
          <w:rFonts w:ascii="Arial" w:cs="Arial" w:eastAsia="Arial" w:hAnsi="Arial"/>
          <w:sz w:val="18"/>
          <w:szCs w:val="18"/>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85"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Any certificate or opinion of any independent firm of public accountants filed with the Trustee shall contain a statement that such firm is</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independent.</w:t>
      </w:r>
    </w:p>
    <w:p>
      <w:pPr>
        <w:spacing w:after="0" w:line="225" w:lineRule="exact"/>
        <w:rPr>
          <w:sz w:val="20"/>
          <w:szCs w:val="20"/>
          <w:color w:val="auto"/>
        </w:rPr>
      </w:pPr>
    </w:p>
    <w:p>
      <w:pPr>
        <w:ind w:firstLine="1369"/>
        <w:spacing w:after="0" w:line="259" w:lineRule="auto"/>
        <w:rPr>
          <w:sz w:val="20"/>
          <w:szCs w:val="20"/>
          <w:color w:val="auto"/>
        </w:rPr>
      </w:pPr>
      <w:r>
        <w:rPr>
          <w:rFonts w:ascii="Arial" w:cs="Arial" w:eastAsia="Arial" w:hAnsi="Arial"/>
          <w:sz w:val="19"/>
          <w:szCs w:val="19"/>
          <w:color w:val="auto"/>
        </w:rPr>
        <w:t xml:space="preserve">SECTION 10.07. </w:t>
      </w:r>
      <w:r>
        <w:rPr>
          <w:rFonts w:ascii="Arial" w:cs="Arial" w:eastAsia="Arial" w:hAnsi="Arial"/>
          <w:sz w:val="19"/>
          <w:szCs w:val="19"/>
          <w:u w:val="single" w:color="auto"/>
          <w:color w:val="auto"/>
        </w:rPr>
        <w:t>Payments Due on Saturdays, Sundays and Holidays.</w:t>
      </w:r>
      <w:r>
        <w:rPr>
          <w:rFonts w:ascii="Arial" w:cs="Arial" w:eastAsia="Arial" w:hAnsi="Arial"/>
          <w:sz w:val="19"/>
          <w:szCs w:val="19"/>
          <w:color w:val="auto"/>
        </w:rPr>
        <w:t xml:space="preserve">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98" w:lineRule="exact"/>
        <w:rPr>
          <w:sz w:val="20"/>
          <w:szCs w:val="20"/>
          <w:color w:val="auto"/>
        </w:rPr>
      </w:pPr>
    </w:p>
    <w:p>
      <w:pPr>
        <w:ind w:right="80" w:firstLine="1369"/>
        <w:spacing w:after="0" w:line="263" w:lineRule="auto"/>
        <w:rPr>
          <w:sz w:val="20"/>
          <w:szCs w:val="20"/>
          <w:color w:val="auto"/>
        </w:rPr>
      </w:pPr>
      <w:r>
        <w:rPr>
          <w:rFonts w:ascii="Arial" w:cs="Arial" w:eastAsia="Arial" w:hAnsi="Arial"/>
          <w:sz w:val="19"/>
          <w:szCs w:val="19"/>
          <w:color w:val="auto"/>
        </w:rPr>
        <w:t xml:space="preserve">SECTION 10.08. </w:t>
      </w:r>
      <w:r>
        <w:rPr>
          <w:rFonts w:ascii="Arial" w:cs="Arial" w:eastAsia="Arial" w:hAnsi="Arial"/>
          <w:sz w:val="19"/>
          <w:szCs w:val="19"/>
          <w:u w:val="single" w:color="auto"/>
          <w:color w:val="auto"/>
        </w:rPr>
        <w:t>Conflict of any Provision of Indenture with Trust Indenture Act of 1939.</w:t>
      </w:r>
      <w:r>
        <w:rPr>
          <w:rFonts w:ascii="Arial" w:cs="Arial" w:eastAsia="Arial" w:hAnsi="Arial"/>
          <w:sz w:val="19"/>
          <w:szCs w:val="19"/>
          <w:color w:val="auto"/>
        </w:rPr>
        <w:t xml:space="preserve"> If and to the extent that any provision of this Indenture limits, qualifies or conflicts with another provision included in this Indenture by operation of Sections 310 to 317, inclusive, of the Trust Indenture Act of 1939 (an â€œ</w:t>
      </w:r>
      <w:r>
        <w:rPr>
          <w:rFonts w:ascii="Arial" w:cs="Arial" w:eastAsia="Arial" w:hAnsi="Arial"/>
          <w:sz w:val="19"/>
          <w:szCs w:val="19"/>
          <w:u w:val="single" w:color="auto"/>
          <w:color w:val="auto"/>
        </w:rPr>
        <w:t>incorporated provision</w:t>
      </w:r>
      <w:r>
        <w:rPr>
          <w:rFonts w:ascii="Arial" w:cs="Arial" w:eastAsia="Arial" w:hAnsi="Arial"/>
          <w:sz w:val="19"/>
          <w:szCs w:val="19"/>
          <w:color w:val="auto"/>
        </w:rPr>
        <w:t>â€ ), such incorporated provision shall control.</w:t>
      </w:r>
    </w:p>
    <w:p>
      <w:pPr>
        <w:spacing w:after="0" w:line="194" w:lineRule="exact"/>
        <w:rPr>
          <w:sz w:val="20"/>
          <w:szCs w:val="20"/>
          <w:color w:val="auto"/>
        </w:rPr>
      </w:pPr>
    </w:p>
    <w:p>
      <w:pPr>
        <w:ind w:firstLine="1369"/>
        <w:spacing w:after="0" w:line="275" w:lineRule="auto"/>
        <w:rPr>
          <w:sz w:val="20"/>
          <w:szCs w:val="20"/>
          <w:color w:val="auto"/>
        </w:rPr>
      </w:pPr>
      <w:r>
        <w:rPr>
          <w:rFonts w:ascii="Arial" w:cs="Arial" w:eastAsia="Arial" w:hAnsi="Arial"/>
          <w:sz w:val="19"/>
          <w:szCs w:val="19"/>
          <w:color w:val="auto"/>
        </w:rPr>
        <w:t xml:space="preserve">SECTION 10.09. </w:t>
      </w:r>
      <w:r>
        <w:rPr>
          <w:rFonts w:ascii="Arial" w:cs="Arial" w:eastAsia="Arial" w:hAnsi="Arial"/>
          <w:sz w:val="19"/>
          <w:szCs w:val="19"/>
          <w:u w:val="single" w:color="auto"/>
          <w:color w:val="auto"/>
        </w:rPr>
        <w:t>New York Law to Govern.</w:t>
      </w:r>
      <w:r>
        <w:rPr>
          <w:rFonts w:ascii="Arial" w:cs="Arial" w:eastAsia="Arial" w:hAnsi="Arial"/>
          <w:sz w:val="19"/>
          <w:szCs w:val="19"/>
          <w:color w:val="auto"/>
        </w:rPr>
        <w:t xml:space="preserve"> This Indenture and each Security shall be governed by, and construed in accordance with, the laws of the State of New York, except as may otherwise be required by mandatory provisions of law.</w:t>
      </w:r>
    </w:p>
    <w:p>
      <w:pPr>
        <w:spacing w:after="0" w:line="184" w:lineRule="exact"/>
        <w:rPr>
          <w:sz w:val="20"/>
          <w:szCs w:val="20"/>
          <w:color w:val="auto"/>
        </w:rPr>
      </w:pPr>
    </w:p>
    <w:p>
      <w:pPr>
        <w:ind w:right="320" w:firstLine="1369"/>
        <w:spacing w:after="0" w:line="275" w:lineRule="auto"/>
        <w:rPr>
          <w:sz w:val="20"/>
          <w:szCs w:val="20"/>
          <w:color w:val="auto"/>
        </w:rPr>
      </w:pPr>
      <w:r>
        <w:rPr>
          <w:rFonts w:ascii="Arial" w:cs="Arial" w:eastAsia="Arial" w:hAnsi="Arial"/>
          <w:sz w:val="19"/>
          <w:szCs w:val="19"/>
          <w:color w:val="auto"/>
        </w:rPr>
        <w:t xml:space="preserve">SECTION 10.10. </w:t>
      </w:r>
      <w:r>
        <w:rPr>
          <w:rFonts w:ascii="Arial" w:cs="Arial" w:eastAsia="Arial" w:hAnsi="Arial"/>
          <w:sz w:val="19"/>
          <w:szCs w:val="19"/>
          <w:u w:val="single" w:color="auto"/>
          <w:color w:val="auto"/>
        </w:rPr>
        <w:t>Counterparts.</w:t>
      </w:r>
      <w:r>
        <w:rPr>
          <w:rFonts w:ascii="Arial" w:cs="Arial" w:eastAsia="Arial" w:hAnsi="Arial"/>
          <w:sz w:val="19"/>
          <w:szCs w:val="19"/>
          <w:color w:val="auto"/>
        </w:rPr>
        <w:t xml:space="preserve"> This Indenture may be executed in any number of counterparts, each of which shall be an original; but such counterparts shall together constitute but one and the same instrument.</w:t>
      </w:r>
    </w:p>
    <w:p>
      <w:pPr>
        <w:spacing w:after="0" w:line="184" w:lineRule="exact"/>
        <w:rPr>
          <w:sz w:val="20"/>
          <w:szCs w:val="20"/>
          <w:color w:val="auto"/>
        </w:rPr>
      </w:pPr>
    </w:p>
    <w:p>
      <w:pPr>
        <w:ind w:right="340" w:firstLine="1369"/>
        <w:spacing w:after="0" w:line="275" w:lineRule="auto"/>
        <w:rPr>
          <w:sz w:val="20"/>
          <w:szCs w:val="20"/>
          <w:color w:val="auto"/>
        </w:rPr>
      </w:pPr>
      <w:r>
        <w:rPr>
          <w:rFonts w:ascii="Arial" w:cs="Arial" w:eastAsia="Arial" w:hAnsi="Arial"/>
          <w:sz w:val="19"/>
          <w:szCs w:val="19"/>
          <w:color w:val="auto"/>
        </w:rPr>
        <w:t xml:space="preserve">SECTION 10.11. </w:t>
      </w:r>
      <w:r>
        <w:rPr>
          <w:rFonts w:ascii="Arial" w:cs="Arial" w:eastAsia="Arial" w:hAnsi="Arial"/>
          <w:sz w:val="19"/>
          <w:szCs w:val="19"/>
          <w:u w:val="single" w:color="auto"/>
          <w:color w:val="auto"/>
        </w:rPr>
        <w:t>Effect of Headings.</w:t>
      </w:r>
      <w:r>
        <w:rPr>
          <w:rFonts w:ascii="Arial" w:cs="Arial" w:eastAsia="Arial" w:hAnsi="Arial"/>
          <w:sz w:val="19"/>
          <w:szCs w:val="19"/>
          <w:color w:val="auto"/>
        </w:rPr>
        <w:t xml:space="preserve"> The Article and Section headings herein and the Table of Contents are for convenience only and shall not affect the construction hereof.</w:t>
      </w:r>
    </w:p>
    <w:p>
      <w:pPr>
        <w:spacing w:after="0" w:line="184" w:lineRule="exact"/>
        <w:rPr>
          <w:sz w:val="20"/>
          <w:szCs w:val="20"/>
          <w:color w:val="auto"/>
        </w:rPr>
      </w:pPr>
    </w:p>
    <w:p>
      <w:pPr>
        <w:ind w:firstLine="1369"/>
        <w:spacing w:after="0" w:line="298" w:lineRule="auto"/>
        <w:rPr>
          <w:sz w:val="20"/>
          <w:szCs w:val="20"/>
          <w:color w:val="auto"/>
        </w:rPr>
      </w:pPr>
      <w:r>
        <w:rPr>
          <w:rFonts w:ascii="Arial" w:cs="Arial" w:eastAsia="Arial" w:hAnsi="Arial"/>
          <w:sz w:val="17"/>
          <w:szCs w:val="17"/>
          <w:color w:val="auto"/>
        </w:rPr>
        <w:t xml:space="preserve">SECTION 10.12. </w:t>
      </w:r>
      <w:r>
        <w:rPr>
          <w:rFonts w:ascii="Arial" w:cs="Arial" w:eastAsia="Arial" w:hAnsi="Arial"/>
          <w:sz w:val="17"/>
          <w:szCs w:val="17"/>
          <w:u w:val="single" w:color="auto"/>
          <w:color w:val="auto"/>
        </w:rPr>
        <w:t>Securities in a Non-U.S. Currency.</w:t>
      </w:r>
      <w:r>
        <w:rPr>
          <w:rFonts w:ascii="Arial" w:cs="Arial" w:eastAsia="Arial" w:hAnsi="Arial"/>
          <w:sz w:val="17"/>
          <w:szCs w:val="17"/>
          <w:color w:val="auto"/>
        </w:rPr>
        <w:t xml:space="preserve"> Unless otherwise specified in an Officersâ€™ Certificate delivered pursuant to Section 2.03 of this Indenture with respect to a particular series of Securities, whenever for purposes of this Indenture any action may be taken by the Holders of a specified percentage in aggregate principal amount of Securities of all series or all series affected by a particular action at the time Outstanding and, at such time, there are Outstanding Securities of any series which are denominated in a coin or currency other than U.S. Dollars, then the principal amount of</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79" w:name="page80"/>
    <w:bookmarkEnd w:id="79"/>
    <w:p>
      <w:pPr>
        <w:ind w:right="20"/>
        <w:spacing w:after="0" w:line="270" w:lineRule="auto"/>
        <w:rPr>
          <w:sz w:val="20"/>
          <w:szCs w:val="20"/>
          <w:color w:val="auto"/>
        </w:rPr>
      </w:pPr>
      <w:r>
        <w:rPr>
          <w:rFonts w:ascii="Arial" w:cs="Arial" w:eastAsia="Arial" w:hAnsi="Arial"/>
          <w:sz w:val="18"/>
          <w:szCs w:val="18"/>
          <w:color w:val="auto"/>
        </w:rPr>
        <w:t>Securities of such series which shall be deemed to be Outstanding for the purpose of taking such action shall be that amount of U.S. Dollars that could be obtained for such amount at the Market Exchange Rate. For purposes of this Section 10.12, Market Exchange Rate shall mean the noon Dollar buying rate in New York City for cable transfers of that currency as published by the Federal Reserve Bank of New York. If such Market Exchange Rate is not available for any reason with respect to such currency, the Trustee shall use, in its sole discretion and without liability on its part, such quotation of the Federal Reserve Bank of New York as of the most recent available date, or quotations from one or more major banks in the City of New York or in the country of issue of the currency in question, or such other quotations as the Trustee shall deem appropriate. The provisions of this paragraph shall apply in determining the equivalent principal amount in respect of Securities of a series denominated in a currency other than U.S. Dollars in connection with any action taken by Holders of Securities pursuant to the terms of this Indenture.</w:t>
      </w:r>
    </w:p>
    <w:p>
      <w:pPr>
        <w:spacing w:after="0" w:line="191" w:lineRule="exact"/>
        <w:rPr>
          <w:sz w:val="20"/>
          <w:szCs w:val="20"/>
          <w:color w:val="auto"/>
        </w:rPr>
      </w:pPr>
    </w:p>
    <w:p>
      <w:pPr>
        <w:ind w:firstLine="1369"/>
        <w:spacing w:after="0" w:line="263" w:lineRule="auto"/>
        <w:rPr>
          <w:sz w:val="20"/>
          <w:szCs w:val="20"/>
          <w:color w:val="auto"/>
        </w:rPr>
      </w:pPr>
      <w:r>
        <w:rPr>
          <w:rFonts w:ascii="Arial" w:cs="Arial" w:eastAsia="Arial" w:hAnsi="Arial"/>
          <w:sz w:val="19"/>
          <w:szCs w:val="19"/>
          <w:color w:val="auto"/>
        </w:rPr>
        <w:t>All decisions and determinations of the Trustee regarding the Market Exchange Rate or any alternative determination provided for in the preceding paragraph shall be in its sole discretion and shall, in the absence of manifest error, be conclusive to the extent permitted by law for all purposes and irrevocably binding upon the Issuer and all Holders.</w:t>
      </w:r>
    </w:p>
    <w:p>
      <w:pPr>
        <w:spacing w:after="0" w:line="194" w:lineRule="exact"/>
        <w:rPr>
          <w:sz w:val="20"/>
          <w:szCs w:val="20"/>
          <w:color w:val="auto"/>
        </w:rPr>
      </w:pPr>
    </w:p>
    <w:p>
      <w:pPr>
        <w:ind w:right="60" w:firstLine="1369"/>
        <w:spacing w:after="0" w:line="269" w:lineRule="auto"/>
        <w:rPr>
          <w:sz w:val="20"/>
          <w:szCs w:val="20"/>
          <w:color w:val="auto"/>
        </w:rPr>
      </w:pPr>
      <w:r>
        <w:rPr>
          <w:rFonts w:ascii="Arial" w:cs="Arial" w:eastAsia="Arial" w:hAnsi="Arial"/>
          <w:sz w:val="18"/>
          <w:szCs w:val="18"/>
          <w:color w:val="auto"/>
        </w:rPr>
        <w:t xml:space="preserve">SECTION 10.13. </w:t>
      </w: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xml:space="preserve"> The Issuer agrees that any legal suit, action or proceeding arising out of or based upon this Indenture may be instituted in any federal or state court sitting in New York City, and, to the fullest extent permitted by law, waives any objection which it may now or hereafter have to the laying of venue of any such proceeding, and irrevocably submits to the jurisdiction of such court in any suit, action or proceeding. The Issuer, as long as any of the Securities remain Outstanding or the parties hereto have any obligation under this Indenture, shall have an authorized agent (the â€œ</w:t>
      </w:r>
      <w:r>
        <w:rPr>
          <w:rFonts w:ascii="Arial" w:cs="Arial" w:eastAsia="Arial" w:hAnsi="Arial"/>
          <w:sz w:val="18"/>
          <w:szCs w:val="18"/>
          <w:u w:val="single" w:color="auto"/>
          <w:color w:val="auto"/>
        </w:rPr>
        <w:t>Authorized Agent</w:t>
      </w:r>
      <w:r>
        <w:rPr>
          <w:rFonts w:ascii="Arial" w:cs="Arial" w:eastAsia="Arial" w:hAnsi="Arial"/>
          <w:sz w:val="18"/>
          <w:szCs w:val="18"/>
          <w:color w:val="auto"/>
        </w:rPr>
        <w:t>â€ ) in the United States upon whom process may be served in any such legal action or proceeding. Service of process upon such agent and written notice of such service mailed or delivered to it shall to the extent permitted by law be deemed in every respect effective service of process upon it in any such legal action or proceeding and, if it fails to maintain such agent, any such process or summons may be served by mailing a copy thereof by registered mail, or a form of mail substantially equivalent thereto, addressed to it at its address as provided for notices hereunder. The Issuer hereby appoints [ ] as its agent for such purposes, and covenants and agrees that service of process in any legal action or proceeding may be made upon it at such office of such agent.</w:t>
      </w:r>
    </w:p>
    <w:p>
      <w:pPr>
        <w:spacing w:after="0" w:line="190" w:lineRule="exact"/>
        <w:rPr>
          <w:sz w:val="20"/>
          <w:szCs w:val="20"/>
          <w:color w:val="auto"/>
        </w:rPr>
      </w:pPr>
    </w:p>
    <w:p>
      <w:pPr>
        <w:ind w:right="20" w:firstLine="1369"/>
        <w:spacing w:after="0" w:line="284" w:lineRule="auto"/>
        <w:rPr>
          <w:sz w:val="20"/>
          <w:szCs w:val="20"/>
          <w:color w:val="auto"/>
        </w:rPr>
      </w:pPr>
      <w:r>
        <w:rPr>
          <w:rFonts w:ascii="Arial" w:cs="Arial" w:eastAsia="Arial" w:hAnsi="Arial"/>
          <w:sz w:val="17"/>
          <w:szCs w:val="17"/>
          <w:color w:val="auto"/>
        </w:rPr>
        <w:t xml:space="preserve">SECTION 10.14. </w:t>
      </w:r>
      <w:r>
        <w:rPr>
          <w:rFonts w:ascii="Arial" w:cs="Arial" w:eastAsia="Arial" w:hAnsi="Arial"/>
          <w:sz w:val="17"/>
          <w:szCs w:val="17"/>
          <w:u w:val="single" w:color="auto"/>
          <w:color w:val="auto"/>
        </w:rPr>
        <w:t>Judgment Currency.</w:t>
      </w:r>
      <w:r>
        <w:rPr>
          <w:rFonts w:ascii="Arial" w:cs="Arial" w:eastAsia="Arial" w:hAnsi="Arial"/>
          <w:sz w:val="17"/>
          <w:szCs w:val="17"/>
          <w:color w:val="auto"/>
        </w:rPr>
        <w:t xml:space="preserve"> The Issuer agrees, to the fullest extent that it may effectively do so under applicable law, that (a) if for the purpose of obtaining judgment in any court it is necessary to convert the sum due in respect of the principal of or interest on the Securities of any series (the â€œ</w:t>
      </w:r>
      <w:r>
        <w:rPr>
          <w:rFonts w:ascii="Arial" w:cs="Arial" w:eastAsia="Arial" w:hAnsi="Arial"/>
          <w:sz w:val="17"/>
          <w:szCs w:val="17"/>
          <w:u w:val="single" w:color="auto"/>
          <w:color w:val="auto"/>
        </w:rPr>
        <w:t>Required Currency</w:t>
      </w:r>
      <w:r>
        <w:rPr>
          <w:rFonts w:ascii="Arial" w:cs="Arial" w:eastAsia="Arial" w:hAnsi="Arial"/>
          <w:sz w:val="17"/>
          <w:szCs w:val="17"/>
          <w:color w:val="auto"/>
        </w:rPr>
        <w:t>â€ ) into a currency in which a judgment will be rendered (the â€œ</w:t>
      </w:r>
      <w:r>
        <w:rPr>
          <w:rFonts w:ascii="Arial" w:cs="Arial" w:eastAsia="Arial" w:hAnsi="Arial"/>
          <w:sz w:val="17"/>
          <w:szCs w:val="17"/>
          <w:u w:val="single" w:color="auto"/>
          <w:color w:val="auto"/>
        </w:rPr>
        <w:t>Judgment Currency</w:t>
      </w:r>
      <w:r>
        <w:rPr>
          <w:rFonts w:ascii="Arial" w:cs="Arial" w:eastAsia="Arial" w:hAnsi="Arial"/>
          <w:sz w:val="17"/>
          <w:szCs w:val="17"/>
          <w:color w:val="auto"/>
        </w:rPr>
        <w:t>â€ ), the rate of exchange used shall be the rate at which in accordance with normal banking procedures the Trustee could purchase in the City of New York the Required Currency with the Judgment Currency on the day on which final unappealable judgment is entered, unless such day is not a New York Banking Day, then, to the extent permitted by applicable law, the rate of exchange used shall be the rate at which in accordance with normal banking procedures the Trustee could purchase in the City of New York the Required Currency with the Judgment Currency on the New York Banking Day preceding the day on which final unappealable judgment is entered and (b) its obligations under this Indenture to make payments in the Required Currency (i) shall not be discharged or satisfied by any tender, or any recovery pursuant to any judgment (whether or not entered in accordance with subsection (a)), in any currency other than the Required Currency, except to the extent that such tender or recovery shall result in the actual receipt, by the payee, of the full amount of the Required Currency expressed to be payable in respect of such payments, (ii) shall be enforceable as an alternative or additional cause of action for the purpose of recovering in the Required Currency the amount, if any, by which such actual receipt shall fall short of the full amount of the Required Currency so expressed to be payable and (iii) shall not be affected by judgment being obtained for any other sum due under this Indenture. For purposes of the foregoing, â€œ</w:t>
      </w:r>
      <w:r>
        <w:rPr>
          <w:rFonts w:ascii="Arial" w:cs="Arial" w:eastAsia="Arial" w:hAnsi="Arial"/>
          <w:sz w:val="17"/>
          <w:szCs w:val="17"/>
          <w:u w:val="single" w:color="auto"/>
          <w:color w:val="auto"/>
        </w:rPr>
        <w:t>New York</w:t>
      </w:r>
      <w:r>
        <w:rPr>
          <w:rFonts w:ascii="Arial" w:cs="Arial" w:eastAsia="Arial" w:hAnsi="Arial"/>
          <w:sz w:val="17"/>
          <w:szCs w:val="17"/>
          <w:color w:val="auto"/>
        </w:rPr>
        <w:t xml:space="preserve"> </w:t>
      </w:r>
      <w:r>
        <w:rPr>
          <w:rFonts w:ascii="Arial" w:cs="Arial" w:eastAsia="Arial" w:hAnsi="Arial"/>
          <w:sz w:val="17"/>
          <w:szCs w:val="17"/>
          <w:u w:val="single" w:color="auto"/>
          <w:color w:val="auto"/>
        </w:rPr>
        <w:t>Banking Day</w:t>
      </w:r>
      <w:r>
        <w:rPr>
          <w:rFonts w:ascii="Arial" w:cs="Arial" w:eastAsia="Arial" w:hAnsi="Arial"/>
          <w:sz w:val="17"/>
          <w:szCs w:val="17"/>
          <w:color w:val="auto"/>
        </w:rPr>
        <w:t>â€ means any day except a Saturday, Sunday or a legal holiday in the City of New York or a day on which banking institutions in the City of New York are authorized or required by law or executive order to close.</w:t>
      </w:r>
    </w:p>
    <w:p>
      <w:pPr>
        <w:spacing w:after="0" w:line="181" w:lineRule="exact"/>
        <w:rPr>
          <w:sz w:val="20"/>
          <w:szCs w:val="20"/>
          <w:color w:val="auto"/>
        </w:rPr>
      </w:pPr>
    </w:p>
    <w:p>
      <w:pPr>
        <w:ind w:right="120" w:firstLine="1369"/>
        <w:spacing w:after="0" w:line="275" w:lineRule="auto"/>
        <w:rPr>
          <w:sz w:val="20"/>
          <w:szCs w:val="20"/>
          <w:color w:val="auto"/>
        </w:rPr>
      </w:pPr>
      <w:r>
        <w:rPr>
          <w:rFonts w:ascii="Arial" w:cs="Arial" w:eastAsia="Arial" w:hAnsi="Arial"/>
          <w:sz w:val="19"/>
          <w:szCs w:val="19"/>
          <w:color w:val="auto"/>
        </w:rPr>
        <w:t xml:space="preserve">SECTION 10.15. </w:t>
      </w:r>
      <w:r>
        <w:rPr>
          <w:rFonts w:ascii="Arial" w:cs="Arial" w:eastAsia="Arial" w:hAnsi="Arial"/>
          <w:sz w:val="19"/>
          <w:szCs w:val="19"/>
          <w:u w:val="single" w:color="auto"/>
          <w:color w:val="auto"/>
        </w:rPr>
        <w:t>Waiver of Jury Trial.</w:t>
      </w:r>
      <w:r>
        <w:rPr>
          <w:rFonts w:ascii="Arial" w:cs="Arial" w:eastAsia="Arial" w:hAnsi="Arial"/>
          <w:sz w:val="19"/>
          <w:szCs w:val="19"/>
          <w:color w:val="auto"/>
        </w:rPr>
        <w:t xml:space="preserve"> EACH OF THE ISSUER AND THE TRUSTEE HEREBY IRREVOCABLY WAIVES, TO THE FULLEST EXTENT PERMITTED BY APPLICABLE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0"/>
          </w:cols>
          <w:pgMar w:left="120" w:top="213" w:right="140" w:bottom="1440" w:gutter="0" w:footer="0" w:header="0"/>
        </w:sectPr>
      </w:pPr>
    </w:p>
    <w:bookmarkStart w:id="80" w:name="page81"/>
    <w:bookmarkEnd w:id="80"/>
    <w:p>
      <w:pPr>
        <w:ind w:right="40"/>
        <w:spacing w:after="0" w:line="275" w:lineRule="auto"/>
        <w:rPr>
          <w:sz w:val="20"/>
          <w:szCs w:val="20"/>
          <w:color w:val="auto"/>
        </w:rPr>
      </w:pPr>
      <w:r>
        <w:rPr>
          <w:rFonts w:ascii="Arial" w:cs="Arial" w:eastAsia="Arial" w:hAnsi="Arial"/>
          <w:sz w:val="19"/>
          <w:szCs w:val="19"/>
          <w:color w:val="auto"/>
        </w:rPr>
        <w:t>LAW, ANY AND ALL RIGHT TO TRIAL BY JURY IN ANY LEGAL PROCEEDING ARISING OUT OF OR RELATING TO THIS INDENTURE, THE SECURITIES OR THE TRANSACTION CONTEMPLATED HEREBY.</w:t>
      </w:r>
    </w:p>
    <w:p>
      <w:pPr>
        <w:spacing w:after="0" w:line="184" w:lineRule="exact"/>
        <w:rPr>
          <w:sz w:val="20"/>
          <w:szCs w:val="20"/>
          <w:color w:val="auto"/>
        </w:rPr>
      </w:pPr>
    </w:p>
    <w:p>
      <w:pPr>
        <w:ind w:right="60" w:firstLine="1369"/>
        <w:spacing w:after="0" w:line="274" w:lineRule="auto"/>
        <w:rPr>
          <w:sz w:val="20"/>
          <w:szCs w:val="20"/>
          <w:color w:val="auto"/>
        </w:rPr>
      </w:pPr>
      <w:r>
        <w:rPr>
          <w:rFonts w:ascii="Arial" w:cs="Arial" w:eastAsia="Arial" w:hAnsi="Arial"/>
          <w:sz w:val="18"/>
          <w:szCs w:val="18"/>
          <w:color w:val="auto"/>
        </w:rPr>
        <w:t xml:space="preserve">SECTION 10.16. </w:t>
      </w:r>
      <w:r>
        <w:rPr>
          <w:rFonts w:ascii="Arial" w:cs="Arial" w:eastAsia="Arial" w:hAnsi="Arial"/>
          <w:sz w:val="18"/>
          <w:szCs w:val="18"/>
          <w:u w:val="single" w:color="auto"/>
          <w:color w:val="auto"/>
        </w:rPr>
        <w:t>Force Majeure.</w:t>
      </w:r>
      <w:r>
        <w:rPr>
          <w:rFonts w:ascii="Arial" w:cs="Arial" w:eastAsia="Arial" w:hAnsi="Arial"/>
          <w:sz w:val="18"/>
          <w:szCs w:val="18"/>
          <w:color w:val="auto"/>
        </w:rPr>
        <w:t xml:space="preserve">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ARTICLE 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Redemption of Securities</w:t>
      </w:r>
    </w:p>
    <w:p>
      <w:pPr>
        <w:spacing w:after="0" w:line="238" w:lineRule="exact"/>
        <w:rPr>
          <w:sz w:val="20"/>
          <w:szCs w:val="20"/>
          <w:color w:val="auto"/>
        </w:rPr>
      </w:pPr>
    </w:p>
    <w:p>
      <w:pPr>
        <w:ind w:right="480" w:firstLine="1369"/>
        <w:spacing w:after="0" w:line="275" w:lineRule="auto"/>
        <w:rPr>
          <w:sz w:val="20"/>
          <w:szCs w:val="20"/>
          <w:color w:val="auto"/>
        </w:rPr>
      </w:pPr>
      <w:r>
        <w:rPr>
          <w:rFonts w:ascii="Arial" w:cs="Arial" w:eastAsia="Arial" w:hAnsi="Arial"/>
          <w:sz w:val="19"/>
          <w:szCs w:val="19"/>
          <w:color w:val="auto"/>
        </w:rPr>
        <w:t xml:space="preserve">SECTION 11.01. </w:t>
      </w:r>
      <w:r>
        <w:rPr>
          <w:rFonts w:ascii="Arial" w:cs="Arial" w:eastAsia="Arial" w:hAnsi="Arial"/>
          <w:sz w:val="19"/>
          <w:szCs w:val="19"/>
          <w:u w:val="single" w:color="auto"/>
          <w:color w:val="auto"/>
        </w:rPr>
        <w:t>Applicability Of Article.</w:t>
      </w:r>
      <w:r>
        <w:rPr>
          <w:rFonts w:ascii="Arial" w:cs="Arial" w:eastAsia="Arial" w:hAnsi="Arial"/>
          <w:sz w:val="19"/>
          <w:szCs w:val="19"/>
          <w:color w:val="auto"/>
        </w:rPr>
        <w:t xml:space="preserve"> The provisions of this Article shall be applicable to the Securities of any series which are redeemable before their maturity except as otherwise specified as contemplated by Section 2.03 for Securities of such series.</w:t>
      </w:r>
    </w:p>
    <w:p>
      <w:pPr>
        <w:spacing w:after="0" w:line="184" w:lineRule="exact"/>
        <w:rPr>
          <w:sz w:val="20"/>
          <w:szCs w:val="20"/>
          <w:color w:val="auto"/>
        </w:rPr>
      </w:pPr>
    </w:p>
    <w:p>
      <w:pPr>
        <w:ind w:firstLine="1369"/>
        <w:spacing w:after="0" w:line="272" w:lineRule="auto"/>
        <w:rPr>
          <w:sz w:val="20"/>
          <w:szCs w:val="20"/>
          <w:color w:val="auto"/>
        </w:rPr>
      </w:pPr>
      <w:r>
        <w:rPr>
          <w:rFonts w:ascii="Arial" w:cs="Arial" w:eastAsia="Arial" w:hAnsi="Arial"/>
          <w:sz w:val="18"/>
          <w:szCs w:val="18"/>
          <w:color w:val="auto"/>
        </w:rPr>
        <w:t xml:space="preserve">SECTION 11.02. </w:t>
      </w:r>
      <w:r>
        <w:rPr>
          <w:rFonts w:ascii="Arial" w:cs="Arial" w:eastAsia="Arial" w:hAnsi="Arial"/>
          <w:sz w:val="18"/>
          <w:szCs w:val="18"/>
          <w:u w:val="single" w:color="auto"/>
          <w:color w:val="auto"/>
        </w:rPr>
        <w:t>Notice Of Redemption; Partial Redemptions.</w:t>
      </w:r>
      <w:r>
        <w:rPr>
          <w:rFonts w:ascii="Arial" w:cs="Arial" w:eastAsia="Arial" w:hAnsi="Arial"/>
          <w:sz w:val="18"/>
          <w:szCs w:val="18"/>
          <w:color w:val="auto"/>
        </w:rPr>
        <w:t xml:space="preserve">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90" w:lineRule="exact"/>
        <w:rPr>
          <w:sz w:val="20"/>
          <w:szCs w:val="20"/>
          <w:color w:val="auto"/>
        </w:rPr>
      </w:pPr>
    </w:p>
    <w:p>
      <w:pPr>
        <w:ind w:right="60" w:firstLine="1369"/>
        <w:spacing w:after="0" w:line="271" w:lineRule="auto"/>
        <w:rPr>
          <w:sz w:val="20"/>
          <w:szCs w:val="20"/>
          <w:color w:val="auto"/>
        </w:rPr>
      </w:pPr>
      <w:r>
        <w:rPr>
          <w:rFonts w:ascii="Arial" w:cs="Arial" w:eastAsia="Arial" w:hAnsi="Arial"/>
          <w:sz w:val="18"/>
          <w:szCs w:val="18"/>
          <w:color w:val="auto"/>
        </w:rPr>
        <w:t>The notice of redemption to each such Holder shall specify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and shall state that on and after the date fixed for redemption, upon surrender of such Security, a new Security or Securities of such series in principal amount equal to the unredeemed portion thereof will be issued.</w:t>
      </w:r>
    </w:p>
    <w:p>
      <w:pPr>
        <w:spacing w:after="0" w:line="189" w:lineRule="exact"/>
        <w:rPr>
          <w:sz w:val="20"/>
          <w:szCs w:val="20"/>
          <w:color w:val="auto"/>
        </w:rPr>
      </w:pPr>
    </w:p>
    <w:p>
      <w:pPr>
        <w:ind w:right="80" w:firstLine="1369"/>
        <w:spacing w:after="0" w:line="308" w:lineRule="auto"/>
        <w:rPr>
          <w:sz w:val="20"/>
          <w:szCs w:val="20"/>
          <w:color w:val="auto"/>
        </w:rPr>
      </w:pPr>
      <w:r>
        <w:rPr>
          <w:rFonts w:ascii="Arial" w:cs="Arial" w:eastAsia="Arial" w:hAnsi="Arial"/>
          <w:sz w:val="17"/>
          <w:szCs w:val="17"/>
          <w:color w:val="auto"/>
        </w:rPr>
        <w:t xml:space="preserve">The notice of redemption of Securities of any series to be redeemed at the option of the Issuer shall be given by the Issuer or, at the Issuerâ€™s request, by the Trustee in the name and at the expense of the Issuer;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in the latter case the Issuer shall give the Trustee at least ten (10) days advance notice of the date upon which the notice is to be given (unless a shorter notice period shall be agreed to by the Trustee in writing).</w:t>
      </w:r>
    </w:p>
    <w:p>
      <w:pPr>
        <w:spacing w:after="0" w:line="160" w:lineRule="exact"/>
        <w:rPr>
          <w:sz w:val="20"/>
          <w:szCs w:val="20"/>
          <w:color w:val="auto"/>
        </w:rPr>
      </w:pPr>
    </w:p>
    <w:p>
      <w:pPr>
        <w:ind w:right="200" w:firstLine="1369"/>
        <w:spacing w:after="0" w:line="263" w:lineRule="auto"/>
        <w:rPr>
          <w:sz w:val="20"/>
          <w:szCs w:val="20"/>
          <w:color w:val="auto"/>
        </w:rPr>
      </w:pPr>
      <w:r>
        <w:rPr>
          <w:rFonts w:ascii="Arial" w:cs="Arial" w:eastAsia="Arial" w:hAnsi="Arial"/>
          <w:sz w:val="19"/>
          <w:szCs w:val="19"/>
          <w:color w:val="auto"/>
        </w:rPr>
        <w:t>A notice of redemption may be conditioned and provide that it is subject to the occurrence of any event described in the notice before the date fixed for the redemption. A notice of conditional redemption will be of no effect unless all conditions to the redemption have occurred before the redemption date or have been waived by the Issuer.</w:t>
      </w:r>
    </w:p>
    <w:p>
      <w:pPr>
        <w:spacing w:after="0" w:line="194" w:lineRule="exact"/>
        <w:rPr>
          <w:sz w:val="20"/>
          <w:szCs w:val="20"/>
          <w:color w:val="auto"/>
        </w:rPr>
      </w:pPr>
    </w:p>
    <w:p>
      <w:pPr>
        <w:ind w:right="300" w:firstLine="1369"/>
        <w:spacing w:after="0" w:line="275" w:lineRule="auto"/>
        <w:rPr>
          <w:sz w:val="20"/>
          <w:szCs w:val="20"/>
          <w:color w:val="auto"/>
        </w:rPr>
      </w:pPr>
      <w:r>
        <w:rPr>
          <w:rFonts w:ascii="Arial" w:cs="Arial" w:eastAsia="Arial" w:hAnsi="Arial"/>
          <w:sz w:val="19"/>
          <w:szCs w:val="19"/>
          <w:color w:val="auto"/>
        </w:rPr>
        <w:t>On or before the redemption date specified in the notice of redemption given as provided in this Section, the Issuer will deposit with the Trustee or with one or more paying agents (or, if the Issuer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81" w:name="page82"/>
    <w:bookmarkEnd w:id="81"/>
    <w:p>
      <w:pPr>
        <w:ind w:right="100"/>
        <w:spacing w:after="0" w:line="277" w:lineRule="auto"/>
        <w:rPr>
          <w:sz w:val="20"/>
          <w:szCs w:val="20"/>
          <w:color w:val="auto"/>
        </w:rPr>
      </w:pPr>
      <w:r>
        <w:rPr>
          <w:rFonts w:ascii="Arial" w:cs="Arial" w:eastAsia="Arial" w:hAnsi="Arial"/>
          <w:sz w:val="18"/>
          <w:szCs w:val="18"/>
          <w:color w:val="auto"/>
        </w:rPr>
        <w:t>is acting as its own paying agent, set aside, segregate and hold in trust as provided in Section 3.04) an amount of money or other property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prior to the date fixed for redemption an Officersâ€™ Certificate stating the aggregate principal amount of Securities to be redeemed.</w:t>
      </w:r>
    </w:p>
    <w:p>
      <w:pPr>
        <w:spacing w:after="0" w:line="185" w:lineRule="exact"/>
        <w:rPr>
          <w:sz w:val="20"/>
          <w:szCs w:val="20"/>
          <w:color w:val="auto"/>
        </w:rPr>
      </w:pPr>
    </w:p>
    <w:p>
      <w:pPr>
        <w:ind w:right="120" w:firstLine="1369"/>
        <w:spacing w:after="0" w:line="291" w:lineRule="auto"/>
        <w:rPr>
          <w:sz w:val="20"/>
          <w:szCs w:val="20"/>
          <w:color w:val="auto"/>
        </w:rPr>
      </w:pPr>
      <w:r>
        <w:rPr>
          <w:rFonts w:ascii="Arial" w:cs="Arial" w:eastAsia="Arial" w:hAnsi="Arial"/>
          <w:sz w:val="17"/>
          <w:szCs w:val="17"/>
          <w:color w:val="auto"/>
        </w:rPr>
        <w:t>If less than all the Securities of a series are to be redeemed, the Trustee shall select, in such manner as it shall deem appropriate and fair, Securities of such series to be redeemed in whole or in part. Securities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75" w:lineRule="exact"/>
        <w:rPr>
          <w:sz w:val="20"/>
          <w:szCs w:val="20"/>
          <w:color w:val="auto"/>
        </w:rPr>
      </w:pPr>
    </w:p>
    <w:p>
      <w:pPr>
        <w:ind w:right="20" w:firstLine="1369"/>
        <w:spacing w:after="0" w:line="268" w:lineRule="auto"/>
        <w:rPr>
          <w:sz w:val="20"/>
          <w:szCs w:val="20"/>
          <w:color w:val="auto"/>
        </w:rPr>
      </w:pPr>
      <w:r>
        <w:rPr>
          <w:rFonts w:ascii="Arial" w:cs="Arial" w:eastAsia="Arial" w:hAnsi="Arial"/>
          <w:sz w:val="18"/>
          <w:szCs w:val="18"/>
          <w:color w:val="auto"/>
        </w:rPr>
        <w:t xml:space="preserve">SECTION 11.03. </w:t>
      </w:r>
      <w:r>
        <w:rPr>
          <w:rFonts w:ascii="Arial" w:cs="Arial" w:eastAsia="Arial" w:hAnsi="Arial"/>
          <w:sz w:val="18"/>
          <w:szCs w:val="18"/>
          <w:u w:val="single" w:color="auto"/>
          <w:color w:val="auto"/>
        </w:rPr>
        <w:t>Payment of Securities Called for Redemption.</w:t>
      </w:r>
      <w:r>
        <w:rPr>
          <w:rFonts w:ascii="Arial" w:cs="Arial" w:eastAsia="Arial" w:hAnsi="Arial"/>
          <w:sz w:val="18"/>
          <w:szCs w:val="18"/>
          <w:color w:val="auto"/>
        </w:rPr>
        <w:t xml:space="preserve">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semiannual payment of interest becoming due on the date fixed for redemption shall be payable to the Holders of such Securities registered as such on the relevant record date subject to the terms and provisions of Sections 2.03 and 2.04 hereof.</w:t>
      </w:r>
    </w:p>
    <w:p>
      <w:pPr>
        <w:spacing w:after="0" w:line="196" w:lineRule="exact"/>
        <w:rPr>
          <w:sz w:val="20"/>
          <w:szCs w:val="20"/>
          <w:color w:val="auto"/>
        </w:rPr>
      </w:pPr>
    </w:p>
    <w:p>
      <w:pPr>
        <w:ind w:right="240" w:firstLine="1369"/>
        <w:spacing w:after="0" w:line="263" w:lineRule="auto"/>
        <w:rPr>
          <w:sz w:val="20"/>
          <w:szCs w:val="20"/>
          <w:color w:val="auto"/>
        </w:rPr>
      </w:pPr>
      <w:r>
        <w:rPr>
          <w:rFonts w:ascii="Arial" w:cs="Arial" w:eastAsia="Arial" w:hAnsi="Arial"/>
          <w:sz w:val="19"/>
          <w:szCs w:val="19"/>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such Security.</w:t>
      </w:r>
    </w:p>
    <w:p>
      <w:pPr>
        <w:spacing w:after="0" w:line="194" w:lineRule="exact"/>
        <w:rPr>
          <w:sz w:val="20"/>
          <w:szCs w:val="20"/>
          <w:color w:val="auto"/>
        </w:rPr>
      </w:pPr>
    </w:p>
    <w:p>
      <w:pPr>
        <w:ind w:right="60" w:firstLine="1369"/>
        <w:spacing w:after="0" w:line="263" w:lineRule="auto"/>
        <w:rPr>
          <w:sz w:val="20"/>
          <w:szCs w:val="20"/>
          <w:color w:val="auto"/>
        </w:rPr>
      </w:pPr>
      <w:r>
        <w:rPr>
          <w:rFonts w:ascii="Arial" w:cs="Arial" w:eastAsia="Arial" w:hAnsi="Arial"/>
          <w:sz w:val="19"/>
          <w:szCs w:val="19"/>
          <w:color w:val="auto"/>
        </w:rPr>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w:t>
      </w:r>
    </w:p>
    <w:p>
      <w:pPr>
        <w:spacing w:after="0" w:line="194" w:lineRule="exact"/>
        <w:rPr>
          <w:sz w:val="20"/>
          <w:szCs w:val="20"/>
          <w:color w:val="auto"/>
        </w:rPr>
      </w:pPr>
    </w:p>
    <w:p>
      <w:pPr>
        <w:ind w:firstLine="1369"/>
        <w:spacing w:after="0" w:line="256" w:lineRule="auto"/>
        <w:rPr>
          <w:sz w:val="20"/>
          <w:szCs w:val="20"/>
          <w:color w:val="auto"/>
        </w:rPr>
      </w:pPr>
      <w:r>
        <w:rPr>
          <w:rFonts w:ascii="Arial" w:cs="Arial" w:eastAsia="Arial" w:hAnsi="Arial"/>
          <w:sz w:val="19"/>
          <w:szCs w:val="19"/>
          <w:color w:val="auto"/>
        </w:rPr>
        <w:t xml:space="preserve">SECTION 11.04. </w:t>
      </w:r>
      <w:r>
        <w:rPr>
          <w:rFonts w:ascii="Arial" w:cs="Arial" w:eastAsia="Arial" w:hAnsi="Arial"/>
          <w:sz w:val="19"/>
          <w:szCs w:val="19"/>
          <w:u w:val="single" w:color="auto"/>
          <w:color w:val="auto"/>
        </w:rPr>
        <w:t>Exclusion of Certain Securities from Eligibility for Selection for Redemption.</w:t>
      </w:r>
      <w:r>
        <w:rPr>
          <w:rFonts w:ascii="Arial" w:cs="Arial" w:eastAsia="Arial" w:hAnsi="Arial"/>
          <w:sz w:val="19"/>
          <w:szCs w:val="19"/>
          <w:color w:val="auto"/>
        </w:rPr>
        <w:t xml:space="preserve">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as directly or indirectly controlling or controlled by or under direct or indirect common control with the Issuer.</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[Signature Page Follows]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646670" cy="3111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82" w:name="page83"/>
    <w:bookmarkEnd w:id="82"/>
    <w:p>
      <w:pPr>
        <w:ind w:left="40"/>
        <w:spacing w:after="0"/>
        <w:tabs>
          <w:tab w:leader="none" w:pos="8080" w:val="left"/>
          <w:tab w:leader="none" w:pos="8560" w:val="left"/>
        </w:tabs>
        <w:rPr>
          <w:sz w:val="20"/>
          <w:szCs w:val="20"/>
          <w:color w:val="auto"/>
        </w:rPr>
      </w:pPr>
      <w:r>
        <w:rPr>
          <w:rFonts w:ascii="Arial" w:cs="Arial" w:eastAsia="Arial" w:hAnsi="Arial"/>
          <w:sz w:val="18"/>
          <w:szCs w:val="18"/>
          <w:color w:val="auto"/>
        </w:rPr>
        <w:t>IN WITNESS WHEREOF, the parties hereto have caused this Indenture to be duly executed as of</w:t>
      </w:r>
      <w:r>
        <w:rPr>
          <w:sz w:val="20"/>
          <w:szCs w:val="20"/>
          <w:color w:val="auto"/>
        </w:rPr>
        <w:tab/>
      </w:r>
      <w:r>
        <w:rPr>
          <w:rFonts w:ascii="Arial" w:cs="Arial" w:eastAsia="Arial" w:hAnsi="Arial"/>
          <w:sz w:val="19"/>
          <w:szCs w:val="19"/>
          <w:color w:val="auto"/>
        </w:rPr>
        <w:t>,</w:t>
      </w:r>
      <w:r>
        <w:rPr>
          <w:sz w:val="20"/>
          <w:szCs w:val="20"/>
          <w:color w:val="auto"/>
        </w:rPr>
        <w:tab/>
      </w:r>
      <w:r>
        <w:rPr>
          <w:rFonts w:ascii="Arial" w:cs="Arial" w:eastAsia="Arial" w:hAnsi="Arial"/>
          <w:sz w:val="14"/>
          <w:szCs w:val="14"/>
          <w:color w:val="auto"/>
        </w:rPr>
        <w:t>.</w:t>
      </w:r>
    </w:p>
    <w:p>
      <w:pPr>
        <w:spacing w:after="0" w:line="238"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GASLOG LTD.</w:t>
      </w:r>
    </w:p>
    <w:p>
      <w:pPr>
        <w:spacing w:after="0" w:line="238"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15240</wp:posOffset>
            </wp:positionV>
            <wp:extent cx="33147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5">
                      <a:extLst>
                        <a:ext uri="{28A0092B-C50C-407E-A947-70E740481C1C}"/>
                      </a:extLst>
                    </a:blip>
                    <a:srcRect/>
                    <a:stretch>
                      <a:fillRect/>
                    </a:stretch>
                  </pic:blipFill>
                  <pic:spPr bwMode="auto">
                    <a:xfrm>
                      <a:off x="0" y="0"/>
                      <a:ext cx="3314700" cy="8890"/>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Name: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53" w:lineRule="exact"/>
        <w:rPr>
          <w:sz w:val="20"/>
          <w:szCs w:val="20"/>
          <w:color w:val="auto"/>
        </w:rPr>
      </w:pPr>
    </w:p>
    <w:p>
      <w:pPr>
        <w:ind w:left="4700"/>
        <w:spacing w:after="0"/>
        <w:tabs>
          <w:tab w:leader="none" w:pos="5600" w:val="left"/>
        </w:tabs>
        <w:rPr>
          <w:sz w:val="20"/>
          <w:szCs w:val="20"/>
          <w:color w:val="auto"/>
        </w:rPr>
      </w:pPr>
      <w:r>
        <w:rPr>
          <w:rFonts w:ascii="Arial" w:cs="Arial" w:eastAsia="Arial" w:hAnsi="Arial"/>
          <w:sz w:val="19"/>
          <w:szCs w:val="19"/>
          <w:color w:val="auto"/>
        </w:rPr>
        <w:t>[</w:t>
      </w:r>
      <w:r>
        <w:rPr>
          <w:sz w:val="20"/>
          <w:szCs w:val="20"/>
          <w:color w:val="auto"/>
        </w:rPr>
        <w:tab/>
      </w:r>
      <w:r>
        <w:rPr>
          <w:rFonts w:ascii="Arial" w:cs="Arial" w:eastAsia="Arial" w:hAnsi="Arial"/>
          <w:sz w:val="19"/>
          <w:szCs w:val="19"/>
          <w:color w:val="auto"/>
        </w:rPr>
        <w:t>],</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9"/>
          <w:szCs w:val="19"/>
          <w:color w:val="auto"/>
        </w:rPr>
        <w:t>AS TRUSTEE,</w:t>
      </w:r>
    </w:p>
    <w:p>
      <w:pPr>
        <w:spacing w:after="0" w:line="225"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15240</wp:posOffset>
            </wp:positionV>
            <wp:extent cx="33147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6">
                      <a:extLst>
                        <a:ext uri="{28A0092B-C50C-407E-A947-70E740481C1C}"/>
                      </a:extLst>
                    </a:blip>
                    <a:srcRect/>
                    <a:stretch>
                      <a:fillRect/>
                    </a:stretch>
                  </pic:blipFill>
                  <pic:spPr bwMode="auto">
                    <a:xfrm>
                      <a:off x="0" y="0"/>
                      <a:ext cx="3314700" cy="8890"/>
                    </a:xfrm>
                    <a:prstGeom prst="rect">
                      <a:avLst/>
                    </a:prstGeom>
                    <a:noFill/>
                  </pic:spPr>
                </pic:pic>
              </a:graphicData>
            </a:graphic>
          </wp:anchor>
        </w:drawing>
      </w:r>
    </w:p>
    <w:p>
      <w:pPr>
        <w:spacing w:after="0" w:line="4"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Name:</w:t>
      </w:r>
    </w:p>
    <w:p>
      <w:pPr>
        <w:spacing w:after="0" w:line="23" w:lineRule="exact"/>
        <w:rPr>
          <w:sz w:val="20"/>
          <w:szCs w:val="20"/>
          <w:color w:val="auto"/>
        </w:rPr>
      </w:pPr>
    </w:p>
    <w:p>
      <w:pPr>
        <w:ind w:left="5460"/>
        <w:spacing w:after="0"/>
        <w:rPr>
          <w:sz w:val="20"/>
          <w:szCs w:val="20"/>
          <w:color w:val="auto"/>
        </w:rPr>
      </w:pPr>
      <w:r>
        <w:rPr>
          <w:rFonts w:ascii="Arial" w:cs="Arial" w:eastAsia="Arial" w:hAnsi="Arial"/>
          <w:sz w:val="19"/>
          <w:szCs w:val="19"/>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-843280</wp:posOffset>
            </wp:positionH>
            <wp:positionV relativeFrom="paragraph">
              <wp:posOffset>222250</wp:posOffset>
            </wp:positionV>
            <wp:extent cx="7646670" cy="3111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9360"/>
          </w:cols>
          <w:pgMar w:left="1440" w:top="213" w:right="1440" w:bottom="1440" w:gutter="0" w:footer="0" w:header="0"/>
        </w:sectPr>
      </w:pPr>
    </w:p>
    <w:bookmarkStart w:id="83" w:name="page84"/>
    <w:bookmarkEnd w:id="83"/>
    <w:p>
      <w:pPr>
        <w:jc w:val="right"/>
        <w:spacing w:after="0"/>
        <w:rPr>
          <w:sz w:val="20"/>
          <w:szCs w:val="20"/>
          <w:color w:val="auto"/>
        </w:rPr>
      </w:pPr>
      <w:r>
        <w:rPr>
          <w:rFonts w:ascii="Arial" w:cs="Arial" w:eastAsia="Arial" w:hAnsi="Arial"/>
          <w:sz w:val="19"/>
          <w:szCs w:val="19"/>
          <w:b w:val="1"/>
          <w:bCs w:val="1"/>
          <w:color w:val="auto"/>
        </w:rPr>
        <w:t>Exhibit 5.1</w:t>
      </w:r>
    </w:p>
    <w:p>
      <w:pPr>
        <w:spacing w:after="0" w:line="244" w:lineRule="exact"/>
        <w:rPr>
          <w:sz w:val="20"/>
          <w:szCs w:val="20"/>
          <w:color w:val="auto"/>
        </w:rPr>
      </w:pPr>
    </w:p>
    <w:p>
      <w:pPr>
        <w:spacing w:after="0"/>
        <w:rPr>
          <w:sz w:val="20"/>
          <w:szCs w:val="20"/>
          <w:color w:val="auto"/>
        </w:rPr>
      </w:pPr>
      <w:r>
        <w:rPr>
          <w:rFonts w:ascii="Arial" w:cs="Arial" w:eastAsia="Arial" w:hAnsi="Arial"/>
          <w:sz w:val="19"/>
          <w:szCs w:val="19"/>
          <w:color w:val="auto"/>
        </w:rPr>
        <w:t>12 March 2019</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GasLog Ltd.</w:t>
      </w:r>
    </w:p>
    <w:p>
      <w:pPr>
        <w:spacing w:after="0" w:line="23" w:lineRule="exact"/>
        <w:rPr>
          <w:sz w:val="20"/>
          <w:szCs w:val="20"/>
          <w:color w:val="auto"/>
        </w:rPr>
      </w:pPr>
    </w:p>
    <w:p>
      <w:pPr>
        <w:spacing w:after="0"/>
        <w:rPr>
          <w:sz w:val="20"/>
          <w:szCs w:val="20"/>
          <w:color w:val="auto"/>
        </w:rPr>
      </w:pPr>
      <w:r>
        <w:rPr>
          <w:rFonts w:ascii="Arial" w:cs="Arial" w:eastAsia="Arial" w:hAnsi="Arial"/>
          <w:sz w:val="19"/>
          <w:szCs w:val="19"/>
          <w:color w:val="auto"/>
        </w:rPr>
        <w:t>c/o GasLog Monaco S.A.M.</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Gildo Pastor Center</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7 Rue du Gabian</w:t>
      </w:r>
    </w:p>
    <w:p>
      <w:pPr>
        <w:spacing w:after="0" w:line="10" w:lineRule="exact"/>
        <w:rPr>
          <w:sz w:val="20"/>
          <w:szCs w:val="20"/>
          <w:color w:val="auto"/>
        </w:rPr>
      </w:pPr>
    </w:p>
    <w:p>
      <w:pPr>
        <w:spacing w:after="0"/>
        <w:rPr>
          <w:sz w:val="20"/>
          <w:szCs w:val="20"/>
          <w:color w:val="auto"/>
        </w:rPr>
      </w:pPr>
      <w:r>
        <w:rPr>
          <w:rFonts w:ascii="Arial" w:cs="Arial" w:eastAsia="Arial" w:hAnsi="Arial"/>
          <w:sz w:val="19"/>
          <w:szCs w:val="19"/>
          <w:color w:val="auto"/>
        </w:rPr>
        <w:t>MC 98000, Monaco</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Dear Sirs,</w:t>
      </w: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Re: </w:t>
      </w:r>
      <w:r>
        <w:rPr>
          <w:rFonts w:ascii="Arial" w:cs="Arial" w:eastAsia="Arial" w:hAnsi="Arial"/>
          <w:sz w:val="19"/>
          <w:szCs w:val="19"/>
          <w:b w:val="1"/>
          <w:bCs w:val="1"/>
          <w:color w:val="auto"/>
        </w:rPr>
        <w:t>GasLog Ltd. (the â€œCompanyâ€ )</w:t>
      </w:r>
    </w:p>
    <w:p>
      <w:pPr>
        <w:spacing w:after="0" w:line="244" w:lineRule="exact"/>
        <w:rPr>
          <w:sz w:val="20"/>
          <w:szCs w:val="20"/>
          <w:color w:val="auto"/>
        </w:rPr>
      </w:pPr>
    </w:p>
    <w:p>
      <w:pPr>
        <w:spacing w:after="0"/>
        <w:rPr>
          <w:sz w:val="20"/>
          <w:szCs w:val="20"/>
          <w:color w:val="auto"/>
        </w:rPr>
      </w:pPr>
      <w:r>
        <w:rPr>
          <w:rFonts w:ascii="Arial" w:cs="Arial" w:eastAsia="Arial" w:hAnsi="Arial"/>
          <w:sz w:val="17"/>
          <w:szCs w:val="17"/>
          <w:color w:val="auto"/>
        </w:rPr>
        <w:t>We have acted as special Bermuda legal counsel to the Company in connection with a registration statement on form F-3 filed with the U.S. Securities and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Exchange Commission (the â€œCommissionâ€ ) on 12 March 2019 (the â€œRegistration Statementâ€ , which term does not include any other document or</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agreement whether or not specifically referred to therein or attached as an exhibit or schedule thereto) relating to the shelf registration under the U.S.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Securities Act of 1933, as amended, (the â€œSecurities Actâ€ ) of common shares, par value US$0.01 each (â€œCommon Sharesâ€ ), preference shares,</w:t>
      </w:r>
    </w:p>
    <w:p>
      <w:pPr>
        <w:spacing w:after="0" w:line="33" w:lineRule="exact"/>
        <w:rPr>
          <w:sz w:val="20"/>
          <w:szCs w:val="20"/>
          <w:color w:val="auto"/>
        </w:rPr>
      </w:pPr>
    </w:p>
    <w:p>
      <w:pPr>
        <w:spacing w:after="0"/>
        <w:tabs>
          <w:tab w:leader="none" w:pos="11340" w:val="left"/>
        </w:tabs>
        <w:rPr>
          <w:sz w:val="20"/>
          <w:szCs w:val="20"/>
          <w:color w:val="auto"/>
        </w:rPr>
      </w:pPr>
      <w:r>
        <w:rPr>
          <w:rFonts w:ascii="Arial" w:cs="Arial" w:eastAsia="Arial" w:hAnsi="Arial"/>
          <w:sz w:val="17"/>
          <w:szCs w:val="17"/>
          <w:color w:val="auto"/>
        </w:rPr>
        <w:t>par value US$0.01 each (the â€œPreference Shareâ€ ) and Series A Preference Shares, par value $0.01 each (the â€œSeries A Preference Sharesâ€</w:t>
      </w:r>
      <w:r>
        <w:rPr>
          <w:sz w:val="20"/>
          <w:szCs w:val="20"/>
          <w:color w:val="auto"/>
        </w:rPr>
        <w:tab/>
      </w:r>
      <w:r>
        <w:rPr>
          <w:rFonts w:ascii="Arial" w:cs="Arial" w:eastAsia="Arial" w:hAnsi="Arial"/>
          <w:sz w:val="16"/>
          <w:szCs w:val="16"/>
          <w:color w:val="auto"/>
        </w:rPr>
        <w:t>together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with the Preference Shares and Common Shares, the â€œEquity Securitiesâ€ , which term includes any common shares, preference shares or series A</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preference shares to be issued pursuant to the conversion, exchange or exercise of any other Securities), debt securities which may be convertible or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exchangeable into Common Shares or other Securities (â€œDebt Securitiesâ€ ), warrants (â€œWarrantsâ€ ), rights to purchase Common Shares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(â€œRightsâ€ ) and units consisting of any combination of the foregoing securities (â€œUnitsâ€ ) of the Company (collectively, the â€œSecuritiesâ€ ).</w:t>
      </w:r>
    </w:p>
    <w:p>
      <w:pPr>
        <w:spacing w:after="0" w:line="236" w:lineRule="exact"/>
        <w:rPr>
          <w:sz w:val="20"/>
          <w:szCs w:val="20"/>
          <w:color w:val="auto"/>
        </w:rPr>
      </w:pPr>
    </w:p>
    <w:p>
      <w:pPr>
        <w:ind w:right="80"/>
        <w:spacing w:after="0" w:line="263" w:lineRule="auto"/>
        <w:rPr>
          <w:sz w:val="20"/>
          <w:szCs w:val="20"/>
          <w:color w:val="auto"/>
        </w:rPr>
      </w:pPr>
      <w:r>
        <w:rPr>
          <w:rFonts w:ascii="Arial" w:cs="Arial" w:eastAsia="Arial" w:hAnsi="Arial"/>
          <w:sz w:val="19"/>
          <w:szCs w:val="19"/>
          <w:color w:val="auto"/>
        </w:rPr>
        <w:t>For the purposes of giving this opinion, we have examined a copy of the Registration Statement. We have also reviewed the memorandum of association and the bye-laws of the Company (together, the â€œConstitutional Documentsâ€ ), each certified by the Assistant Secretary of the Company on 8 March 2019, an excerpt of minutes of a meeting of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7646670" cy="3111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36" w:right="120" w:bottom="1440" w:gutter="0" w:footer="0" w:header="0"/>
        </w:sectPr>
      </w:pPr>
    </w:p>
    <w:bookmarkStart w:id="84" w:name="page85"/>
    <w:bookmarkEnd w:id="84"/>
    <w:p>
      <w:pPr>
        <w:spacing w:after="0" w:line="308" w:lineRule="auto"/>
        <w:rPr>
          <w:sz w:val="20"/>
          <w:szCs w:val="20"/>
          <w:color w:val="auto"/>
        </w:rPr>
      </w:pPr>
      <w:r>
        <w:rPr>
          <w:rFonts w:ascii="Arial" w:cs="Arial" w:eastAsia="Arial" w:hAnsi="Arial"/>
          <w:sz w:val="17"/>
          <w:szCs w:val="17"/>
          <w:color w:val="auto"/>
        </w:rPr>
        <w:t>directors held on 7 March 2019 certified by the Assistant Secretary of the Company, (together, the â€œResolutionsâ€ ) and such other documents and made such enquiries as to questions of law as we have deemed necessary in order to render the opinion set forth below. For the purposes of our opinion paragraph 4 below, we have reviewed and relied upon the register of members of the Company dated 8 March 2019, certified by the Secretary of the Company.</w:t>
      </w:r>
    </w:p>
    <w:p>
      <w:pPr>
        <w:spacing w:after="0" w:line="160" w:lineRule="exact"/>
        <w:rPr>
          <w:sz w:val="20"/>
          <w:szCs w:val="20"/>
          <w:color w:val="auto"/>
        </w:rPr>
      </w:pPr>
    </w:p>
    <w:p>
      <w:pPr>
        <w:ind w:right="60"/>
        <w:spacing w:after="0" w:line="283" w:lineRule="auto"/>
        <w:rPr>
          <w:sz w:val="20"/>
          <w:szCs w:val="20"/>
          <w:color w:val="auto"/>
        </w:rPr>
      </w:pPr>
      <w:r>
        <w:rPr>
          <w:rFonts w:ascii="Arial" w:cs="Arial" w:eastAsia="Arial" w:hAnsi="Arial"/>
          <w:sz w:val="17"/>
          <w:szCs w:val="17"/>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Registration Statement and other documents reviewed by us, (d) that the Company will issue the Securities in furtherance of its objects as set out in its memorandum of association, (e) that, in respect of any future issuances of Securities only, the Constitutional Documents will not be amended in any manner that would affect the opinions expressed herein, (f) that there is no provision of the law of any jurisdiction, other than Bermuda, which would have any implication in relation to the opinions expressed herein, (g) that the Company will have sufficient authorised capital to effect the issue of any of the Equity Securities at the time of issuance, whether as a principal issue or on the conversion, exchange or exercise of any Securities, (h) that the Companyâ€™s shares will be listed on an appointed stock exchange, as defined in the Companies Act 1981, as amended (the â€œCompanies Actâ€ ), and the consent to the issue and free transfer of the Securities given by the Bermuda Monetary Authority as of 9 November 2011 will not have been revoked or amended at the time of issuance of any Securities, (i) that the form and terms of any and all Securities (including without limitation, the designation, powers, preferences, rights, qualifications, limitations and restrictions of Preference Shares or Series A Preference Shares) or other securities (or other obligations, rights, currencies, commodities or other subject matter) comprising the same or subject thereto (in the case of the Warrants and Units), the issuance and sale thereof by the Company, and the Companyâ€™s incurrence and performance of its obligations thereunder or in respect thereof (including, without limitation, its obligations under any related agreement, indenture or supplement thereto) in accordance with the terms thereof will not violate the Constitutional Documents nor any applicable law, regulation, order or decree in Bermuda, (j) that all necessary corporate action will be taken to authorise and approve any issuance of Securities (including, if Preference Shares or Series A Preference Shares are to be issued, all necessary corporate action to establish one or more series of Preference Shares or Series A Preference Shares and fix the designation, powers, preferences, rights, qualifications, limitations and restrictions thereof), the terms of the offering thereof and related matters, and that the applicable definitive purchase, underwriting or similar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646670" cy="3111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85" w:name="page86"/>
    <w:bookmarkEnd w:id="85"/>
    <w:p>
      <w:pPr>
        <w:ind w:left="6"/>
        <w:spacing w:after="0" w:line="282" w:lineRule="auto"/>
        <w:rPr>
          <w:sz w:val="20"/>
          <w:szCs w:val="20"/>
          <w:color w:val="auto"/>
        </w:rPr>
      </w:pPr>
      <w:r>
        <w:rPr>
          <w:rFonts w:ascii="Arial" w:cs="Arial" w:eastAsia="Arial" w:hAnsi="Arial"/>
          <w:sz w:val="17"/>
          <w:szCs w:val="17"/>
          <w:color w:val="auto"/>
        </w:rPr>
        <w:t>agreement and, if Debt Securities are to be issued, the applicable indenture and any applicable supplements thereto, will be duly approved, executed and delivered by or on behalf of the Company and all other parties thereto, (k) that the applicable purchase, underwriting or similar agreement, any Debt Security, any indenture and any supplement thereto and any other agreement or other document relating to any Security will be valid and binding in accordance with its terms pursuant to its governing law, (l) that the issuance and sale of and payment for the Securities will be in accordance with the applicable purchase, underwriting or similar agreement duly approved by the Board of Directors, the Registration Statement (including the prospectus set forth therein and any applicable supplement thereto) and, if Debt Securities are to be issued, the applicable indenture and any applicable supplements thereto, (m) that, upon the issue of any Equity Securities, the Company will receive consideration for the full issue price thereof which shall be equal to at least the par value thereof,</w:t>
      </w:r>
    </w:p>
    <w:p>
      <w:pPr>
        <w:spacing w:after="0" w:line="3" w:lineRule="exact"/>
        <w:rPr>
          <w:sz w:val="20"/>
          <w:szCs w:val="20"/>
          <w:color w:val="auto"/>
        </w:rPr>
      </w:pPr>
    </w:p>
    <w:p>
      <w:pPr>
        <w:ind w:left="6" w:right="280" w:hanging="6"/>
        <w:spacing w:after="0" w:line="253" w:lineRule="auto"/>
        <w:tabs>
          <w:tab w:leader="none" w:pos="275" w:val="left"/>
        </w:tabs>
        <w:numPr>
          <w:ilvl w:val="0"/>
          <w:numId w:val="41"/>
        </w:numPr>
        <w:rPr>
          <w:rFonts w:ascii="Arial" w:cs="Arial" w:eastAsia="Arial" w:hAnsi="Arial"/>
          <w:sz w:val="19"/>
          <w:szCs w:val="19"/>
          <w:color w:val="auto"/>
        </w:rPr>
      </w:pPr>
      <w:r>
        <w:rPr>
          <w:rFonts w:ascii="Arial" w:cs="Arial" w:eastAsia="Arial" w:hAnsi="Arial"/>
          <w:sz w:val="19"/>
          <w:szCs w:val="19"/>
          <w:color w:val="auto"/>
        </w:rPr>
        <w:t>that the Company will comply, to the extent applicable, with the requirements of Part III of the Companies Act entitled â€œProspectuses and Public Offersâ€ , (o) the capacity, power and authority of all parties other than the Company to enter into and perform their obligations under any and all documents entered into by such parties in connection with the issuance of the Securities, and the due execution and delivery thereof by each party thereto, and (p) that none of the parties to such documents carries on business from premises in Bermuda at which it employs staff and pays salaries and other expenses.</w:t>
      </w:r>
    </w:p>
    <w:p>
      <w:pPr>
        <w:spacing w:after="0" w:line="204" w:lineRule="exact"/>
        <w:rPr>
          <w:sz w:val="20"/>
          <w:szCs w:val="20"/>
          <w:color w:val="auto"/>
        </w:rPr>
      </w:pPr>
    </w:p>
    <w:p>
      <w:pPr>
        <w:ind w:left="6" w:right="60"/>
        <w:spacing w:after="0" w:line="253" w:lineRule="auto"/>
        <w:rPr>
          <w:sz w:val="20"/>
          <w:szCs w:val="20"/>
          <w:color w:val="auto"/>
        </w:rPr>
      </w:pPr>
      <w:r>
        <w:rPr>
          <w:rFonts w:ascii="Arial" w:cs="Arial" w:eastAsia="Arial" w:hAnsi="Arial"/>
          <w:sz w:val="19"/>
          <w:szCs w:val="19"/>
          <w:color w:val="auto"/>
        </w:rPr>
        <w:t>The obligations of the Company in connection with any Security and any indenture or other agreement or document relating thereto (a) will be subject to the laws from time to time in effect relating to bankruptcy, insolvency, liquidation, possessory liens, rights of set off, reorganisation, amalgamation, moratorium or any other laws or legal procedures, whether of a similar nature or otherwise, generally affecting the rights of creditors,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 if and to the extent they constitute the payment of an amount which is in the nature of a penalty and not in the nature of liquidated damages,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209" w:lineRule="exact"/>
        <w:rPr>
          <w:sz w:val="20"/>
          <w:szCs w:val="20"/>
          <w:color w:val="auto"/>
        </w:rPr>
      </w:pPr>
    </w:p>
    <w:p>
      <w:pPr>
        <w:ind w:left="6" w:right="40"/>
        <w:spacing w:after="0" w:line="259" w:lineRule="auto"/>
        <w:rPr>
          <w:sz w:val="20"/>
          <w:szCs w:val="20"/>
          <w:color w:val="auto"/>
        </w:rPr>
      </w:pPr>
      <w:r>
        <w:rPr>
          <w:rFonts w:ascii="Arial" w:cs="Arial" w:eastAsia="Arial" w:hAnsi="Arial"/>
          <w:sz w:val="19"/>
          <w:szCs w:val="19"/>
          <w:color w:val="auto"/>
        </w:rPr>
        <w:t>â€œNon-assessabilityâ€ is not a legal concept under Bermuda law, but when we describe the Common Shares and/or Preference Shares and/or Series A Preference Shares herein as being â€œnon-assessableâ€ we mean, subject to any contrary provision in any agreement between the Company and any one of its members holding any of the Common Shares, Preference Shares and Series A Preference Shares (but only with respect to such member), that no further sums are payable with respect to the issue of such shares and no member shall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205105</wp:posOffset>
            </wp:positionV>
            <wp:extent cx="7646670" cy="3111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0">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13" w:right="140" w:bottom="1440" w:gutter="0" w:footer="0" w:header="0"/>
        </w:sectPr>
      </w:pPr>
    </w:p>
    <w:bookmarkStart w:id="86" w:name="page87"/>
    <w:bookmarkEnd w:id="86"/>
    <w:p>
      <w:pPr>
        <w:ind w:right="100"/>
        <w:spacing w:after="0" w:line="263" w:lineRule="auto"/>
        <w:rPr>
          <w:sz w:val="20"/>
          <w:szCs w:val="20"/>
          <w:color w:val="auto"/>
        </w:rPr>
      </w:pPr>
      <w:r>
        <w:rPr>
          <w:rFonts w:ascii="Arial" w:cs="Arial" w:eastAsia="Arial" w:hAnsi="Arial"/>
          <w:sz w:val="19"/>
          <w:szCs w:val="19"/>
          <w:color w:val="auto"/>
        </w:rPr>
        <w:t>bound by an alteration in the Constitutional Documents after the date upon which it became a member if and so far as the alteration requires such member to take or subscribe for additional Common Shares, Preference Shares or Series A Preference Shares or in any way increases its liability to contribute to the share capital of, or otherwise pay money to, the Company.</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9"/>
          <w:szCs w:val="19"/>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the filing of the Registration Statement and the issuance of the Securities by the Company as described in the Registration Statement and is not to be relied upon in respect of any other matter.</w:t>
      </w:r>
    </w:p>
    <w:p>
      <w:pPr>
        <w:spacing w:after="0" w:line="198" w:lineRule="exact"/>
        <w:rPr>
          <w:sz w:val="20"/>
          <w:szCs w:val="20"/>
          <w:color w:val="auto"/>
        </w:rPr>
      </w:pPr>
    </w:p>
    <w:p>
      <w:pPr>
        <w:spacing w:after="0"/>
        <w:rPr>
          <w:sz w:val="20"/>
          <w:szCs w:val="20"/>
          <w:color w:val="auto"/>
        </w:rPr>
      </w:pPr>
      <w:r>
        <w:rPr>
          <w:rFonts w:ascii="Arial" w:cs="Arial" w:eastAsia="Arial" w:hAnsi="Arial"/>
          <w:sz w:val="19"/>
          <w:szCs w:val="19"/>
          <w:color w:val="auto"/>
        </w:rPr>
        <w:t>On the basis of and subject to the foregoing we are of the opinion that:</w:t>
      </w:r>
    </w:p>
    <w:p>
      <w:pPr>
        <w:spacing w:after="0" w:line="238" w:lineRule="exact"/>
        <w:rPr>
          <w:sz w:val="20"/>
          <w:szCs w:val="20"/>
          <w:color w:val="auto"/>
        </w:rPr>
      </w:pPr>
    </w:p>
    <w:p>
      <w:pPr>
        <w:ind w:firstLine="679"/>
        <w:spacing w:after="0" w:line="263" w:lineRule="auto"/>
        <w:tabs>
          <w:tab w:leader="none" w:pos="1369"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Company is duly incorporated and existing under the laws of Bermuda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94" w:lineRule="exact"/>
        <w:rPr>
          <w:rFonts w:ascii="Arial" w:cs="Arial" w:eastAsia="Arial" w:hAnsi="Arial"/>
          <w:sz w:val="19"/>
          <w:szCs w:val="19"/>
          <w:color w:val="auto"/>
        </w:rPr>
      </w:pPr>
    </w:p>
    <w:p>
      <w:pPr>
        <w:ind w:right="240" w:firstLine="679"/>
        <w:spacing w:after="0" w:line="372" w:lineRule="auto"/>
        <w:tabs>
          <w:tab w:leader="none" w:pos="1369" w:val="left"/>
        </w:tabs>
        <w:numPr>
          <w:ilvl w:val="0"/>
          <w:numId w:val="42"/>
        </w:numPr>
        <w:rPr>
          <w:rFonts w:ascii="Arial" w:cs="Arial" w:eastAsia="Arial" w:hAnsi="Arial"/>
          <w:sz w:val="16"/>
          <w:szCs w:val="16"/>
          <w:color w:val="auto"/>
        </w:rPr>
      </w:pPr>
      <w:r>
        <w:rPr>
          <w:rFonts w:ascii="Arial" w:cs="Arial" w:eastAsia="Arial" w:hAnsi="Arial"/>
          <w:sz w:val="16"/>
          <w:szCs w:val="16"/>
          <w:color w:val="auto"/>
        </w:rPr>
        <w:t>Upon the due issuance of Common Shares and/or Preference Shares and/or Series A Preference Shares and payment of the consideration therefor, such Common Shares and/or Preference Shares and/or Series A Preference Shares will be validly issued, fully paid and non-assessable.</w:t>
      </w:r>
    </w:p>
    <w:p>
      <w:pPr>
        <w:spacing w:after="0" w:line="114" w:lineRule="exact"/>
        <w:rPr>
          <w:rFonts w:ascii="Arial" w:cs="Arial" w:eastAsia="Arial" w:hAnsi="Arial"/>
          <w:sz w:val="16"/>
          <w:szCs w:val="16"/>
          <w:color w:val="auto"/>
        </w:rPr>
      </w:pPr>
    </w:p>
    <w:p>
      <w:pPr>
        <w:ind w:right="340" w:firstLine="679"/>
        <w:spacing w:after="0" w:line="263" w:lineRule="auto"/>
        <w:tabs>
          <w:tab w:leader="none" w:pos="1369" w:val="left"/>
        </w:tabs>
        <w:numPr>
          <w:ilvl w:val="0"/>
          <w:numId w:val="42"/>
        </w:numPr>
        <w:rPr>
          <w:rFonts w:ascii="Arial" w:cs="Arial" w:eastAsia="Arial" w:hAnsi="Arial"/>
          <w:sz w:val="19"/>
          <w:szCs w:val="19"/>
          <w:color w:val="auto"/>
        </w:rPr>
      </w:pPr>
      <w:r>
        <w:rPr>
          <w:rFonts w:ascii="Arial" w:cs="Arial" w:eastAsia="Arial" w:hAnsi="Arial"/>
          <w:sz w:val="19"/>
          <w:szCs w:val="19"/>
          <w:color w:val="auto"/>
        </w:rPr>
        <w:t>Upon the due issuance of: (a) Debt Securities of any series; (b) Warrants; (c) Rights; and/or (d) Units, and payment of the consideration therefor, such Securities will be validly issued and (except in the case of any Equity Securities forming part of a Unit) will constitute valid and binding obligations of the Company in accordance with the terms thereof.</w:t>
      </w:r>
    </w:p>
    <w:p>
      <w:pPr>
        <w:spacing w:after="0" w:line="194" w:lineRule="exact"/>
        <w:rPr>
          <w:sz w:val="20"/>
          <w:szCs w:val="20"/>
          <w:color w:val="auto"/>
        </w:rPr>
      </w:pPr>
    </w:p>
    <w:p>
      <w:pPr>
        <w:ind w:right="240"/>
        <w:spacing w:after="0" w:line="259" w:lineRule="auto"/>
        <w:rPr>
          <w:sz w:val="20"/>
          <w:szCs w:val="20"/>
          <w:color w:val="auto"/>
        </w:rPr>
      </w:pPr>
      <w:r>
        <w:rPr>
          <w:rFonts w:ascii="Arial" w:cs="Arial" w:eastAsia="Arial" w:hAnsi="Arial"/>
          <w:sz w:val="19"/>
          <w:szCs w:val="19"/>
          <w:color w:val="auto"/>
        </w:rPr>
        <w:t>We hereby consent to the filing of this opinion as an exhibit to the Registration Statement and to the references to our firm under the caption â€œLegal Mattersâ€ in the prospectus forming a part of the Registration Statement. In giving such consent, we do not hereby admit that we are experts within the meaning of Section 11 of the Securities Act or that we are in the category of persons whose consent is required under Section 7 of the Securities Act or the Rules and Regulations of the Commission promulgated thereunder.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205105</wp:posOffset>
            </wp:positionV>
            <wp:extent cx="7646670" cy="311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1">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87" w:name="page88"/>
    <w:bookmarkEnd w:id="87"/>
    <w:p>
      <w:pPr>
        <w:spacing w:after="0"/>
        <w:rPr>
          <w:sz w:val="20"/>
          <w:szCs w:val="20"/>
          <w:color w:val="auto"/>
        </w:rPr>
      </w:pPr>
      <w:r>
        <w:rPr>
          <w:rFonts w:ascii="Arial" w:cs="Arial" w:eastAsia="Arial" w:hAnsi="Arial"/>
          <w:sz w:val="19"/>
          <w:szCs w:val="19"/>
          <w:color w:val="auto"/>
        </w:rPr>
        <w:t>Yours faithfully,</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/s/ Conyers Dill &amp; Pearman Limited</w:t>
      </w: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Conyers Dill &amp;Pearman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241935</wp:posOffset>
            </wp:positionV>
            <wp:extent cx="7646670" cy="311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2">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0680"/>
          </w:cols>
          <w:pgMar w:left="120" w:top="213" w:right="1440" w:bottom="1440" w:gutter="0" w:footer="0" w:header="0"/>
        </w:sectPr>
      </w:pPr>
    </w:p>
    <w:bookmarkStart w:id="88" w:name="page89"/>
    <w:bookmarkEnd w:id="88"/>
    <w:p>
      <w:pPr>
        <w:ind w:left="11120"/>
        <w:spacing w:after="0"/>
        <w:rPr>
          <w:sz w:val="20"/>
          <w:szCs w:val="20"/>
          <w:color w:val="auto"/>
        </w:rPr>
      </w:pPr>
      <w:r>
        <w:rPr>
          <w:rFonts w:ascii="Arial" w:cs="Arial" w:eastAsia="Arial" w:hAnsi="Arial"/>
          <w:sz w:val="17"/>
          <w:szCs w:val="17"/>
          <w:b w:val="1"/>
          <w:bCs w:val="1"/>
          <w:color w:val="auto"/>
        </w:rPr>
        <w:t>Exhibit 5.2</w:t>
      </w: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[Letterhead of]</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CRAVATH, SWAINE &amp; MOORE LLP</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[New York Office]</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9"/>
          <w:szCs w:val="19"/>
          <w:color w:val="auto"/>
        </w:rPr>
        <w:t>March 12, 2019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GasLog Ltd.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9"/>
          <w:szCs w:val="19"/>
          <w:u w:val="single" w:color="auto"/>
          <w:color w:val="auto"/>
        </w:rPr>
        <w:t>Registration Statement on Form F-3</w:t>
      </w:r>
    </w:p>
    <w:p>
      <w:pPr>
        <w:spacing w:after="0" w:line="225" w:lineRule="exact"/>
        <w:rPr>
          <w:sz w:val="20"/>
          <w:szCs w:val="20"/>
          <w:color w:val="auto"/>
        </w:rPr>
      </w:pPr>
    </w:p>
    <w:p>
      <w:pPr>
        <w:spacing w:after="0"/>
        <w:rPr>
          <w:sz w:val="20"/>
          <w:szCs w:val="20"/>
          <w:color w:val="auto"/>
        </w:rPr>
      </w:pPr>
      <w:r>
        <w:rPr>
          <w:rFonts w:ascii="Arial" w:cs="Arial" w:eastAsia="Arial" w:hAnsi="Arial"/>
          <w:sz w:val="19"/>
          <w:szCs w:val="19"/>
          <w:color w:val="auto"/>
        </w:rPr>
        <w:t>Ladies and Gentlemen:</w:t>
      </w:r>
    </w:p>
    <w:p>
      <w:pPr>
        <w:spacing w:after="0" w:line="238" w:lineRule="exact"/>
        <w:rPr>
          <w:sz w:val="20"/>
          <w:szCs w:val="20"/>
          <w:color w:val="auto"/>
        </w:rPr>
      </w:pPr>
    </w:p>
    <w:p>
      <w:pPr>
        <w:ind w:left="1360"/>
        <w:spacing w:after="0"/>
        <w:rPr>
          <w:sz w:val="20"/>
          <w:szCs w:val="20"/>
          <w:color w:val="auto"/>
        </w:rPr>
      </w:pPr>
      <w:r>
        <w:rPr>
          <w:rFonts w:ascii="Arial" w:cs="Arial" w:eastAsia="Arial" w:hAnsi="Arial"/>
          <w:sz w:val="17"/>
          <w:szCs w:val="17"/>
          <w:color w:val="auto"/>
        </w:rPr>
        <w:t>We have acted as special United States counsel for GasLog Ltd., a Bermuda exempted company (the â€œ</w:t>
      </w:r>
      <w:r>
        <w:rPr>
          <w:rFonts w:ascii="Arial" w:cs="Arial" w:eastAsia="Arial" w:hAnsi="Arial"/>
          <w:sz w:val="17"/>
          <w:szCs w:val="17"/>
          <w:u w:val="single" w:color="auto"/>
          <w:color w:val="auto"/>
        </w:rPr>
        <w:t>Company</w:t>
      </w:r>
      <w:r>
        <w:rPr>
          <w:rFonts w:ascii="Arial" w:cs="Arial" w:eastAsia="Arial" w:hAnsi="Arial"/>
          <w:sz w:val="17"/>
          <w:szCs w:val="17"/>
          <w:color w:val="auto"/>
        </w:rPr>
        <w:t>â€ ), in connection with</w:t>
      </w:r>
    </w:p>
    <w:p>
      <w:pPr>
        <w:spacing w:after="0" w:line="46" w:lineRule="exact"/>
        <w:rPr>
          <w:sz w:val="20"/>
          <w:szCs w:val="20"/>
          <w:color w:val="auto"/>
        </w:rPr>
      </w:pPr>
    </w:p>
    <w:p>
      <w:pPr>
        <w:spacing w:after="0"/>
        <w:rPr>
          <w:sz w:val="20"/>
          <w:szCs w:val="20"/>
          <w:color w:val="auto"/>
        </w:rPr>
      </w:pPr>
      <w:r>
        <w:rPr>
          <w:rFonts w:ascii="Arial" w:cs="Arial" w:eastAsia="Arial" w:hAnsi="Arial"/>
          <w:sz w:val="19"/>
          <w:szCs w:val="19"/>
          <w:color w:val="auto"/>
        </w:rPr>
        <w:t>the preparation and filing with the Securities and Exchange Commission (the â€œ</w:t>
      </w:r>
      <w:r>
        <w:rPr>
          <w:rFonts w:ascii="Arial" w:cs="Arial" w:eastAsia="Arial" w:hAnsi="Arial"/>
          <w:sz w:val="19"/>
          <w:szCs w:val="19"/>
          <w:u w:val="single" w:color="auto"/>
          <w:color w:val="auto"/>
        </w:rPr>
        <w:t>Commission</w:t>
      </w:r>
      <w:r>
        <w:rPr>
          <w:rFonts w:ascii="Arial" w:cs="Arial" w:eastAsia="Arial" w:hAnsi="Arial"/>
          <w:sz w:val="19"/>
          <w:szCs w:val="19"/>
          <w:color w:val="auto"/>
        </w:rPr>
        <w:t>â€ ) of a registration statement on Form F-3 (the</w:t>
      </w:r>
    </w:p>
    <w:p>
      <w:pPr>
        <w:spacing w:after="0" w:line="10" w:lineRule="exact"/>
        <w:rPr>
          <w:sz w:val="20"/>
          <w:szCs w:val="20"/>
          <w:color w:val="auto"/>
        </w:rPr>
      </w:pPr>
    </w:p>
    <w:p>
      <w:pPr>
        <w:spacing w:after="0"/>
        <w:rPr>
          <w:sz w:val="20"/>
          <w:szCs w:val="20"/>
          <w:color w:val="auto"/>
        </w:rPr>
      </w:pPr>
      <w:r>
        <w:rPr>
          <w:rFonts w:ascii="Arial" w:cs="Arial" w:eastAsia="Arial" w:hAnsi="Arial"/>
          <w:sz w:val="17"/>
          <w:szCs w:val="17"/>
          <w:color w:val="auto"/>
        </w:rPr>
        <w:t>â€œ</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â€ ) under the Securities Act of 1933, as amended (the â€œ</w:t>
      </w:r>
      <w:r>
        <w:rPr>
          <w:rFonts w:ascii="Arial" w:cs="Arial" w:eastAsia="Arial" w:hAnsi="Arial"/>
          <w:sz w:val="17"/>
          <w:szCs w:val="17"/>
          <w:u w:val="single" w:color="auto"/>
          <w:color w:val="auto"/>
        </w:rPr>
        <w:t>Securities Act</w:t>
      </w:r>
      <w:r>
        <w:rPr>
          <w:rFonts w:ascii="Arial" w:cs="Arial" w:eastAsia="Arial" w:hAnsi="Arial"/>
          <w:sz w:val="17"/>
          <w:szCs w:val="17"/>
          <w:color w:val="auto"/>
        </w:rPr>
        <w:t>â€ ) with respect to the registration under the Securities</w:t>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Act and the proposed issuance and sale from time to time pursuant to Rule 415 under the Securities Act of up to an aggregate initial offering amount of</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$600,000,000 of (i) common shares of the Company, par value $0.01 per share (the â€œ</w:t>
      </w:r>
      <w:r>
        <w:rPr>
          <w:rFonts w:ascii="Arial" w:cs="Arial" w:eastAsia="Arial" w:hAnsi="Arial"/>
          <w:sz w:val="17"/>
          <w:szCs w:val="17"/>
          <w:u w:val="single" w:color="auto"/>
          <w:color w:val="auto"/>
        </w:rPr>
        <w:t>Common Shares</w:t>
      </w:r>
      <w:r>
        <w:rPr>
          <w:rFonts w:ascii="Arial" w:cs="Arial" w:eastAsia="Arial" w:hAnsi="Arial"/>
          <w:sz w:val="17"/>
          <w:szCs w:val="17"/>
          <w:color w:val="auto"/>
        </w:rPr>
        <w:t>â€ ), (ii) preference shares of the Company, par</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value $0.01 per share (the â€œ</w:t>
      </w:r>
      <w:r>
        <w:rPr>
          <w:rFonts w:ascii="Arial" w:cs="Arial" w:eastAsia="Arial" w:hAnsi="Arial"/>
          <w:sz w:val="17"/>
          <w:szCs w:val="17"/>
          <w:u w:val="single" w:color="auto"/>
          <w:color w:val="auto"/>
        </w:rPr>
        <w:t>Preference Shares</w:t>
      </w:r>
      <w:r>
        <w:rPr>
          <w:rFonts w:ascii="Arial" w:cs="Arial" w:eastAsia="Arial" w:hAnsi="Arial"/>
          <w:sz w:val="17"/>
          <w:szCs w:val="17"/>
          <w:color w:val="auto"/>
        </w:rPr>
        <w:t>â€ ), (iii) debt securities of the Company (the â€œ</w:t>
      </w:r>
      <w:r>
        <w:rPr>
          <w:rFonts w:ascii="Arial" w:cs="Arial" w:eastAsia="Arial" w:hAnsi="Arial"/>
          <w:sz w:val="17"/>
          <w:szCs w:val="17"/>
          <w:u w:val="single" w:color="auto"/>
          <w:color w:val="auto"/>
        </w:rPr>
        <w:t>Debt Securities</w:t>
      </w:r>
      <w:r>
        <w:rPr>
          <w:rFonts w:ascii="Arial" w:cs="Arial" w:eastAsia="Arial" w:hAnsi="Arial"/>
          <w:sz w:val="17"/>
          <w:szCs w:val="17"/>
          <w:color w:val="auto"/>
        </w:rPr>
        <w:t>â€ ), (iv) warrants to purchase Common</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Shares, Preference Shares, Debt Securities or other rights of the Company (the â€œ</w:t>
      </w:r>
      <w:r>
        <w:rPr>
          <w:rFonts w:ascii="Arial" w:cs="Arial" w:eastAsia="Arial" w:hAnsi="Arial"/>
          <w:sz w:val="17"/>
          <w:szCs w:val="17"/>
          <w:u w:val="single" w:color="auto"/>
          <w:color w:val="auto"/>
        </w:rPr>
        <w:t>Warrants</w:t>
      </w:r>
      <w:r>
        <w:rPr>
          <w:rFonts w:ascii="Arial" w:cs="Arial" w:eastAsia="Arial" w:hAnsi="Arial"/>
          <w:sz w:val="17"/>
          <w:szCs w:val="17"/>
          <w:color w:val="auto"/>
        </w:rPr>
        <w:t>â€ ), (v) rights to purchase Common Shares (the â€œ</w:t>
      </w:r>
      <w:r>
        <w:rPr>
          <w:rFonts w:ascii="Arial" w:cs="Arial" w:eastAsia="Arial" w:hAnsi="Arial"/>
          <w:sz w:val="17"/>
          <w:szCs w:val="17"/>
          <w:u w:val="single" w:color="auto"/>
          <w:color w:val="auto"/>
        </w:rPr>
        <w:t>Rights</w:t>
      </w:r>
      <w:r>
        <w:rPr>
          <w:rFonts w:ascii="Arial" w:cs="Arial" w:eastAsia="Arial" w:hAnsi="Arial"/>
          <w:sz w:val="17"/>
          <w:szCs w:val="17"/>
          <w:color w:val="auto"/>
        </w:rPr>
        <w:t>â€ )</w:t>
      </w:r>
    </w:p>
    <w:p>
      <w:pPr>
        <w:spacing w:after="0" w:line="33" w:lineRule="exact"/>
        <w:rPr>
          <w:sz w:val="20"/>
          <w:szCs w:val="20"/>
          <w:color w:val="auto"/>
        </w:rPr>
      </w:pPr>
    </w:p>
    <w:p>
      <w:pPr>
        <w:spacing w:after="0"/>
        <w:tabs>
          <w:tab w:leader="none" w:pos="10680" w:val="left"/>
        </w:tabs>
        <w:rPr>
          <w:sz w:val="20"/>
          <w:szCs w:val="20"/>
          <w:color w:val="auto"/>
        </w:rPr>
      </w:pPr>
      <w:r>
        <w:rPr>
          <w:rFonts w:ascii="Arial" w:cs="Arial" w:eastAsia="Arial" w:hAnsi="Arial"/>
          <w:sz w:val="18"/>
          <w:szCs w:val="18"/>
          <w:color w:val="auto"/>
        </w:rPr>
        <w:t>and (vi) units consisting of any combination of Common Shares, Preference Shares, Debt Securities, Warrants and Rights (the â€œ</w:t>
      </w:r>
      <w:r>
        <w:rPr>
          <w:rFonts w:ascii="Arial" w:cs="Arial" w:eastAsia="Arial" w:hAnsi="Arial"/>
          <w:sz w:val="18"/>
          <w:szCs w:val="18"/>
          <w:u w:val="single" w:color="auto"/>
          <w:color w:val="auto"/>
        </w:rPr>
        <w:t>Units</w:t>
      </w:r>
      <w:r>
        <w:rPr>
          <w:rFonts w:ascii="Arial" w:cs="Arial" w:eastAsia="Arial" w:hAnsi="Arial"/>
          <w:sz w:val="18"/>
          <w:szCs w:val="18"/>
          <w:color w:val="auto"/>
        </w:rPr>
        <w:t>â€</w:t>
      </w:r>
      <w:r>
        <w:rPr>
          <w:sz w:val="20"/>
          <w:szCs w:val="20"/>
          <w:color w:val="auto"/>
        </w:rPr>
        <w:tab/>
      </w:r>
      <w:r>
        <w:rPr>
          <w:rFonts w:ascii="Arial" w:cs="Arial" w:eastAsia="Arial" w:hAnsi="Arial"/>
          <w:sz w:val="16"/>
          <w:szCs w:val="16"/>
          <w:color w:val="auto"/>
        </w:rPr>
        <w:t>and, together</w:t>
      </w:r>
    </w:p>
    <w:p>
      <w:pPr>
        <w:spacing w:after="0" w:line="21" w:lineRule="exact"/>
        <w:rPr>
          <w:sz w:val="20"/>
          <w:szCs w:val="20"/>
          <w:color w:val="auto"/>
        </w:rPr>
      </w:pPr>
    </w:p>
    <w:p>
      <w:pPr>
        <w:spacing w:after="0"/>
        <w:rPr>
          <w:sz w:val="20"/>
          <w:szCs w:val="20"/>
          <w:color w:val="auto"/>
        </w:rPr>
      </w:pPr>
      <w:r>
        <w:rPr>
          <w:rFonts w:ascii="Arial" w:cs="Arial" w:eastAsia="Arial" w:hAnsi="Arial"/>
          <w:sz w:val="19"/>
          <w:szCs w:val="19"/>
          <w:color w:val="auto"/>
        </w:rPr>
        <w:t>with the securities specified in clauses (i) through (v) above, the â€œ</w:t>
      </w:r>
      <w:r>
        <w:rPr>
          <w:rFonts w:ascii="Arial" w:cs="Arial" w:eastAsia="Arial" w:hAnsi="Arial"/>
          <w:sz w:val="19"/>
          <w:szCs w:val="19"/>
          <w:u w:val="single" w:color="auto"/>
          <w:color w:val="auto"/>
        </w:rPr>
        <w:t>Securities</w:t>
      </w:r>
      <w:r>
        <w:rPr>
          <w:rFonts w:ascii="Arial" w:cs="Arial" w:eastAsia="Arial" w:hAnsi="Arial"/>
          <w:sz w:val="19"/>
          <w:szCs w:val="19"/>
          <w:color w:val="auto"/>
        </w:rPr>
        <w:t>â€ ).</w:t>
      </w:r>
    </w:p>
    <w:p>
      <w:pPr>
        <w:spacing w:after="0" w:line="225" w:lineRule="exact"/>
        <w:rPr>
          <w:sz w:val="20"/>
          <w:szCs w:val="20"/>
          <w:color w:val="auto"/>
        </w:rPr>
      </w:pPr>
    </w:p>
    <w:p>
      <w:pPr>
        <w:ind w:right="40" w:firstLine="1369"/>
        <w:spacing w:after="0" w:line="274" w:lineRule="auto"/>
        <w:rPr>
          <w:sz w:val="20"/>
          <w:szCs w:val="20"/>
          <w:color w:val="auto"/>
        </w:rPr>
      </w:pPr>
      <w:r>
        <w:rPr>
          <w:rFonts w:ascii="Arial" w:cs="Arial" w:eastAsia="Arial" w:hAnsi="Arial"/>
          <w:sz w:val="18"/>
          <w:szCs w:val="18"/>
          <w:color w:val="auto"/>
        </w:rPr>
        <w:t>In connection with this opinion, we have examined originals, or copies certified or otherwise identified to our satisfaction, of such documents, corporate records and other instruments as we have deemed necessary or appropriate for the purposes of this opinion. As to various questions of fact material to this opinion, we have relied upon representations of officers or directors of the Company and documents furnished to us by the Company without independent verification of their accuracy. We have also assumed the genuineness of all signatures, the authenticity of all documents submitted to us as originals and the conformity to authentic original documents of all documents submitted to us as copies.</w:t>
      </w:r>
    </w:p>
    <w:p>
      <w:pPr>
        <w:spacing w:after="0" w:line="188" w:lineRule="exact"/>
        <w:rPr>
          <w:sz w:val="20"/>
          <w:szCs w:val="20"/>
          <w:color w:val="auto"/>
        </w:rPr>
      </w:pPr>
    </w:p>
    <w:p>
      <w:pPr>
        <w:ind w:right="140" w:firstLine="1369"/>
        <w:spacing w:after="0" w:line="275" w:lineRule="auto"/>
        <w:rPr>
          <w:sz w:val="20"/>
          <w:szCs w:val="20"/>
          <w:color w:val="auto"/>
        </w:rPr>
      </w:pPr>
      <w:r>
        <w:rPr>
          <w:rFonts w:ascii="Arial" w:cs="Arial" w:eastAsia="Arial" w:hAnsi="Arial"/>
          <w:sz w:val="19"/>
          <w:szCs w:val="19"/>
          <w:color w:val="auto"/>
        </w:rPr>
        <w:t>Based upon and subject to the foregoing, and assuming that: (a) the Registration Statement and any supplements and amendments thereto (including post-effective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646670" cy="3111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3">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36" w:right="120" w:bottom="1440" w:gutter="0" w:footer="0" w:header="0"/>
        </w:sectPr>
      </w:pPr>
    </w:p>
    <w:bookmarkStart w:id="89" w:name="page90"/>
    <w:bookmarkEnd w:id="89"/>
    <w:p>
      <w:pPr>
        <w:spacing w:after="0" w:line="267" w:lineRule="auto"/>
        <w:rPr>
          <w:sz w:val="20"/>
          <w:szCs w:val="20"/>
          <w:color w:val="auto"/>
        </w:rPr>
      </w:pPr>
      <w:r>
        <w:rPr>
          <w:rFonts w:ascii="Arial" w:cs="Arial" w:eastAsia="Arial" w:hAnsi="Arial"/>
          <w:sz w:val="18"/>
          <w:szCs w:val="18"/>
          <w:color w:val="auto"/>
        </w:rPr>
        <w:t>will have become effective and will comply with all applicable laws, (b) the Registration Statement will be effective and will comply with all applicable laws at the time the Debt Securities, Warrants, Rights or Units are offered or issued as contemplated by the Registration Statement, (c) a prospectus supplement will have been prepared and filed with the Commission describing any Debt Securities, Warrants, Rights or Units offered thereby and will comply with all applicable laws, (d) any Debt Securities, Warrants, Rights or Units will be issued and sold in compliance with all applicable Federal and state securities laws and in the manner stated in the Registration Statement and the appropriate prospectus supplement, (e) the Indenture, Warrant Agreement, Rights Agreement and Unit Agreement, each as defined below, will be governed by the laws of the State of New York, (f) a definitive purchase, underwriting or similar agreement with respect to any Debt Securities, Warrants, Rights or Units offered or issued will have been duly authorized and validly executed and delivered by the Company, together with the other parties thereto, (g) none of the terms of the Debt Securities, Warrants, Rights or Units, nor the issuance and delivery of the Debt Securities, Warrants, Rights or Units, nor the compliance by the Company with the terms of the Debt Securities, Warrants, Rights or Units will violate any applicable laws or will result in a violation of any provision of any instrument or agreement then binding upon the Company, or any restriction imposed by any court or governmental body having jurisdiction over the Company and (h) any Securities issuable upon conversion, exchange or exercise of any Security being offered or issued will be duly authorized, created and, if appropriate, reserved for issuance upon such conversion, exchange or exercise, we are of the opinion that:</w:t>
      </w:r>
    </w:p>
    <w:p>
      <w:pPr>
        <w:spacing w:after="0" w:line="201" w:lineRule="exact"/>
        <w:rPr>
          <w:sz w:val="20"/>
          <w:szCs w:val="20"/>
          <w:color w:val="auto"/>
        </w:rPr>
      </w:pPr>
    </w:p>
    <w:p>
      <w:pPr>
        <w:ind w:firstLine="1363"/>
        <w:spacing w:after="0" w:line="286" w:lineRule="auto"/>
        <w:tabs>
          <w:tab w:leader="none" w:pos="20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 respect to the Debt Securities to be issued in one or more series under an indenture (the â€œ</w:t>
      </w:r>
      <w:r>
        <w:rPr>
          <w:rFonts w:ascii="Arial" w:cs="Arial" w:eastAsia="Arial" w:hAnsi="Arial"/>
          <w:sz w:val="17"/>
          <w:szCs w:val="17"/>
          <w:u w:val="single" w:color="auto"/>
          <w:color w:val="auto"/>
        </w:rPr>
        <w:t>Indenture</w:t>
      </w:r>
      <w:r>
        <w:rPr>
          <w:rFonts w:ascii="Arial" w:cs="Arial" w:eastAsia="Arial" w:hAnsi="Arial"/>
          <w:sz w:val="17"/>
          <w:szCs w:val="17"/>
          <w:color w:val="auto"/>
        </w:rPr>
        <w:t>â€ ) to be entered into by the Company and a trustee (the â€œ</w:t>
      </w:r>
      <w:r>
        <w:rPr>
          <w:rFonts w:ascii="Arial" w:cs="Arial" w:eastAsia="Arial" w:hAnsi="Arial"/>
          <w:sz w:val="17"/>
          <w:szCs w:val="17"/>
          <w:u w:val="single" w:color="auto"/>
          <w:color w:val="auto"/>
        </w:rPr>
        <w:t>Trustee</w:t>
      </w:r>
      <w:r>
        <w:rPr>
          <w:rFonts w:ascii="Arial" w:cs="Arial" w:eastAsia="Arial" w:hAnsi="Arial"/>
          <w:sz w:val="17"/>
          <w:szCs w:val="17"/>
          <w:color w:val="auto"/>
        </w:rPr>
        <w:t>â€ ), when (a) the Trustee is qualified to act as Trustee under the Indenture, (b) the Trustee has duly executed and delivered the Indenture, (c) the Indenture has been duly authorized and validly executed and delivered by the Company to the Trustee, (d) the Indenture has been duly qualified under the Trust Indenture Act of 1939, as amended, (e) the board of directors of the Company, a duly constituted and acting committee thereof or any officers of the Company delegated such authority (such board of directors, committee or officers being hereinafter referred to as the â€œ</w:t>
      </w:r>
      <w:r>
        <w:rPr>
          <w:rFonts w:ascii="Arial" w:cs="Arial" w:eastAsia="Arial" w:hAnsi="Arial"/>
          <w:sz w:val="17"/>
          <w:szCs w:val="17"/>
          <w:u w:val="single" w:color="auto"/>
          <w:color w:val="auto"/>
        </w:rPr>
        <w:t>Board</w:t>
      </w:r>
      <w:r>
        <w:rPr>
          <w:rFonts w:ascii="Arial" w:cs="Arial" w:eastAsia="Arial" w:hAnsi="Arial"/>
          <w:sz w:val="17"/>
          <w:szCs w:val="17"/>
          <w:color w:val="auto"/>
        </w:rPr>
        <w:t>â€ ) has taken all necessary corporate action to approve the due and valid issuance and terms of a particular series of Debt Securities, the terms of the offering thereof and related matters and (f) such Debt Securities have been duly executed, authenticated, issued and delivered in accordance with the provisions of the Indenture, including any supplemental indenture related thereto, and the applicable definitive purchase, underwriting or similar agreement approved by the Board, upon payment of the consideration therefor provided for therein, such Debt Securities will constitute valid and binding obligations of the Company, enforceable against the Company in accordance with their terms.</w:t>
      </w:r>
    </w:p>
    <w:p>
      <w:pPr>
        <w:spacing w:after="0" w:line="180" w:lineRule="exact"/>
        <w:rPr>
          <w:rFonts w:ascii="Arial" w:cs="Arial" w:eastAsia="Arial" w:hAnsi="Arial"/>
          <w:sz w:val="17"/>
          <w:szCs w:val="17"/>
          <w:color w:val="auto"/>
        </w:rPr>
      </w:pPr>
    </w:p>
    <w:p>
      <w:pPr>
        <w:ind w:firstLine="1363"/>
        <w:spacing w:after="0" w:line="294" w:lineRule="auto"/>
        <w:tabs>
          <w:tab w:leader="none" w:pos="2053" w:val="left"/>
        </w:tabs>
        <w:numPr>
          <w:ilvl w:val="0"/>
          <w:numId w:val="43"/>
        </w:numPr>
        <w:rPr>
          <w:rFonts w:ascii="Arial" w:cs="Arial" w:eastAsia="Arial" w:hAnsi="Arial"/>
          <w:sz w:val="17"/>
          <w:szCs w:val="17"/>
          <w:color w:val="auto"/>
        </w:rPr>
      </w:pPr>
      <w:r>
        <w:rPr>
          <w:rFonts w:ascii="Arial" w:cs="Arial" w:eastAsia="Arial" w:hAnsi="Arial"/>
          <w:sz w:val="17"/>
          <w:szCs w:val="17"/>
          <w:color w:val="auto"/>
        </w:rPr>
        <w:t>With respect to the Warrants to be issued in one or more series under a warrant agreement (the â€œ</w:t>
      </w:r>
      <w:r>
        <w:rPr>
          <w:rFonts w:ascii="Arial" w:cs="Arial" w:eastAsia="Arial" w:hAnsi="Arial"/>
          <w:sz w:val="17"/>
          <w:szCs w:val="17"/>
          <w:u w:val="single" w:color="auto"/>
          <w:color w:val="auto"/>
        </w:rPr>
        <w:t>Warrant Agreement</w:t>
      </w:r>
      <w:r>
        <w:rPr>
          <w:rFonts w:ascii="Arial" w:cs="Arial" w:eastAsia="Arial" w:hAnsi="Arial"/>
          <w:sz w:val="17"/>
          <w:szCs w:val="17"/>
          <w:color w:val="auto"/>
        </w:rPr>
        <w:t>â€ ) to be entered into by the Company and a warrant agent (the â€œ</w:t>
      </w:r>
      <w:r>
        <w:rPr>
          <w:rFonts w:ascii="Arial" w:cs="Arial" w:eastAsia="Arial" w:hAnsi="Arial"/>
          <w:sz w:val="17"/>
          <w:szCs w:val="17"/>
          <w:u w:val="single" w:color="auto"/>
          <w:color w:val="auto"/>
        </w:rPr>
        <w:t>Warrant Agent</w:t>
      </w:r>
      <w:r>
        <w:rPr>
          <w:rFonts w:ascii="Arial" w:cs="Arial" w:eastAsia="Arial" w:hAnsi="Arial"/>
          <w:sz w:val="17"/>
          <w:szCs w:val="17"/>
          <w:color w:val="auto"/>
        </w:rPr>
        <w:t>â€ ), when (a) the Warrant Agent has duly executed and delivered the Warrant Agreement, (b) the Warrant Agreement has been duly authorized and validly executed and delivered by the Company to the Warrant Agent, (c) the Board has taken all necessary corporate action to approve the due and valid issuance and terms of a particular series of Warrants, the terms of the offering thereof and related matters and (d) such Warrants have been duly executed, countersigned, registered and delivered in accordance with the provisions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646670" cy="311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4">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60"/>
          </w:cols>
          <w:pgMar w:left="120" w:top="213" w:right="160" w:bottom="1440" w:gutter="0" w:footer="0" w:header="0"/>
        </w:sectPr>
      </w:pPr>
    </w:p>
    <w:bookmarkStart w:id="90" w:name="page91"/>
    <w:bookmarkEnd w:id="90"/>
    <w:p>
      <w:pPr>
        <w:jc w:val="both"/>
        <w:ind w:left="6" w:right="260"/>
        <w:spacing w:after="0" w:line="263" w:lineRule="auto"/>
        <w:rPr>
          <w:sz w:val="20"/>
          <w:szCs w:val="20"/>
          <w:color w:val="auto"/>
        </w:rPr>
      </w:pPr>
      <w:r>
        <w:rPr>
          <w:rFonts w:ascii="Arial" w:cs="Arial" w:eastAsia="Arial" w:hAnsi="Arial"/>
          <w:sz w:val="19"/>
          <w:szCs w:val="19"/>
          <w:color w:val="auto"/>
        </w:rPr>
        <w:t>Warrant Agreement and the applicable definitive purchase, underwriting or similar agreement approved by the Board, upon payment of the consideration therefor provided for therein, such Warrants will constitute valid and binding obligations of the Company, enforceable against the Company in accordance with their terms.</w:t>
      </w:r>
    </w:p>
    <w:p>
      <w:pPr>
        <w:spacing w:after="0" w:line="194" w:lineRule="exact"/>
        <w:rPr>
          <w:sz w:val="20"/>
          <w:szCs w:val="20"/>
          <w:color w:val="auto"/>
        </w:rPr>
      </w:pPr>
    </w:p>
    <w:p>
      <w:pPr>
        <w:ind w:left="6" w:right="120" w:firstLine="1363"/>
        <w:spacing w:after="0" w:line="289" w:lineRule="auto"/>
        <w:tabs>
          <w:tab w:leader="none" w:pos="2059" w:val="left"/>
        </w:tabs>
        <w:numPr>
          <w:ilvl w:val="0"/>
          <w:numId w:val="44"/>
        </w:numPr>
        <w:rPr>
          <w:rFonts w:ascii="Arial" w:cs="Arial" w:eastAsia="Arial" w:hAnsi="Arial"/>
          <w:sz w:val="17"/>
          <w:szCs w:val="17"/>
          <w:color w:val="auto"/>
        </w:rPr>
      </w:pPr>
      <w:r>
        <w:rPr>
          <w:rFonts w:ascii="Arial" w:cs="Arial" w:eastAsia="Arial" w:hAnsi="Arial"/>
          <w:sz w:val="17"/>
          <w:szCs w:val="17"/>
          <w:color w:val="auto"/>
        </w:rPr>
        <w:t>With respect to the Rights to be issued in one or more series under a rights agreement (the â€œ</w:t>
      </w:r>
      <w:r>
        <w:rPr>
          <w:rFonts w:ascii="Arial" w:cs="Arial" w:eastAsia="Arial" w:hAnsi="Arial"/>
          <w:sz w:val="17"/>
          <w:szCs w:val="17"/>
          <w:u w:val="single" w:color="auto"/>
          <w:color w:val="auto"/>
        </w:rPr>
        <w:t>Rights Agreement</w:t>
      </w:r>
      <w:r>
        <w:rPr>
          <w:rFonts w:ascii="Arial" w:cs="Arial" w:eastAsia="Arial" w:hAnsi="Arial"/>
          <w:sz w:val="17"/>
          <w:szCs w:val="17"/>
          <w:color w:val="auto"/>
        </w:rPr>
        <w:t>â€ ) to be entered into by the Company and a rights agent (the â€œ</w:t>
      </w:r>
      <w:r>
        <w:rPr>
          <w:rFonts w:ascii="Arial" w:cs="Arial" w:eastAsia="Arial" w:hAnsi="Arial"/>
          <w:sz w:val="17"/>
          <w:szCs w:val="17"/>
          <w:u w:val="single" w:color="auto"/>
          <w:color w:val="auto"/>
        </w:rPr>
        <w:t>Rights Agent</w:t>
      </w:r>
      <w:r>
        <w:rPr>
          <w:rFonts w:ascii="Arial" w:cs="Arial" w:eastAsia="Arial" w:hAnsi="Arial"/>
          <w:sz w:val="17"/>
          <w:szCs w:val="17"/>
          <w:color w:val="auto"/>
        </w:rPr>
        <w:t>â€ ), when (a) the Rights Agent has duly executed and delivered the Rights Agreement, (b) the Rights Agreement has been duly authorized and validly executed and delivered by the Company to the Rights Agent, (c) the Board has taken all necessary corporate action to approve the due and valid issuance and terms of a particular series of Rights, the terms of the offering thereof and related matters and (d) such Rights have been duly executed and delivered in accordance with the provisions of the Rights Agreement and the applicable definitive purchase, underwriting or similar agreement approved by the Board, upon payment of the consideration therefor provided for therein, such Rights will constitute valid and binding obligations of the Company, enforceable against the Company in accordance with their terms.</w:t>
      </w:r>
    </w:p>
    <w:p>
      <w:pPr>
        <w:spacing w:after="0" w:line="177" w:lineRule="exact"/>
        <w:rPr>
          <w:rFonts w:ascii="Arial" w:cs="Arial" w:eastAsia="Arial" w:hAnsi="Arial"/>
          <w:sz w:val="17"/>
          <w:szCs w:val="17"/>
          <w:color w:val="auto"/>
        </w:rPr>
      </w:pPr>
    </w:p>
    <w:p>
      <w:pPr>
        <w:ind w:left="6" w:firstLine="1363"/>
        <w:spacing w:after="0" w:line="271" w:lineRule="auto"/>
        <w:tabs>
          <w:tab w:leader="none" w:pos="2059" w:val="left"/>
        </w:tabs>
        <w:numPr>
          <w:ilvl w:val="0"/>
          <w:numId w:val="44"/>
        </w:numPr>
        <w:rPr>
          <w:rFonts w:ascii="Arial" w:cs="Arial" w:eastAsia="Arial" w:hAnsi="Arial"/>
          <w:sz w:val="18"/>
          <w:szCs w:val="18"/>
          <w:color w:val="auto"/>
        </w:rPr>
      </w:pPr>
      <w:r>
        <w:rPr>
          <w:rFonts w:ascii="Arial" w:cs="Arial" w:eastAsia="Arial" w:hAnsi="Arial"/>
          <w:sz w:val="18"/>
          <w:szCs w:val="18"/>
          <w:color w:val="auto"/>
        </w:rPr>
        <w:t>With respect to the Units to be issued in one or more series under a unit agreement (the â€œ</w:t>
      </w:r>
      <w:r>
        <w:rPr>
          <w:rFonts w:ascii="Arial" w:cs="Arial" w:eastAsia="Arial" w:hAnsi="Arial"/>
          <w:sz w:val="18"/>
          <w:szCs w:val="18"/>
          <w:u w:val="single" w:color="auto"/>
          <w:color w:val="auto"/>
        </w:rPr>
        <w:t>Unit Agreement</w:t>
      </w:r>
      <w:r>
        <w:rPr>
          <w:rFonts w:ascii="Arial" w:cs="Arial" w:eastAsia="Arial" w:hAnsi="Arial"/>
          <w:sz w:val="18"/>
          <w:szCs w:val="18"/>
          <w:color w:val="auto"/>
        </w:rPr>
        <w:t>â€ ) to be entered into by the Company and a unit agent (the â€œ</w:t>
      </w:r>
      <w:r>
        <w:rPr>
          <w:rFonts w:ascii="Arial" w:cs="Arial" w:eastAsia="Arial" w:hAnsi="Arial"/>
          <w:sz w:val="18"/>
          <w:szCs w:val="18"/>
          <w:u w:val="single" w:color="auto"/>
          <w:color w:val="auto"/>
        </w:rPr>
        <w:t>Unit Agent</w:t>
      </w:r>
      <w:r>
        <w:rPr>
          <w:rFonts w:ascii="Arial" w:cs="Arial" w:eastAsia="Arial" w:hAnsi="Arial"/>
          <w:sz w:val="18"/>
          <w:szCs w:val="18"/>
          <w:color w:val="auto"/>
        </w:rPr>
        <w:t>â€ ), when (a) the Unit Agent has duly executed and delivered the Unit Agreement, (b) the Unit Agreement has been duly authorized and validly executed and delivered by the Company to the Unit Agent, (c) the Board has taken all necessary corporate action to approve the due and valid issuance and terms of a particular series of Units, the terms of the offering thereof and related matters and (d) such Units have been duly executed and delivered in accordance with the provisions of the Unit Agreement and the applicable definitive purchase, underwriting or similar agreement approved by the Board, upon payment of the consideration therefor provided for therein, such Units will constitute valid and binding obligations of the Company, enforceable against the Company in accordance with their terms.</w:t>
      </w:r>
    </w:p>
    <w:p>
      <w:pPr>
        <w:spacing w:after="0" w:line="189" w:lineRule="exact"/>
        <w:rPr>
          <w:sz w:val="20"/>
          <w:szCs w:val="20"/>
          <w:color w:val="auto"/>
        </w:rPr>
      </w:pPr>
    </w:p>
    <w:p>
      <w:pPr>
        <w:ind w:left="6" w:firstLine="1369"/>
        <w:spacing w:after="0" w:line="277" w:lineRule="auto"/>
        <w:rPr>
          <w:sz w:val="20"/>
          <w:szCs w:val="20"/>
          <w:color w:val="auto"/>
        </w:rPr>
      </w:pPr>
      <w:r>
        <w:rPr>
          <w:rFonts w:ascii="Arial" w:cs="Arial" w:eastAsia="Arial" w:hAnsi="Arial"/>
          <w:sz w:val="18"/>
          <w:szCs w:val="18"/>
          <w:color w:val="auto"/>
        </w:rPr>
        <w:t>Our opinions in paragraphs 1 through 4 above are subject to the qualification that the enforceability of any Debt Securities, Warrants, Rights or Units against the Company is subject to applicable bankruptcy, insolvency, fraudulent transfer, reorganization, moratorium and similar laws relating to or affecting creditorsâ€™ rights generally and by general principles of equity, including, without limitation, concepts of materiality, reasonableness, good faith and fair dealing, regardless of whether such enforceability is considered in proceeding in equity or at law.</w:t>
      </w:r>
    </w:p>
    <w:p>
      <w:pPr>
        <w:spacing w:after="0" w:line="185" w:lineRule="exact"/>
        <w:rPr>
          <w:sz w:val="20"/>
          <w:szCs w:val="20"/>
          <w:color w:val="auto"/>
        </w:rPr>
      </w:pPr>
    </w:p>
    <w:p>
      <w:pPr>
        <w:ind w:left="6" w:right="40" w:firstLine="1369"/>
        <w:spacing w:after="0" w:line="285" w:lineRule="auto"/>
        <w:rPr>
          <w:sz w:val="20"/>
          <w:szCs w:val="20"/>
          <w:color w:val="auto"/>
        </w:rPr>
      </w:pPr>
      <w:r>
        <w:rPr>
          <w:rFonts w:ascii="Arial" w:cs="Arial" w:eastAsia="Arial" w:hAnsi="Arial"/>
          <w:sz w:val="17"/>
          <w:szCs w:val="17"/>
          <w:color w:val="auto"/>
        </w:rPr>
        <w:t>We express no opinion herein as to any provision of the Indenture, Warrant Agreement, Rights Agreement or Unit Agreement or the Debt Securities, Warrants, Rights or Units that (a) relates to the subject matter jurisdiction of any Federal court of the United States of America, or any Federal appellate court, to adjudicate any controversy related thereto, (b) contains a waiver of an inconvenient forum, (c) relates to the waiver of rights to jury trial or</w:t>
      </w:r>
    </w:p>
    <w:p>
      <w:pPr>
        <w:spacing w:after="0" w:line="1" w:lineRule="exact"/>
        <w:rPr>
          <w:sz w:val="20"/>
          <w:szCs w:val="20"/>
          <w:color w:val="auto"/>
        </w:rPr>
      </w:pPr>
    </w:p>
    <w:p>
      <w:pPr>
        <w:ind w:left="6" w:right="120" w:hanging="6"/>
        <w:spacing w:after="0" w:line="254" w:lineRule="auto"/>
        <w:tabs>
          <w:tab w:leader="none" w:pos="275" w:val="left"/>
        </w:tabs>
        <w:numPr>
          <w:ilvl w:val="0"/>
          <w:numId w:val="45"/>
        </w:numPr>
        <w:rPr>
          <w:rFonts w:ascii="Arial" w:cs="Arial" w:eastAsia="Arial" w:hAnsi="Arial"/>
          <w:sz w:val="19"/>
          <w:szCs w:val="19"/>
          <w:color w:val="auto"/>
        </w:rPr>
      </w:pPr>
      <w:r>
        <w:rPr>
          <w:rFonts w:ascii="Arial" w:cs="Arial" w:eastAsia="Arial" w:hAnsi="Arial"/>
          <w:sz w:val="19"/>
          <w:szCs w:val="19"/>
          <w:color w:val="auto"/>
        </w:rPr>
        <w:t>provides for indemnification, contribution or limitations on liability. We also express no opinion as to (i) the enforceability of the provisions of the Indenture, Warrant Agreement, Rights Agreement or Unit Agreement or the Debt Securities, Warrants, Rights or Units to the extent that such provisions constitute a waiver of illegality as a defense to performance of contract obligations or any other defense to performance which cannot, as a matter of law, be effectively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208280</wp:posOffset>
            </wp:positionV>
            <wp:extent cx="7646670" cy="3111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5">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1986"/>
          </w:cols>
          <w:pgMar w:left="114" w:top="213" w:right="140" w:bottom="1440" w:gutter="0" w:footer="0" w:header="0"/>
        </w:sectPr>
      </w:pPr>
    </w:p>
    <w:bookmarkStart w:id="91" w:name="page92"/>
    <w:bookmarkEnd w:id="91"/>
    <w:p>
      <w:pPr>
        <w:ind w:right="320"/>
        <w:spacing w:after="0" w:line="275" w:lineRule="auto"/>
        <w:rPr>
          <w:sz w:val="20"/>
          <w:szCs w:val="20"/>
          <w:color w:val="auto"/>
        </w:rPr>
      </w:pPr>
      <w:r>
        <w:rPr>
          <w:rFonts w:ascii="Arial" w:cs="Arial" w:eastAsia="Arial" w:hAnsi="Arial"/>
          <w:sz w:val="19"/>
          <w:szCs w:val="19"/>
          <w:color w:val="auto"/>
        </w:rPr>
        <w:t>waived or (ii) whether a state court outside the State of New York or a Federal court of the United States would give effect to the choice of New York law provided for therein.</w:t>
      </w:r>
    </w:p>
    <w:p>
      <w:pPr>
        <w:spacing w:after="0" w:line="184" w:lineRule="exact"/>
        <w:rPr>
          <w:sz w:val="20"/>
          <w:szCs w:val="20"/>
          <w:color w:val="auto"/>
        </w:rPr>
      </w:pPr>
    </w:p>
    <w:p>
      <w:pPr>
        <w:ind w:firstLine="1369"/>
        <w:spacing w:after="0" w:line="256" w:lineRule="auto"/>
        <w:rPr>
          <w:sz w:val="20"/>
          <w:szCs w:val="20"/>
          <w:color w:val="auto"/>
        </w:rPr>
      </w:pPr>
      <w:r>
        <w:rPr>
          <w:rFonts w:ascii="Arial" w:cs="Arial" w:eastAsia="Arial" w:hAnsi="Arial"/>
          <w:sz w:val="19"/>
          <w:szCs w:val="19"/>
          <w:color w:val="auto"/>
        </w:rPr>
        <w:t>Courts in the United States have not customarily rendered judgments for money damages denominated in any currency other than United States dollars. Section 27(b) of the Judiciary Law of the State of New York provides, however, that a judgment or decree in an action based upon an obligation denominated in a currency other than United States dollars shall be rendered in the foreign currency of the underlying obligation and converted into United States dollars at the rate of exchange prevailing on the date of the entry of the judgment or decree. We express no opinion as to whether a Federal court would render a judgment other than in United States dollars.</w:t>
      </w:r>
    </w:p>
    <w:p>
      <w:pPr>
        <w:spacing w:after="0" w:line="204" w:lineRule="exact"/>
        <w:rPr>
          <w:sz w:val="20"/>
          <w:szCs w:val="20"/>
          <w:color w:val="auto"/>
        </w:rPr>
      </w:pPr>
    </w:p>
    <w:p>
      <w:pPr>
        <w:ind w:right="120" w:firstLine="1369"/>
        <w:spacing w:after="0" w:line="259" w:lineRule="auto"/>
        <w:rPr>
          <w:sz w:val="20"/>
          <w:szCs w:val="20"/>
          <w:color w:val="auto"/>
        </w:rPr>
      </w:pPr>
      <w:r>
        <w:rPr>
          <w:rFonts w:ascii="Arial" w:cs="Arial" w:eastAsia="Arial" w:hAnsi="Arial"/>
          <w:sz w:val="19"/>
          <w:szCs w:val="19"/>
          <w:color w:val="auto"/>
        </w:rPr>
        <w:t>We are admitted to practice in the State of New York and express no opinion as to matters governed by any laws other than the laws of the State of New York and the Federal laws of the United States of America. In particular, we do not purport to pass on any matter governed by the laws of Bermuda. With respect to all matters of Bermuda law, we note that you are being provided with the opinion, dated the date hereof, of Conyers Dill &amp; Pearman Limited, special counsel on Bermuda law to the Company.</w:t>
      </w:r>
    </w:p>
    <w:p>
      <w:pPr>
        <w:spacing w:after="0" w:line="198" w:lineRule="exact"/>
        <w:rPr>
          <w:sz w:val="20"/>
          <w:szCs w:val="20"/>
          <w:color w:val="auto"/>
        </w:rPr>
      </w:pPr>
    </w:p>
    <w:p>
      <w:pPr>
        <w:ind w:right="120" w:firstLine="1369"/>
        <w:spacing w:after="0" w:line="298" w:lineRule="auto"/>
        <w:rPr>
          <w:sz w:val="20"/>
          <w:szCs w:val="20"/>
          <w:color w:val="auto"/>
        </w:rPr>
      </w:pPr>
      <w:r>
        <w:rPr>
          <w:rFonts w:ascii="Arial" w:cs="Arial" w:eastAsia="Arial" w:hAnsi="Arial"/>
          <w:sz w:val="17"/>
          <w:szCs w:val="17"/>
          <w:color w:val="auto"/>
        </w:rPr>
        <w:t>We understand that we may be referred to as counsel for certain matters relating to United States law in the prospectus and in any prospectus supplement forming a part of the Registration Statement, and we hereby consent to such use of our name in the Registration Statement and to the use of this opinion for filing with the Registration Statement as Exhibit 5.2 thereto. In giving this consent, we do not hereby admit that we are within the category of persons whose consent is required under Section 7 of the Securities Act or the rules and regulations of the Commission promulgated thereunder.</w:t>
      </w:r>
    </w:p>
    <w:p>
      <w:pPr>
        <w:spacing w:after="0" w:line="170"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Very truly yours,</w:t>
      </w:r>
    </w:p>
    <w:p>
      <w:pPr>
        <w:spacing w:after="0" w:line="238" w:lineRule="exact"/>
        <w:rPr>
          <w:sz w:val="20"/>
          <w:szCs w:val="20"/>
          <w:color w:val="auto"/>
        </w:rPr>
      </w:pPr>
    </w:p>
    <w:p>
      <w:pPr>
        <w:ind w:left="6000"/>
        <w:spacing w:after="0"/>
        <w:rPr>
          <w:sz w:val="20"/>
          <w:szCs w:val="20"/>
          <w:color w:val="auto"/>
        </w:rPr>
      </w:pPr>
      <w:r>
        <w:rPr>
          <w:rFonts w:ascii="Arial" w:cs="Arial" w:eastAsia="Arial" w:hAnsi="Arial"/>
          <w:sz w:val="19"/>
          <w:szCs w:val="19"/>
          <w:color w:val="auto"/>
        </w:rPr>
        <w:t>/s/ Cravath, Swaine &amp; Moore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GasLog Ltd.</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9"/>
          <w:szCs w:val="19"/>
          <w:color w:val="auto"/>
        </w:rPr>
        <w:t>c/o GasLog Monaco S.A.M.</w:t>
      </w:r>
    </w:p>
    <w:p>
      <w:pPr>
        <w:spacing w:after="0" w:line="10" w:lineRule="exact"/>
        <w:rPr>
          <w:sz w:val="20"/>
          <w:szCs w:val="20"/>
          <w:color w:val="auto"/>
        </w:rPr>
      </w:pPr>
    </w:p>
    <w:p>
      <w:pPr>
        <w:ind w:left="380"/>
        <w:spacing w:after="0"/>
        <w:rPr>
          <w:sz w:val="20"/>
          <w:szCs w:val="20"/>
          <w:color w:val="auto"/>
        </w:rPr>
      </w:pPr>
      <w:r>
        <w:rPr>
          <w:rFonts w:ascii="Arial" w:cs="Arial" w:eastAsia="Arial" w:hAnsi="Arial"/>
          <w:sz w:val="19"/>
          <w:szCs w:val="19"/>
          <w:color w:val="auto"/>
        </w:rPr>
        <w:t>Gildo Pastor Center</w:t>
      </w:r>
    </w:p>
    <w:p>
      <w:pPr>
        <w:spacing w:after="0" w:line="10" w:lineRule="exact"/>
        <w:rPr>
          <w:sz w:val="20"/>
          <w:szCs w:val="20"/>
          <w:color w:val="auto"/>
        </w:rPr>
      </w:pPr>
    </w:p>
    <w:p>
      <w:pPr>
        <w:ind w:left="560"/>
        <w:spacing w:after="0"/>
        <w:rPr>
          <w:sz w:val="20"/>
          <w:szCs w:val="20"/>
          <w:color w:val="auto"/>
        </w:rPr>
      </w:pPr>
      <w:r>
        <w:rPr>
          <w:rFonts w:ascii="Arial" w:cs="Arial" w:eastAsia="Arial" w:hAnsi="Arial"/>
          <w:sz w:val="19"/>
          <w:szCs w:val="19"/>
          <w:color w:val="auto"/>
        </w:rPr>
        <w:t>7 Rue du Gabian</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19"/>
          <w:szCs w:val="19"/>
          <w:color w:val="auto"/>
        </w:rPr>
        <w:t>MC 98000</w:t>
      </w:r>
    </w:p>
    <w:p>
      <w:pPr>
        <w:spacing w:after="0" w:line="1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222250</wp:posOffset>
            </wp:positionV>
            <wp:extent cx="7646670" cy="311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6">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p>
      <w:pPr>
        <w:sectPr>
          <w:pgSz w:w="12240" w:h="15840" w:orient="portrait"/>
          <w:cols w:equalWidth="0" w:num="1">
            <w:col w:w="12000"/>
          </w:cols>
          <w:pgMar w:left="120" w:top="213" w:right="120" w:bottom="1440" w:gutter="0" w:footer="0" w:header="0"/>
        </w:sectPr>
      </w:pPr>
    </w:p>
    <w:bookmarkStart w:id="92" w:name="page93"/>
    <w:bookmarkEnd w:id="92"/>
    <w:p>
      <w:pPr>
        <w:jc w:val="right"/>
        <w:spacing w:after="0"/>
        <w:rPr>
          <w:sz w:val="20"/>
          <w:szCs w:val="20"/>
          <w:color w:val="auto"/>
        </w:rPr>
      </w:pPr>
      <w:r>
        <w:rPr>
          <w:rFonts w:ascii="Arial" w:cs="Arial" w:eastAsia="Arial" w:hAnsi="Arial"/>
          <w:sz w:val="19"/>
          <w:szCs w:val="19"/>
          <w:b w:val="1"/>
          <w:bCs w:val="1"/>
          <w:color w:val="auto"/>
        </w:rPr>
        <w:t>Exhibit 23.1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Consent of Independent Registered Public Accounting Firm</w:t>
      </w:r>
    </w:p>
    <w:p>
      <w:pPr>
        <w:spacing w:after="0" w:line="244" w:lineRule="exact"/>
        <w:rPr>
          <w:sz w:val="20"/>
          <w:szCs w:val="20"/>
          <w:color w:val="auto"/>
        </w:rPr>
      </w:pPr>
    </w:p>
    <w:p>
      <w:pPr>
        <w:ind w:right="140"/>
        <w:spacing w:after="0" w:line="256" w:lineRule="auto"/>
        <w:rPr>
          <w:sz w:val="20"/>
          <w:szCs w:val="20"/>
          <w:color w:val="auto"/>
        </w:rPr>
      </w:pPr>
      <w:r>
        <w:rPr>
          <w:rFonts w:ascii="Arial" w:cs="Arial" w:eastAsia="Arial" w:hAnsi="Arial"/>
          <w:sz w:val="19"/>
          <w:szCs w:val="19"/>
          <w:color w:val="auto"/>
        </w:rPr>
        <w:t>We consent to the incorporation by reference in this Registration Statement on Form F-3 of our report dated March 5, 2019, relating to the consolidated financial statements of GasLog Ltd. (the â€œCompanyâ€ ) as of December 31, 2018 and December 31, 2017, and for each of the years in the three year period ended December 31, 2018, and the effectiveness of GasLog Ltdâ€™s internal control over financial reporting as of December 31, 2018, appearing in the Annual Report on Form 20-F of the Company for the year ended December 31, 2018. We also consent to the reference to us under the heading â€œExpertsâ€ in the Prospectus which is part of this Registration Statement.</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9"/>
          <w:szCs w:val="19"/>
          <w:color w:val="auto"/>
        </w:rPr>
        <w:t>/s/ Deloitte LLP</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London, United Kingdom</w:t>
      </w:r>
    </w:p>
    <w:p>
      <w:pPr>
        <w:spacing w:after="0" w:line="238" w:lineRule="exact"/>
        <w:rPr>
          <w:sz w:val="20"/>
          <w:szCs w:val="20"/>
          <w:color w:val="auto"/>
        </w:rPr>
      </w:pPr>
    </w:p>
    <w:p>
      <w:pPr>
        <w:spacing w:after="0"/>
        <w:rPr>
          <w:sz w:val="20"/>
          <w:szCs w:val="20"/>
          <w:color w:val="auto"/>
        </w:rPr>
      </w:pPr>
      <w:r>
        <w:rPr>
          <w:rFonts w:ascii="Arial" w:cs="Arial" w:eastAsia="Arial" w:hAnsi="Arial"/>
          <w:sz w:val="19"/>
          <w:szCs w:val="19"/>
          <w:color w:val="auto"/>
        </w:rPr>
        <w:t>March 12,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230505</wp:posOffset>
            </wp:positionV>
            <wp:extent cx="7646670" cy="311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7">
                      <a:extLst>
                        <a:ext uri="{28A0092B-C50C-407E-A947-70E740481C1C}"/>
                      </a:extLst>
                    </a:blip>
                    <a:srcRect/>
                    <a:stretch>
                      <a:fillRect/>
                    </a:stretch>
                  </pic:blipFill>
                  <pic:spPr bwMode="auto">
                    <a:xfrm>
                      <a:off x="0" y="0"/>
                      <a:ext cx="7646670" cy="31115"/>
                    </a:xfrm>
                    <a:prstGeom prst="rect">
                      <a:avLst/>
                    </a:prstGeom>
                    <a:noFill/>
                  </pic:spPr>
                </pic:pic>
              </a:graphicData>
            </a:graphic>
          </wp:anchor>
        </w:drawing>
      </w:r>
    </w:p>
    <w:sectPr>
      <w:pgSz w:w="12240" w:h="15840" w:orient="portrait"/>
      <w:cols w:equalWidth="0" w:num="1">
        <w:col w:w="12000"/>
      </w:cols>
      <w:pgMar w:left="120" w:top="236" w:right="12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D1D5AE9"/>
    <w:multiLevelType w:val="hybridMultilevel"/>
    <w:lvl w:ilvl="0">
      <w:lvlJc w:val="left"/>
      <w:lvlText w:val="(%1)"/>
      <w:numFmt w:val="decimal"/>
      <w:start w:val="1"/>
    </w:lvl>
  </w:abstractNum>
  <w:abstractNum w:abstractNumId="1">
    <w:nsid w:val="6763845E"/>
    <w:multiLevelType w:val="hybridMultilevel"/>
    <w:lvl w:ilvl="0">
      <w:lvlJc w:val="left"/>
      <w:lvlText w:val="*"/>
      <w:numFmt w:val="bullet"/>
      <w:start w:val="1"/>
    </w:lvl>
  </w:abstractNum>
  <w:abstractNum w:abstractNumId="2">
    <w:nsid w:val="75A2A8D4"/>
    <w:multiLevelType w:val="hybridMultilevel"/>
    <w:lvl w:ilvl="0">
      <w:lvlJc w:val="left"/>
      <w:lvlText w:val="(%1)"/>
      <w:numFmt w:val="decimal"/>
      <w:start w:val="1"/>
    </w:lvl>
  </w:abstractNum>
  <w:abstractNum w:abstractNumId="3">
    <w:nsid w:val="8EDBDAB"/>
    <w:multiLevelType w:val="hybridMultilevel"/>
    <w:lvl w:ilvl="0">
      <w:lvlJc w:val="left"/>
      <w:lvlText w:val="(%1)"/>
      <w:numFmt w:val="lowerRoman"/>
      <w:start w:val="1"/>
    </w:lvl>
  </w:abstractNum>
  <w:abstractNum w:abstractNumId="4">
    <w:nsid w:val="79838CB2"/>
    <w:multiLevelType w:val="hybridMultilevel"/>
    <w:lvl w:ilvl="0">
      <w:lvlJc w:val="left"/>
      <w:lvlText w:val="(%1)"/>
      <w:numFmt w:val="lowerRoman"/>
      <w:start w:val="3"/>
    </w:lvl>
  </w:abstractNum>
  <w:abstractNum w:abstractNumId="5">
    <w:nsid w:val="4353D0CD"/>
    <w:multiLevelType w:val="hybridMultilevel"/>
    <w:lvl w:ilvl="0">
      <w:lvlJc w:val="left"/>
      <w:lvlText w:val="(%1)"/>
      <w:numFmt w:val="upperLetter"/>
      <w:start w:val="1"/>
    </w:lvl>
  </w:abstractNum>
  <w:abstractNum w:abstractNumId="6">
    <w:nsid w:val="B03E0C6"/>
    <w:multiLevelType w:val="hybridMultilevel"/>
    <w:lvl w:ilvl="0">
      <w:lvlJc w:val="left"/>
      <w:lvlText w:val="(%1)"/>
      <w:numFmt w:val="lowerRoman"/>
      <w:start w:val="1"/>
    </w:lvl>
    <w:lvl w:ilvl="1">
      <w:lvlJc w:val="left"/>
      <w:lvlText w:val="(%2)"/>
      <w:numFmt w:val="lowerRoman"/>
      <w:start w:val="3"/>
    </w:lvl>
  </w:abstractNum>
  <w:abstractNum w:abstractNumId="7">
    <w:nsid w:val="189A769B"/>
    <w:multiLevelType w:val="hybridMultilevel"/>
    <w:lvl w:ilvl="0">
      <w:lvlJc w:val="left"/>
      <w:lvlText w:val="(%1)"/>
      <w:numFmt w:val="decimal"/>
      <w:start w:val="1"/>
    </w:lvl>
  </w:abstractNum>
  <w:abstractNum w:abstractNumId="8">
    <w:nsid w:val="54E49EB4"/>
    <w:multiLevelType w:val="hybridMultilevel"/>
    <w:lvl w:ilvl="0">
      <w:lvlJc w:val="left"/>
      <w:lvlText w:val="(%1)"/>
      <w:numFmt w:val="decimal"/>
      <w:start w:val="6"/>
    </w:lvl>
  </w:abstractNum>
  <w:abstractNum w:abstractNumId="9">
    <w:nsid w:val="71F32454"/>
    <w:multiLevelType w:val="hybridMultilevel"/>
    <w:lvl w:ilvl="0">
      <w:lvlJc w:val="left"/>
      <w:lvlText w:val="["/>
      <w:numFmt w:val="bullet"/>
      <w:start w:val="1"/>
    </w:lvl>
  </w:abstractNum>
  <w:abstractNum w:abstractNumId="10">
    <w:nsid w:val="2CA88611"/>
    <w:multiLevelType w:val="hybridMultilevel"/>
    <w:lvl w:ilvl="0">
      <w:lvlJc w:val="left"/>
      <w:lvlText w:val="(%1)"/>
      <w:numFmt w:val="lowerLetter"/>
      <w:start w:val="1"/>
    </w:lvl>
  </w:abstractNum>
  <w:abstractNum w:abstractNumId="11">
    <w:nsid w:val="836C40E"/>
    <w:multiLevelType w:val="hybridMultilevel"/>
    <w:lvl w:ilvl="0">
      <w:lvlJc w:val="left"/>
      <w:lvlText w:val="(%1)"/>
      <w:numFmt w:val="lowerLetter"/>
      <w:start w:val="2"/>
    </w:lvl>
  </w:abstractNum>
  <w:abstractNum w:abstractNumId="12">
    <w:nsid w:val="2901D82"/>
    <w:multiLevelType w:val="hybridMultilevel"/>
    <w:lvl w:ilvl="0">
      <w:lvlJc w:val="left"/>
      <w:lvlText w:val="["/>
      <w:numFmt w:val="bullet"/>
      <w:start w:val="1"/>
    </w:lvl>
  </w:abstractNum>
  <w:abstractNum w:abstractNumId="13">
    <w:nsid w:val="3A95F874"/>
    <w:multiLevelType w:val="hybridMultilevel"/>
    <w:lvl w:ilvl="0">
      <w:lvlJc w:val="left"/>
      <w:lvlText w:val="(%1)"/>
      <w:numFmt w:val="lowerLetter"/>
      <w:start w:val="1"/>
    </w:lvl>
  </w:abstractNum>
  <w:abstractNum w:abstractNumId="14">
    <w:nsid w:val="8138641"/>
    <w:multiLevelType w:val="hybridMultilevel"/>
    <w:lvl w:ilvl="0">
      <w:lvlJc w:val="left"/>
      <w:lvlText w:val="(%1)"/>
      <w:numFmt w:val="lowerLetter"/>
      <w:start w:val="3"/>
    </w:lvl>
  </w:abstractNum>
  <w:abstractNum w:abstractNumId="15">
    <w:nsid w:val="1E7FF521"/>
    <w:multiLevelType w:val="hybridMultilevel"/>
    <w:lvl w:ilvl="0">
      <w:lvlJc w:val="left"/>
      <w:lvlText w:val="(%1)"/>
      <w:numFmt w:val="lowerLetter"/>
      <w:start w:val="15"/>
    </w:lvl>
  </w:abstractNum>
  <w:abstractNum w:abstractNumId="16">
    <w:nsid w:val="7C3DBD3D"/>
    <w:multiLevelType w:val="hybridMultilevel"/>
    <w:lvl w:ilvl="0">
      <w:lvlJc w:val="left"/>
      <w:lvlText w:val="(%1)"/>
      <w:numFmt w:val="lowerLetter"/>
      <w:start w:val="1"/>
    </w:lvl>
    <w:lvl w:ilvl="1">
      <w:lvlJc w:val="left"/>
      <w:lvlText w:val="(%2)"/>
      <w:numFmt w:val="lowerRoman"/>
      <w:start w:val="1"/>
    </w:lvl>
  </w:abstractNum>
  <w:abstractNum w:abstractNumId="17">
    <w:nsid w:val="737B8DDC"/>
    <w:multiLevelType w:val="hybridMultilevel"/>
    <w:lvl w:ilvl="0">
      <w:lvlJc w:val="left"/>
      <w:lvlText w:val="(%1)"/>
      <w:numFmt w:val="lowerLetter"/>
      <w:start w:val="1"/>
    </w:lvl>
  </w:abstractNum>
  <w:abstractNum w:abstractNumId="18">
    <w:nsid w:val="6CEAF087"/>
    <w:multiLevelType w:val="hybridMultilevel"/>
    <w:lvl w:ilvl="0">
      <w:lvlJc w:val="left"/>
      <w:lvlText w:val="(%1)"/>
      <w:numFmt w:val="lowerLetter"/>
      <w:start w:val="3"/>
    </w:lvl>
  </w:abstractNum>
  <w:abstractNum w:abstractNumId="19">
    <w:nsid w:val="22221A70"/>
    <w:multiLevelType w:val="hybridMultilevel"/>
    <w:lvl w:ilvl="0">
      <w:lvlJc w:val="left"/>
      <w:lvlText w:val="(%1)"/>
      <w:numFmt w:val="lowerLetter"/>
      <w:start w:val="1"/>
    </w:lvl>
  </w:abstractNum>
  <w:abstractNum w:abstractNumId="20">
    <w:nsid w:val="4516DDE9"/>
    <w:multiLevelType w:val="hybridMultilevel"/>
    <w:lvl w:ilvl="0">
      <w:lvlJc w:val="left"/>
      <w:lvlText w:val="(%1)"/>
      <w:numFmt w:val="lowerRoman"/>
      <w:start w:val="1"/>
    </w:lvl>
  </w:abstractNum>
  <w:abstractNum w:abstractNumId="21">
    <w:nsid w:val="3006C83E"/>
    <w:multiLevelType w:val="hybridMultilevel"/>
    <w:lvl w:ilvl="0">
      <w:lvlJc w:val="left"/>
      <w:lvlText w:val="%1"/>
      <w:numFmt w:val="lowerLetter"/>
      <w:start w:val="1"/>
    </w:lvl>
    <w:lvl w:ilvl="1">
      <w:lvlJc w:val="left"/>
      <w:lvlText w:val="(%2)"/>
      <w:numFmt w:val="lowerLetter"/>
      <w:start w:val="35"/>
    </w:lvl>
  </w:abstractNum>
  <w:abstractNum w:abstractNumId="22">
    <w:nsid w:val="614FD4A1"/>
    <w:multiLevelType w:val="hybridMultilevel"/>
    <w:lvl w:ilvl="0">
      <w:lvlJc w:val="left"/>
      <w:lvlText w:val="(%1)"/>
      <w:numFmt w:val="lowerLetter"/>
      <w:start w:val="4"/>
    </w:lvl>
    <w:lvl w:ilvl="1">
      <w:lvlJc w:val="left"/>
      <w:lvlText w:val="%2"/>
      <w:numFmt w:val="lowerLetter"/>
      <w:start w:val="1"/>
    </w:lvl>
  </w:abstractNum>
  <w:abstractNum w:abstractNumId="23">
    <w:nsid w:val="419AC241"/>
    <w:multiLevelType w:val="hybridMultilevel"/>
    <w:lvl w:ilvl="0">
      <w:lvlJc w:val="left"/>
      <w:lvlText w:val="(%1)"/>
      <w:numFmt w:val="lowerLetter"/>
      <w:start w:val="1"/>
    </w:lvl>
  </w:abstractNum>
  <w:abstractNum w:abstractNumId="24">
    <w:nsid w:val="5577F8E1"/>
    <w:multiLevelType w:val="hybridMultilevel"/>
    <w:lvl w:ilvl="0">
      <w:lvlJc w:val="left"/>
      <w:lvlText w:val="(%1)"/>
      <w:numFmt w:val="lowerLetter"/>
      <w:start w:val="1"/>
    </w:lvl>
    <w:lvl w:ilvl="1">
      <w:lvlJc w:val="left"/>
      <w:lvlText w:val="(%2)"/>
      <w:numFmt w:val="lowerRoman"/>
      <w:start w:val="1"/>
    </w:lvl>
  </w:abstractNum>
  <w:abstractNum w:abstractNumId="25">
    <w:nsid w:val="440BADFC"/>
    <w:multiLevelType w:val="hybridMultilevel"/>
    <w:lvl w:ilvl="0">
      <w:lvlJc w:val="left"/>
      <w:lvlText w:val="(%1)"/>
      <w:numFmt w:val="lowerLetter"/>
      <w:start w:val="1"/>
    </w:lvl>
  </w:abstractNum>
  <w:abstractNum w:abstractNumId="26">
    <w:nsid w:val="5072367"/>
    <w:multiLevelType w:val="hybridMultilevel"/>
    <w:lvl w:ilvl="0">
      <w:lvlJc w:val="left"/>
      <w:lvlText w:val="(%1)"/>
      <w:numFmt w:val="lowerLetter"/>
      <w:start w:val="10"/>
    </w:lvl>
  </w:abstractNum>
  <w:abstractNum w:abstractNumId="27">
    <w:nsid w:val="3804823E"/>
    <w:multiLevelType w:val="hybridMultilevel"/>
    <w:lvl w:ilvl="0">
      <w:lvlJc w:val="left"/>
      <w:lvlText w:val="(%1)"/>
      <w:numFmt w:val="lowerLetter"/>
      <w:start w:val="2"/>
    </w:lvl>
    <w:lvl w:ilvl="1">
      <w:lvlJc w:val="left"/>
      <w:lvlText w:val="(%2)"/>
      <w:numFmt w:val="lowerLetter"/>
      <w:start w:val="9"/>
    </w:lvl>
  </w:abstractNum>
  <w:abstractNum w:abstractNumId="28">
    <w:nsid w:val="77465F01"/>
    <w:multiLevelType w:val="hybridMultilevel"/>
    <w:lvl w:ilvl="0">
      <w:lvlJc w:val="left"/>
      <w:lvlText w:val="(%1)"/>
      <w:numFmt w:val="lowerRoman"/>
      <w:start w:val="2"/>
    </w:lvl>
  </w:abstractNum>
  <w:abstractNum w:abstractNumId="29">
    <w:nsid w:val="7724C67E"/>
    <w:multiLevelType w:val="hybridMultilevel"/>
    <w:lvl w:ilvl="0">
      <w:lvlJc w:val="left"/>
      <w:lvlText w:val="(%1)"/>
      <w:numFmt w:val="lowerLetter"/>
      <w:start w:val="3"/>
    </w:lvl>
  </w:abstractNum>
  <w:abstractNum w:abstractNumId="30">
    <w:nsid w:val="5C482A97"/>
    <w:multiLevelType w:val="hybridMultilevel"/>
    <w:lvl w:ilvl="0">
      <w:lvlJc w:val="left"/>
      <w:lvlText w:val="(%1)"/>
      <w:numFmt w:val="lowerLetter"/>
      <w:start w:val="1"/>
    </w:lvl>
  </w:abstractNum>
  <w:abstractNum w:abstractNumId="31">
    <w:nsid w:val="2463B9EA"/>
    <w:multiLevelType w:val="hybridMultilevel"/>
    <w:lvl w:ilvl="0">
      <w:lvlJc w:val="left"/>
      <w:lvlText w:val="(%1)"/>
      <w:numFmt w:val="lowerLetter"/>
      <w:start w:val="2"/>
    </w:lvl>
  </w:abstractNum>
  <w:abstractNum w:abstractNumId="32">
    <w:nsid w:val="5E884ADC"/>
    <w:multiLevelType w:val="hybridMultilevel"/>
    <w:lvl w:ilvl="0">
      <w:lvlJc w:val="left"/>
      <w:lvlText w:val="(%1)"/>
      <w:numFmt w:val="lowerLetter"/>
      <w:start w:val="2"/>
    </w:lvl>
  </w:abstractNum>
  <w:abstractNum w:abstractNumId="33">
    <w:nsid w:val="51EAD36B"/>
    <w:multiLevelType w:val="hybridMultilevel"/>
    <w:lvl w:ilvl="0">
      <w:lvlJc w:val="left"/>
      <w:lvlText w:val="%1"/>
      <w:numFmt w:val="upperLetter"/>
      <w:start w:val="1"/>
    </w:lvl>
    <w:lvl w:ilvl="1">
      <w:lvlJc w:val="left"/>
      <w:lvlText w:val="(%2)"/>
      <w:numFmt w:val="lowerRoman"/>
      <w:start w:val="1"/>
    </w:lvl>
  </w:abstractNum>
  <w:abstractNum w:abstractNumId="34">
    <w:nsid w:val="2D517796"/>
    <w:multiLevelType w:val="hybridMultilevel"/>
    <w:lvl w:ilvl="0">
      <w:lvlJc w:val="left"/>
      <w:lvlText w:val="(%1)"/>
      <w:numFmt w:val="upperLetter"/>
      <w:start w:val="1"/>
    </w:lvl>
    <w:lvl w:ilvl="1">
      <w:lvlJc w:val="left"/>
      <w:lvlText w:val="%2"/>
      <w:numFmt w:val="lowerRoman"/>
      <w:start w:val="1"/>
    </w:lvl>
  </w:abstractNum>
  <w:abstractNum w:abstractNumId="35">
    <w:nsid w:val="580BD78F"/>
    <w:multiLevelType w:val="hybridMultilevel"/>
    <w:lvl w:ilvl="0">
      <w:lvlJc w:val="left"/>
      <w:lvlText w:val="(%1)"/>
      <w:numFmt w:val="upperLetter"/>
      <w:start w:val="3"/>
    </w:lvl>
    <w:lvl w:ilvl="1">
      <w:lvlJc w:val="left"/>
      <w:lvlText w:val="(%2)"/>
      <w:numFmt w:val="lowerRoman"/>
      <w:start w:val="2"/>
    </w:lvl>
  </w:abstractNum>
  <w:abstractNum w:abstractNumId="36">
    <w:nsid w:val="153EA438"/>
    <w:multiLevelType w:val="hybridMultilevel"/>
    <w:lvl w:ilvl="0">
      <w:lvlJc w:val="left"/>
      <w:lvlText w:val="(%1)"/>
      <w:numFmt w:val="lowerLetter"/>
      <w:start w:val="3"/>
    </w:lvl>
    <w:lvl w:ilvl="1">
      <w:lvlJc w:val="left"/>
      <w:lvlText w:val="(%2)"/>
      <w:numFmt w:val="lowerLetter"/>
      <w:start w:val="9"/>
    </w:lvl>
  </w:abstractNum>
  <w:abstractNum w:abstractNumId="37">
    <w:nsid w:val="3855585C"/>
    <w:multiLevelType w:val="hybridMultilevel"/>
    <w:lvl w:ilvl="0">
      <w:lvlJc w:val="left"/>
      <w:lvlText w:val="(%1)"/>
      <w:numFmt w:val="lowerRoman"/>
      <w:start w:val="2"/>
    </w:lvl>
  </w:abstractNum>
  <w:abstractNum w:abstractNumId="38">
    <w:nsid w:val="70A64E2A"/>
    <w:multiLevelType w:val="hybridMultilevel"/>
    <w:lvl w:ilvl="0">
      <w:lvlJc w:val="left"/>
      <w:lvlText w:val="(%1)"/>
      <w:numFmt w:val="lowerRoman"/>
      <w:start w:val="7"/>
    </w:lvl>
  </w:abstractNum>
  <w:abstractNum w:abstractNumId="39">
    <w:nsid w:val="6A2342EC"/>
    <w:multiLevelType w:val="hybridMultilevel"/>
    <w:lvl w:ilvl="0">
      <w:lvlJc w:val="left"/>
      <w:lvlText w:val="(%1)"/>
      <w:numFmt w:val="lowerLetter"/>
      <w:start w:val="2"/>
    </w:lvl>
  </w:abstractNum>
  <w:abstractNum w:abstractNumId="40">
    <w:nsid w:val="2A487CB0"/>
    <w:multiLevelType w:val="hybridMultilevel"/>
    <w:lvl w:ilvl="0">
      <w:lvlJc w:val="left"/>
      <w:lvlText w:val="(%1)"/>
      <w:numFmt w:val="lowerLetter"/>
      <w:start w:val="14"/>
    </w:lvl>
  </w:abstractNum>
  <w:abstractNum w:abstractNumId="41">
    <w:nsid w:val="1D4ED43B"/>
    <w:multiLevelType w:val="hybridMultilevel"/>
    <w:lvl w:ilvl="0">
      <w:lvlJc w:val="left"/>
      <w:lvlText w:val="%1."/>
      <w:numFmt w:val="decimal"/>
      <w:start w:val="1"/>
    </w:lvl>
  </w:abstractNum>
  <w:abstractNum w:abstractNumId="42">
    <w:nsid w:val="725A06FB"/>
    <w:multiLevelType w:val="hybridMultilevel"/>
    <w:lvl w:ilvl="0">
      <w:lvlJc w:val="left"/>
      <w:lvlText w:val="%1."/>
      <w:numFmt w:val="decimal"/>
      <w:start w:val="1"/>
    </w:lvl>
  </w:abstractNum>
  <w:abstractNum w:abstractNumId="43">
    <w:nsid w:val="2CD89A32"/>
    <w:multiLevelType w:val="hybridMultilevel"/>
    <w:lvl w:ilvl="0">
      <w:lvlJc w:val="left"/>
      <w:lvlText w:val="%1."/>
      <w:numFmt w:val="decimal"/>
      <w:start w:val="3"/>
    </w:lvl>
  </w:abstractNum>
  <w:abstractNum w:abstractNumId="44">
    <w:nsid w:val="57E4CCAF"/>
    <w:multiLevelType w:val="hybridMultilevel"/>
    <w:lvl w:ilvl="0">
      <w:lvlJc w:val="left"/>
      <w:lvlText w:val="(%1)"/>
      <w:numFmt w:val="lowerLetter"/>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pn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89" Type="http://schemas.openxmlformats.org/officeDocument/2006/relationships/image" Target="media/image75.png"/><Relationship Id="rId90" Type="http://schemas.openxmlformats.org/officeDocument/2006/relationships/image" Target="media/image76.png"/><Relationship Id="rId91" Type="http://schemas.openxmlformats.org/officeDocument/2006/relationships/image" Target="media/image77.png"/><Relationship Id="rId92" Type="http://schemas.openxmlformats.org/officeDocument/2006/relationships/image" Target="media/image78.png"/><Relationship Id="rId93" Type="http://schemas.openxmlformats.org/officeDocument/2006/relationships/image" Target="media/image79.png"/><Relationship Id="rId94" Type="http://schemas.openxmlformats.org/officeDocument/2006/relationships/image" Target="media/image80.png"/><Relationship Id="rId95" Type="http://schemas.openxmlformats.org/officeDocument/2006/relationships/image" Target="media/image81.png"/><Relationship Id="rId96" Type="http://schemas.openxmlformats.org/officeDocument/2006/relationships/image" Target="media/image82.png"/><Relationship Id="rId97" Type="http://schemas.openxmlformats.org/officeDocument/2006/relationships/image" Target="media/image83.png"/><Relationship Id="rId98"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104" Type="http://schemas.openxmlformats.org/officeDocument/2006/relationships/image" Target="media/image90.png"/><Relationship Id="rId105" Type="http://schemas.openxmlformats.org/officeDocument/2006/relationships/image" Target="media/image91.png"/><Relationship Id="rId106" Type="http://schemas.openxmlformats.org/officeDocument/2006/relationships/image" Target="media/image92.png"/><Relationship Id="rId107" Type="http://schemas.openxmlformats.org/officeDocument/2006/relationships/image" Target="media/image93.png"/><Relationship Id="rId108" Type="http://schemas.openxmlformats.org/officeDocument/2006/relationships/image" Target="media/image94.png"/><Relationship Id="rId109" Type="http://schemas.openxmlformats.org/officeDocument/2006/relationships/image" Target="media/image95.png"/><Relationship Id="rId110" Type="http://schemas.openxmlformats.org/officeDocument/2006/relationships/image" Target="media/image96.png"/><Relationship Id="rId111" Type="http://schemas.openxmlformats.org/officeDocument/2006/relationships/image" Target="media/image97.png"/><Relationship Id="rId112" Type="http://schemas.openxmlformats.org/officeDocument/2006/relationships/image" Target="media/image98.png"/><Relationship Id="rId113" Type="http://schemas.openxmlformats.org/officeDocument/2006/relationships/image" Target="media/image99.png"/><Relationship Id="rId114" Type="http://schemas.openxmlformats.org/officeDocument/2006/relationships/image" Target="media/image100.png"/><Relationship Id="rId115" Type="http://schemas.openxmlformats.org/officeDocument/2006/relationships/image" Target="media/image101.png"/><Relationship Id="rId116" Type="http://schemas.openxmlformats.org/officeDocument/2006/relationships/image" Target="media/image102.png"/><Relationship Id="rId117" Type="http://schemas.openxmlformats.org/officeDocument/2006/relationships/image" Target="media/image103.pn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122" Type="http://schemas.openxmlformats.org/officeDocument/2006/relationships/image" Target="media/image108.png"/><Relationship Id="rId123" Type="http://schemas.openxmlformats.org/officeDocument/2006/relationships/image" Target="media/image109.png"/><Relationship Id="rId124" Type="http://schemas.openxmlformats.org/officeDocument/2006/relationships/image" Target="media/image110.png"/><Relationship Id="rId125" Type="http://schemas.openxmlformats.org/officeDocument/2006/relationships/image" Target="media/image111.png"/><Relationship Id="rId126"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0" Type="http://schemas.openxmlformats.org/officeDocument/2006/relationships/image" Target="media/image116.png"/><Relationship Id="rId131" Type="http://schemas.openxmlformats.org/officeDocument/2006/relationships/image" Target="media/image117.png"/><Relationship Id="rId132" Type="http://schemas.openxmlformats.org/officeDocument/2006/relationships/image" Target="media/image118.png"/><Relationship Id="rId133" Type="http://schemas.openxmlformats.org/officeDocument/2006/relationships/image" Target="media/image119.png"/><Relationship Id="rId134" Type="http://schemas.openxmlformats.org/officeDocument/2006/relationships/image" Target="media/image120.png"/><Relationship Id="rId135" Type="http://schemas.openxmlformats.org/officeDocument/2006/relationships/image" Target="media/image121.png"/><Relationship Id="rId136" Type="http://schemas.openxmlformats.org/officeDocument/2006/relationships/image" Target="media/image122.png"/><Relationship Id="rId137" Type="http://schemas.openxmlformats.org/officeDocument/2006/relationships/image" Target="media/image123.png"/><Relationship Id="rId67" Type="http://schemas.openxmlformats.org/officeDocument/2006/relationships/hyperlink" Target="http://www.sec.gov/Archives/edgar/data/1534126/000093041312000189/c67840_ex3-1.htm" TargetMode="External"/><Relationship Id="rId68" Type="http://schemas.openxmlformats.org/officeDocument/2006/relationships/hyperlink" Target="http://www.sec.gov/Archives/edgar/data/1534126/000093041312000189/c67840_ex3-2.htm" TargetMode="External"/><Relationship Id="rId69" Type="http://schemas.openxmlformats.org/officeDocument/2006/relationships/hyperlink" Target="http://www.sec.gov/Archives/edgar/data/1534126/000093041312001544/c67840_ex4-1.htm" TargetMode="External"/><Relationship Id="rId70" Type="http://schemas.openxmlformats.org/officeDocument/2006/relationships/hyperlink" Target="http://www.sec.gov/Archives/edgar/data/1534126/000093041312001544/c67840_ex4-2.htm" TargetMode="External"/><Relationship Id="rId71" Type="http://schemas.openxmlformats.org/officeDocument/2006/relationships/hyperlink" Target="http://www.sec.gov/Archives/edgar/data/1534126/000093041317001155/c87843_ex4-1.htm" TargetMode="External"/><Relationship Id="rId72" Type="http://schemas.openxmlformats.org/officeDocument/2006/relationships/hyperlink" Target="http://www.sec.gov/Archives/edgar/data/1534126/000093041317001155/c87843_ex4-2.htm" TargetMode="External"/><Relationship Id="rId73" Type="http://schemas.openxmlformats.org/officeDocument/2006/relationships/hyperlink" Target="http://www.sec.gov/Archives/edgar/data/1534126/000093041317001034/c87778_305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2019-11-26T05:50:11Z</dcterms:created>
  <dcterms:modified xsi:type="dcterms:W3CDTF">2019-11-26T05:50:11Z</dcterms:modified>
</cp:coreProperties>
</file>