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For the month of June 2016</w:t>
            </w:r>
          </w:p>
        </w:tc>
        <w:tc>
          <w:tcPr>
            <w:tcW w:w="1280" w:type="dxa"/>
            <w:vAlign w:val="bottom"/>
          </w:tcPr>
          <w:p>
            <w:pPr>
              <w:spacing w:after="0"/>
              <w:rPr>
                <w:sz w:val="20"/>
                <w:szCs w:val="20"/>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280" w:type="dxa"/>
            <w:vAlign w:val="bottom"/>
          </w:tcPr>
          <w:p>
            <w:pPr>
              <w:spacing w:after="0"/>
              <w:rPr>
                <w:sz w:val="24"/>
                <w:szCs w:val="24"/>
                <w:color w:val="auto"/>
              </w:rPr>
            </w:pPr>
          </w:p>
        </w:tc>
      </w:tr>
      <w:tr>
        <w:trPr>
          <w:trHeight w:val="418"/>
        </w:trPr>
        <w:tc>
          <w:tcPr>
            <w:tcW w:w="10140" w:type="dxa"/>
            <w:vAlign w:val="bottom"/>
          </w:tcPr>
          <w:p>
            <w:pPr>
              <w:jc w:val="center"/>
              <w:ind w:left="1190"/>
              <w:spacing w:after="0"/>
              <w:rPr>
                <w:sz w:val="20"/>
                <w:szCs w:val="20"/>
                <w:color w:val="auto"/>
              </w:rPr>
            </w:pPr>
            <w:r>
              <w:rPr>
                <w:rFonts w:ascii="Arial" w:cs="Arial" w:eastAsia="Arial" w:hAnsi="Arial"/>
                <w:sz w:val="18"/>
                <w:szCs w:val="18"/>
                <w:b w:val="1"/>
                <w:bCs w:val="1"/>
                <w:color w:val="auto"/>
                <w:w w:val="93"/>
              </w:rPr>
              <w:t>GasLog Ltd.</w:t>
            </w:r>
          </w:p>
        </w:tc>
        <w:tc>
          <w:tcPr>
            <w:tcW w:w="1280" w:type="dxa"/>
            <w:vAlign w:val="bottom"/>
          </w:tcPr>
          <w:p>
            <w:pPr>
              <w:spacing w:after="0"/>
              <w:rPr>
                <w:sz w:val="24"/>
                <w:szCs w:val="24"/>
                <w:color w:val="auto"/>
              </w:rPr>
            </w:pPr>
          </w:p>
        </w:tc>
      </w:tr>
      <w:tr>
        <w:trPr>
          <w:trHeight w:val="230"/>
        </w:trPr>
        <w:tc>
          <w:tcPr>
            <w:tcW w:w="10140" w:type="dxa"/>
            <w:vAlign w:val="bottom"/>
          </w:tcPr>
          <w:p>
            <w:pPr>
              <w:jc w:val="center"/>
              <w:ind w:left="1210"/>
              <w:spacing w:after="0"/>
              <w:rPr>
                <w:sz w:val="20"/>
                <w:szCs w:val="20"/>
                <w:color w:val="auto"/>
              </w:rPr>
            </w:pPr>
            <w:r>
              <w:rPr>
                <w:rFonts w:ascii="Arial" w:cs="Arial" w:eastAsia="Arial" w:hAnsi="Arial"/>
                <w:sz w:val="18"/>
                <w:szCs w:val="18"/>
                <w:color w:val="auto"/>
                <w:w w:val="91"/>
              </w:rPr>
              <w:t>(Translation of registrant’s name into English)</w:t>
            </w:r>
          </w:p>
        </w:tc>
        <w:tc>
          <w:tcPr>
            <w:tcW w:w="1280" w:type="dxa"/>
            <w:vAlign w:val="bottom"/>
          </w:tcPr>
          <w:p>
            <w:pPr>
              <w:spacing w:after="0"/>
              <w:rPr>
                <w:sz w:val="20"/>
                <w:szCs w:val="20"/>
                <w:color w:val="auto"/>
              </w:rPr>
            </w:pPr>
          </w:p>
        </w:tc>
      </w:tr>
      <w:tr>
        <w:trPr>
          <w:trHeight w:val="418"/>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89"/>
              </w:rPr>
              <w:t>Gildo Pastor Center</w:t>
            </w:r>
          </w:p>
        </w:tc>
        <w:tc>
          <w:tcPr>
            <w:tcW w:w="1280" w:type="dxa"/>
            <w:vAlign w:val="bottom"/>
          </w:tcPr>
          <w:p>
            <w:pPr>
              <w:spacing w:after="0"/>
              <w:rPr>
                <w:sz w:val="24"/>
                <w:szCs w:val="24"/>
                <w:color w:val="auto"/>
              </w:rPr>
            </w:pPr>
          </w:p>
        </w:tc>
      </w:tr>
      <w:tr>
        <w:trPr>
          <w:trHeight w:val="216"/>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89"/>
              </w:rPr>
              <w:t>7 Rue du Gabian</w:t>
            </w:r>
          </w:p>
        </w:tc>
        <w:tc>
          <w:tcPr>
            <w:tcW w:w="1280" w:type="dxa"/>
            <w:vAlign w:val="bottom"/>
          </w:tcPr>
          <w:p>
            <w:pPr>
              <w:spacing w:after="0"/>
              <w:rPr>
                <w:sz w:val="18"/>
                <w:szCs w:val="18"/>
                <w:color w:val="auto"/>
              </w:rPr>
            </w:pPr>
          </w:p>
        </w:tc>
      </w:tr>
      <w:tr>
        <w:trPr>
          <w:trHeight w:val="216"/>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92"/>
              </w:rPr>
              <w:t>MC 98000, Monaco</w:t>
            </w:r>
          </w:p>
        </w:tc>
        <w:tc>
          <w:tcPr>
            <w:tcW w:w="1280" w:type="dxa"/>
            <w:vAlign w:val="bottom"/>
          </w:tcPr>
          <w:p>
            <w:pPr>
              <w:spacing w:after="0"/>
              <w:rPr>
                <w:sz w:val="18"/>
                <w:szCs w:val="18"/>
                <w:color w:val="auto"/>
              </w:rPr>
            </w:pPr>
          </w:p>
        </w:tc>
      </w:tr>
      <w:tr>
        <w:trPr>
          <w:trHeight w:val="230"/>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92"/>
              </w:rPr>
              <w:t>(Address of principal executive office)</w:t>
            </w:r>
          </w:p>
        </w:tc>
        <w:tc>
          <w:tcPr>
            <w:tcW w:w="1280" w:type="dxa"/>
            <w:vAlign w:val="bottom"/>
          </w:tcPr>
          <w:p>
            <w:pPr>
              <w:spacing w:after="0"/>
              <w:rPr>
                <w:sz w:val="20"/>
                <w:szCs w:val="20"/>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280" w:type="dxa"/>
            <w:vAlign w:val="bottom"/>
          </w:tcPr>
          <w:p>
            <w:pPr>
              <w:spacing w:after="0"/>
              <w:rPr>
                <w:sz w:val="24"/>
                <w:szCs w:val="24"/>
                <w:color w:val="auto"/>
              </w:rPr>
            </w:pPr>
          </w:p>
        </w:tc>
      </w:tr>
      <w:tr>
        <w:trPr>
          <w:trHeight w:val="452"/>
        </w:trPr>
        <w:tc>
          <w:tcPr>
            <w:tcW w:w="101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280" w:type="dxa"/>
            <w:vAlign w:val="bottom"/>
          </w:tcPr>
          <w:p>
            <w:pPr>
              <w:spacing w:after="0"/>
              <w:rPr>
                <w:sz w:val="24"/>
                <w:szCs w:val="24"/>
                <w:color w:val="auto"/>
              </w:rPr>
            </w:pPr>
          </w:p>
        </w:tc>
      </w:tr>
      <w:tr>
        <w:trPr>
          <w:trHeight w:val="41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80" w:type="dxa"/>
            <w:vAlign w:val="bottom"/>
          </w:tcPr>
          <w:p>
            <w:pPr>
              <w:ind w:left="1200"/>
              <w:spacing w:after="0"/>
              <w:rPr>
                <w:sz w:val="20"/>
                <w:szCs w:val="20"/>
                <w:color w:val="auto"/>
              </w:rPr>
            </w:pPr>
            <w:r>
              <w:rPr>
                <w:rFonts w:ascii="Arial" w:cs="Arial" w:eastAsia="Arial" w:hAnsi="Arial"/>
                <w:sz w:val="15"/>
                <w:szCs w:val="15"/>
                <w:color w:val="auto"/>
                <w:w w:val="71"/>
              </w:rPr>
              <w:t>o</w:t>
            </w: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80" w:type="dxa"/>
            <w:vAlign w:val="bottom"/>
          </w:tcPr>
          <w:p>
            <w:pPr>
              <w:ind w:left="1200"/>
              <w:spacing w:after="0"/>
              <w:rPr>
                <w:sz w:val="20"/>
                <w:szCs w:val="20"/>
                <w:color w:val="auto"/>
              </w:rPr>
            </w:pPr>
            <w:r>
              <w:rPr>
                <w:rFonts w:ascii="Arial" w:cs="Arial" w:eastAsia="Arial" w:hAnsi="Arial"/>
                <w:sz w:val="15"/>
                <w:szCs w:val="15"/>
                <w:color w:val="auto"/>
                <w:w w:val="71"/>
              </w:rPr>
              <w:t>o</w:t>
            </w:r>
          </w:p>
        </w:tc>
      </w:tr>
      <w:tr>
        <w:trPr>
          <w:trHeight w:val="277"/>
        </w:trPr>
        <w:tc>
          <w:tcPr>
            <w:tcW w:w="10140" w:type="dxa"/>
            <w:vAlign w:val="bottom"/>
            <w:tcBorders>
              <w:bottom w:val="single" w:sz="8" w:color="C0C0C0"/>
            </w:tcBorders>
          </w:tcPr>
          <w:p>
            <w:pPr>
              <w:spacing w:after="0"/>
              <w:rPr>
                <w:sz w:val="24"/>
                <w:szCs w:val="24"/>
                <w:color w:val="auto"/>
              </w:rPr>
            </w:pPr>
          </w:p>
        </w:tc>
        <w:tc>
          <w:tcPr>
            <w:tcW w:w="12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firstLine="376"/>
        <w:spacing w:after="0" w:line="210" w:lineRule="auto"/>
        <w:rPr>
          <w:sz w:val="20"/>
          <w:szCs w:val="20"/>
          <w:color w:val="auto"/>
        </w:rPr>
      </w:pPr>
      <w:r>
        <w:rPr>
          <w:rFonts w:ascii="Arial" w:cs="Arial" w:eastAsia="Arial" w:hAnsi="Arial"/>
          <w:sz w:val="18"/>
          <w:szCs w:val="18"/>
          <w:color w:val="auto"/>
        </w:rPr>
        <w:t>The press release issued by GasLog Ltd. on June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2016 announcing the launch of a $1.05 Billion financing facility for six legacy vessel facilities is attached hereto as Exhibit 99.1.</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60" w:firstLine="713"/>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36"/>
          <w:szCs w:val="36"/>
          <w:color w:val="auto"/>
          <w:vertAlign w:val="superscript"/>
        </w:rPr>
        <w:t>99.1</w:t>
      </w:r>
      <w:r>
        <w:rPr>
          <w:sz w:val="20"/>
          <w:szCs w:val="20"/>
          <w:color w:val="auto"/>
        </w:rPr>
        <w:tab/>
      </w:r>
      <w:r>
        <w:rPr>
          <w:rFonts w:ascii="Arial" w:cs="Arial" w:eastAsia="Arial" w:hAnsi="Arial"/>
          <w:sz w:val="15"/>
          <w:szCs w:val="15"/>
          <w:color w:val="auto"/>
        </w:rPr>
        <w:t>Press Release Dated June 20</w:t>
      </w:r>
      <w:r>
        <w:rPr>
          <w:rFonts w:ascii="Arial" w:cs="Arial" w:eastAsia="Arial" w:hAnsi="Arial"/>
          <w:sz w:val="24"/>
          <w:szCs w:val="24"/>
          <w:color w:val="auto"/>
          <w:vertAlign w:val="superscript"/>
        </w:rPr>
        <w:t>th</w:t>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412" w:right="39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June 20</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08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 Wogan</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-130810</wp:posOffset>
            </wp:positionV>
            <wp:extent cx="274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6420"/>
        <w:spacing w:after="0"/>
        <w:tabs>
          <w:tab w:leader="none" w:pos="6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625"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$1.05 Billion Financing Facility For Six Legacy Vessel Facilities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Monaco – June 20, 2016 </w:t>
      </w:r>
      <w:r>
        <w:rPr>
          <w:rFonts w:ascii="Arial" w:cs="Arial" w:eastAsia="Arial" w:hAnsi="Arial"/>
          <w:sz w:val="17"/>
          <w:szCs w:val="17"/>
          <w:color w:val="auto"/>
        </w:rPr>
        <w:t>– GasLog Ltd. (“GasLog”, NYSE: GLOG), an international owner, operator and manager of liquefied natural gas (“LNG”) carriers,</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announces that it has launched a debt financing of $1.05 billion with a number of international banks to re-finance six legacy facilities (the “Legacy Facility Re-financing”). The Legacy Facility Re-financing covers eight on-the-water vessels, which were delivered between 2010 and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key highlights of the $1.05 billion Legacy Facility Re-financing are as follows: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Re-finances $960m bank debt across six legacy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 $100m revolving credit facility (“RCF”) creating additional liquidity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Tenor of 5 years extends the maturity of the existing facilities to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Attractive weighted-average margin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Simplifies GasLog’s bank debt into four multi-vessel facilities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Terms of the Legacy Facility Re-financing are in line with GasLog’s existing facilities, demonstrating the banks’ strong appetite to lend to leading companies in the LNG industry. The Legacy Facility is currently in the documentation stage and is expected to close early in H2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Post the completion of this financing, GasLog Ltd. will have four debt facilities in total (from nine before today’s announcement).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eight vessels covered by the Legacy Facility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Vessel</w:t>
            </w:r>
          </w:p>
        </w:tc>
        <w:tc>
          <w:tcPr>
            <w:tcW w:w="28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Size (cbm)</w:t>
            </w:r>
          </w:p>
        </w:tc>
        <w:tc>
          <w:tcPr>
            <w:tcW w:w="2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Propulsion</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Delivery</w:t>
            </w:r>
          </w:p>
        </w:tc>
      </w:tr>
      <w:tr>
        <w:trPr>
          <w:trHeight w:val="195"/>
        </w:trPr>
        <w:tc>
          <w:tcPr>
            <w:tcW w:w="2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GasLog Savannah</w:t>
            </w:r>
          </w:p>
        </w:tc>
        <w:tc>
          <w:tcPr>
            <w:tcW w:w="560" w:type="dxa"/>
            <w:vAlign w:val="bottom"/>
          </w:tcPr>
          <w:p>
            <w:pPr>
              <w:spacing w:after="0"/>
              <w:rPr>
                <w:sz w:val="16"/>
                <w:szCs w:val="16"/>
                <w:color w:val="auto"/>
              </w:rPr>
            </w:pPr>
          </w:p>
        </w:tc>
        <w:tc>
          <w:tcPr>
            <w:tcW w:w="2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155,000</w:t>
            </w:r>
          </w:p>
        </w:tc>
        <w:tc>
          <w:tcPr>
            <w:tcW w:w="560" w:type="dxa"/>
            <w:vAlign w:val="bottom"/>
          </w:tcPr>
          <w:p>
            <w:pPr>
              <w:spacing w:after="0"/>
              <w:rPr>
                <w:sz w:val="16"/>
                <w:szCs w:val="16"/>
                <w:color w:val="auto"/>
              </w:rPr>
            </w:pPr>
          </w:p>
        </w:tc>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TFDE</w:t>
            </w:r>
          </w:p>
        </w:tc>
        <w:tc>
          <w:tcPr>
            <w:tcW w:w="560" w:type="dxa"/>
            <w:vAlign w:val="bottom"/>
          </w:tcPr>
          <w:p>
            <w:pPr>
              <w:spacing w:after="0"/>
              <w:rPr>
                <w:sz w:val="16"/>
                <w:szCs w:val="16"/>
                <w:color w:val="auto"/>
              </w:rPr>
            </w:pPr>
          </w:p>
        </w:tc>
        <w:tc>
          <w:tcPr>
            <w:tcW w:w="2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2010</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GasLog Singapore</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560" w:type="dxa"/>
            <w:vAlign w:val="bottom"/>
          </w:tcPr>
          <w:p>
            <w:pPr>
              <w:spacing w:after="0"/>
              <w:rPr>
                <w:sz w:val="18"/>
                <w:szCs w:val="18"/>
                <w:color w:val="auto"/>
              </w:rPr>
            </w:pPr>
          </w:p>
        </w:tc>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TFDE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2010</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GasLog Chelsea</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153,600</w:t>
            </w:r>
          </w:p>
        </w:tc>
        <w:tc>
          <w:tcPr>
            <w:tcW w:w="560" w:type="dxa"/>
            <w:vAlign w:val="bottom"/>
          </w:tcPr>
          <w:p>
            <w:pPr>
              <w:spacing w:after="0"/>
              <w:rPr>
                <w:sz w:val="18"/>
                <w:szCs w:val="18"/>
                <w:color w:val="auto"/>
              </w:rPr>
            </w:pPr>
          </w:p>
        </w:tc>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TFDE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2010</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GasLog Skagen</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560" w:type="dxa"/>
            <w:vAlign w:val="bottom"/>
          </w:tcPr>
          <w:p>
            <w:pPr>
              <w:spacing w:after="0"/>
              <w:rPr>
                <w:sz w:val="18"/>
                <w:szCs w:val="18"/>
                <w:color w:val="auto"/>
              </w:rPr>
            </w:pPr>
          </w:p>
        </w:tc>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TFDE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GasLog Seattle</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560" w:type="dxa"/>
            <w:vAlign w:val="bottom"/>
          </w:tcPr>
          <w:p>
            <w:pPr>
              <w:spacing w:after="0"/>
              <w:rPr>
                <w:sz w:val="18"/>
                <w:szCs w:val="18"/>
                <w:color w:val="auto"/>
              </w:rPr>
            </w:pPr>
          </w:p>
        </w:tc>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TFDE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Solaris</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560" w:type="dxa"/>
            <w:vAlign w:val="bottom"/>
          </w:tcPr>
          <w:p>
            <w:pPr>
              <w:spacing w:after="0"/>
              <w:rPr>
                <w:sz w:val="18"/>
                <w:szCs w:val="18"/>
                <w:color w:val="auto"/>
              </w:rPr>
            </w:pPr>
          </w:p>
        </w:tc>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TFDE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GasLog Saratoga</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560" w:type="dxa"/>
            <w:vAlign w:val="bottom"/>
          </w:tcPr>
          <w:p>
            <w:pPr>
              <w:spacing w:after="0"/>
              <w:rPr>
                <w:sz w:val="18"/>
                <w:szCs w:val="18"/>
                <w:color w:val="auto"/>
              </w:rPr>
            </w:pPr>
          </w:p>
        </w:tc>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TFDE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GasLog Salem</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560" w:type="dxa"/>
            <w:vAlign w:val="bottom"/>
          </w:tcPr>
          <w:p>
            <w:pPr>
              <w:spacing w:after="0"/>
              <w:rPr>
                <w:sz w:val="20"/>
                <w:szCs w:val="20"/>
                <w:color w:val="auto"/>
              </w:rPr>
            </w:pPr>
          </w:p>
        </w:tc>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TFDE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2015</w:t>
            </w:r>
          </w:p>
        </w:tc>
      </w:tr>
    </w:tbl>
    <w:p>
      <w:pPr>
        <w:spacing w:after="0" w:line="20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Simon Crowe, Chief Financial Officer commented, “I am delighted to announce this re-financing, which simplifies GasLog’s bank facilities and aligns the terms and covenants across our four facilities. The Legacy Facility Re-financing further extends GasLog’s maturities, strengthens the balance sheet and creates additional liquidity for the company as we look to pursue a number of interesting growth opportunities in the LNG carrier and FSRU sectors.”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Citibank N.A (“Citi”), Credit Suisse AG (“CS”) and Nordea Bank AB (“Nordea”) are acting as Mandated Lead Arrangers (“MLAs”), and Joint Bookrunners.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Citi is also acting as Global Coordinator.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GasLog is an international owner, operator and manager of LNG carriers. GasLog’s fully-owned fleet includes 18 LNG carriers (including 11 ships in operation and seven LNG carriers on order) and GasLog has four LNG carriers operating under its technical management for third parties and a vessel secured under a long-term bareboat charter from Lepta Shipping, a subsidiary of Mitsui. GasLog’s principal executive offices are at Gildo Pastor Center, 7 Rue du Gabian, MC 98000, Monaco.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Simon Crowe –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 Head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2019-12-08T21:44:47Z</dcterms:created>
  <dcterms:modified xsi:type="dcterms:W3CDTF">2019-12-08T21:44:47Z</dcterms:modified>
</cp:coreProperties>
</file>