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2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3"/>
        <w:spacing w:after="0"/>
        <w:rPr>
          <w:sz w:val="20"/>
          <w:szCs w:val="20"/>
          <w:color w:val="auto"/>
        </w:rPr>
      </w:pPr>
      <w:r>
        <w:rPr>
          <w:rFonts w:ascii="Arial" w:cs="Arial" w:eastAsia="Arial" w:hAnsi="Arial"/>
          <w:sz w:val="40"/>
          <w:szCs w:val="40"/>
          <w:b w:val="1"/>
          <w:bCs w:val="1"/>
          <w:color w:val="auto"/>
        </w:rPr>
        <w:t>GasLog Ltd.</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Shares, par value $0.01 per share</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G37585109</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David Maryles</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Managing Director, Legal and Compliance</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BlackRock, Inc.</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55 East 52nd Street</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New York, NY 10055</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(212) 810-5300</w:t>
      </w:r>
    </w:p>
    <w:p>
      <w:pPr>
        <w:spacing w:after="0" w:line="2"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February 21, 2021</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left="424" w:right="4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6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BLACKROCK, INC. (TIN: 32-0174431)</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6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93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OO – Funds of investment advisory clients</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457,372</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5"/>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457,372</w:t>
            </w:r>
          </w:p>
        </w:tc>
        <w:tc>
          <w:tcPr>
            <w:tcW w:w="0" w:type="dxa"/>
            <w:vAlign w:val="bottom"/>
          </w:tcPr>
          <w:p>
            <w:pPr>
              <w:spacing w:after="0"/>
              <w:rPr>
                <w:sz w:val="1"/>
                <w:szCs w:val="1"/>
                <w:color w:val="auto"/>
              </w:rPr>
            </w:pPr>
          </w:p>
        </w:tc>
      </w:tr>
      <w:tr>
        <w:trPr>
          <w:trHeight w:val="176"/>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9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980" w:type="dxa"/>
            <w:vAlign w:val="bottom"/>
          </w:tcPr>
          <w:p>
            <w:pPr>
              <w:ind w:left="160"/>
              <w:spacing w:after="0"/>
              <w:rPr>
                <w:sz w:val="20"/>
                <w:szCs w:val="20"/>
                <w:color w:val="auto"/>
              </w:rPr>
            </w:pPr>
            <w:r>
              <w:rPr>
                <w:rFonts w:ascii="Arial" w:cs="Arial" w:eastAsia="Arial" w:hAnsi="Arial"/>
                <w:sz w:val="17"/>
                <w:szCs w:val="17"/>
                <w:color w:val="auto"/>
                <w:w w:val="72"/>
              </w:rPr>
              <w:t>AGGREGATE</w:t>
            </w:r>
          </w:p>
        </w:tc>
        <w:tc>
          <w:tcPr>
            <w:tcW w:w="420" w:type="dxa"/>
            <w:vAlign w:val="bottom"/>
            <w:gridSpan w:val="2"/>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457,372</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6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0.48%(1)</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6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HC</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 ownership is calculated based on aggregate number of 95,393,126 Common Shares issued and outstanding as of February 17, 2021.</w:t>
      </w:r>
    </w:p>
    <w:p>
      <w:pPr>
        <w:sectPr>
          <w:pgSz w:w="11900" w:h="16838" w:orient="portrait"/>
          <w:cols w:equalWidth="0" w:num="1">
            <w:col w:w="11024"/>
          </w:cols>
          <w:pgMar w:left="436" w:top="268" w:right="43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The class of equity securities to which this statement relates is the Common Shares, par value $0.01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GasLog Ltd., a Bermuda exempted company (the “</w:t>
      </w:r>
      <w:r>
        <w:rPr>
          <w:rFonts w:ascii="Arial" w:cs="Arial" w:eastAsia="Arial" w:hAnsi="Arial"/>
          <w:sz w:val="18"/>
          <w:szCs w:val="18"/>
          <w:u w:val="single" w:color="auto"/>
          <w:color w:val="auto"/>
        </w:rPr>
        <w:t>Issuer</w:t>
      </w:r>
      <w:r>
        <w:rPr>
          <w:rFonts w:ascii="Arial" w:cs="Arial" w:eastAsia="Arial" w:hAnsi="Arial"/>
          <w:sz w:val="18"/>
          <w:szCs w:val="18"/>
          <w:color w:val="auto"/>
        </w:rPr>
        <w:t>”). The principal executive offices of the Issuer are located at c/o GasLog LNG Services Ltd., 69 Akti Miaouli 18537, Piraeus, Greece.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 w:right="180" w:hanging="4"/>
        <w:spacing w:after="0" w:line="270" w:lineRule="auto"/>
        <w:tabs>
          <w:tab w:leader="none" w:pos="2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Schedule 13D is being filed by BlackRock, Inc. (“</w:t>
      </w:r>
      <w:r>
        <w:rPr>
          <w:rFonts w:ascii="Arial" w:cs="Arial" w:eastAsia="Arial" w:hAnsi="Arial"/>
          <w:sz w:val="17"/>
          <w:szCs w:val="17"/>
          <w:u w:val="single" w:color="auto"/>
          <w:color w:val="auto"/>
        </w:rPr>
        <w:t>BlackRock</w:t>
      </w:r>
      <w:r>
        <w:rPr>
          <w:rFonts w:ascii="Arial" w:cs="Arial" w:eastAsia="Arial" w:hAnsi="Arial"/>
          <w:sz w:val="17"/>
          <w:szCs w:val="17"/>
          <w:color w:val="auto"/>
        </w:rPr>
        <w:t>”).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 mutual funds, iShares</w:t>
      </w:r>
      <w:r>
        <w:rPr>
          <w:rFonts w:ascii="Arial" w:cs="Arial" w:eastAsia="Arial" w:hAnsi="Arial"/>
          <w:sz w:val="14"/>
          <w:szCs w:val="14"/>
          <w:color w:val="auto"/>
        </w:rPr>
        <w:t>®</w:t>
      </w:r>
      <w:r>
        <w:rPr>
          <w:rFonts w:ascii="Arial" w:cs="Arial" w:eastAsia="Arial" w:hAnsi="Arial"/>
          <w:sz w:val="17"/>
          <w:szCs w:val="17"/>
          <w:color w:val="auto"/>
        </w:rPr>
        <w:t xml:space="preserve">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 The principal office and business address of BlackRock is 55 East 52nd Street, New York, NY 10055.</w:t>
      </w:r>
    </w:p>
    <w:p>
      <w:pPr>
        <w:spacing w:after="0" w:line="72" w:lineRule="exact"/>
        <w:rPr>
          <w:rFonts w:ascii="Arial" w:cs="Arial" w:eastAsia="Arial" w:hAnsi="Arial"/>
          <w:sz w:val="17"/>
          <w:szCs w:val="17"/>
          <w:color w:val="auto"/>
        </w:rPr>
      </w:pPr>
    </w:p>
    <w:p>
      <w:pPr>
        <w:ind w:left="4" w:right="120" w:hanging="4"/>
        <w:spacing w:after="0" w:line="277"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(c) and (f) Current information concerning the identity and background of each of the executive officers and directors of BlackRock is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Covered Persons</w:t>
      </w:r>
      <w:r>
        <w:rPr>
          <w:rFonts w:ascii="Arial" w:cs="Arial" w:eastAsia="Arial" w:hAnsi="Arial"/>
          <w:sz w:val="18"/>
          <w:szCs w:val="18"/>
          <w:color w:val="auto"/>
        </w:rPr>
        <w:t>”), attached hereto and incorporated herein by reference.</w:t>
      </w:r>
    </w:p>
    <w:p>
      <w:pPr>
        <w:spacing w:after="0" w:line="62" w:lineRule="exact"/>
        <w:rPr>
          <w:sz w:val="20"/>
          <w:szCs w:val="20"/>
          <w:color w:val="auto"/>
        </w:rPr>
      </w:pPr>
    </w:p>
    <w:p>
      <w:pPr>
        <w:ind w:left="4" w:right="120" w:hanging="4"/>
        <w:spacing w:after="0" w:line="25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and (e) During the last five years, none of BlackRock, nor to the best of its knowledge, any Covered Person has been convicted in any criminal proceedings (excluding traffic violations or similar misdemeanors) or, except as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attached hereto,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88"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Neither the present filing nor anything contained herein shall be construed as an admission that BlackRock constitutes a “person” for any purposes other than Section 13(d) of the Act.</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 w:right="380"/>
        <w:spacing w:after="0" w:line="311" w:lineRule="auto"/>
        <w:rPr>
          <w:sz w:val="20"/>
          <w:szCs w:val="20"/>
          <w:color w:val="auto"/>
        </w:rPr>
      </w:pPr>
      <w:r>
        <w:rPr>
          <w:rFonts w:ascii="Arial" w:cs="Arial" w:eastAsia="Arial" w:hAnsi="Arial"/>
          <w:sz w:val="16"/>
          <w:szCs w:val="16"/>
          <w:color w:val="auto"/>
        </w:rPr>
        <w:t>As of March 2, 2021, BlackRock, in its role as the ultimate parent of investment advisers to certain client accounts, held beneficial ownership of 457,372 Common Shares acquired prior to such date for an aggregate purchase price of $2,145,614.39. Such acquisitions were made for investment purposes with available funds of the applicable client accounts in the ordinary course of business of BlackRock’s investment adviser subsidiaries.</w:t>
      </w:r>
    </w:p>
    <w:p>
      <w:pPr>
        <w:spacing w:after="0" w:line="293"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All of the Common Shares of the Issuer were acquired for investment purposes by funds and accounts for which certain of BlackRock’s subsidiaries act as investment advisers.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Merger Agreement and Equity Commitment Letter</w:t>
      </w:r>
    </w:p>
    <w:p>
      <w:pPr>
        <w:spacing w:after="0" w:line="11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On February 21, 2021, Global Energy &amp; Power Infrastructure Fund III, L.P. (“</w:t>
      </w:r>
      <w:r>
        <w:rPr>
          <w:rFonts w:ascii="Arial" w:cs="Arial" w:eastAsia="Arial" w:hAnsi="Arial"/>
          <w:sz w:val="18"/>
          <w:szCs w:val="18"/>
          <w:u w:val="single" w:color="auto"/>
          <w:color w:val="auto"/>
        </w:rPr>
        <w:t>GEPIF III</w:t>
      </w:r>
      <w:r>
        <w:rPr>
          <w:rFonts w:ascii="Arial" w:cs="Arial" w:eastAsia="Arial" w:hAnsi="Arial"/>
          <w:sz w:val="18"/>
          <w:szCs w:val="18"/>
          <w:color w:val="auto"/>
        </w:rPr>
        <w:t>”), a fund that is managed by a subsidiary of BlackRock, entered into an Equity Commitment Letter (the “</w:t>
      </w:r>
      <w:r>
        <w:rPr>
          <w:rFonts w:ascii="Arial" w:cs="Arial" w:eastAsia="Arial" w:hAnsi="Arial"/>
          <w:sz w:val="18"/>
          <w:szCs w:val="18"/>
          <w:u w:val="single" w:color="auto"/>
          <w:color w:val="auto"/>
        </w:rPr>
        <w:t>ECL</w:t>
      </w:r>
      <w:r>
        <w:rPr>
          <w:rFonts w:ascii="Arial" w:cs="Arial" w:eastAsia="Arial" w:hAnsi="Arial"/>
          <w:sz w:val="18"/>
          <w:szCs w:val="18"/>
          <w:color w:val="auto"/>
        </w:rPr>
        <w:t>”) with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Pursuant to the ECL, GEPIF III irrevocably committed, on the terms and subject to the conditions set forth in the ECL, to purchase an aggregate of $247 million of equity interests in Parent, solely for the purpose of funding, and to the extent necessary to fund, the merger consideration payable by Parent, in accordance with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the Issuer, Parent and GEPIF III Crown MergerCo Limited., a Bermuda exempted company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The Merger Agreement provides that Merger Sub will merge with and into the Issuer (the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therein, with the Issuer surviving such Merger.</w:t>
      </w:r>
    </w:p>
    <w:p>
      <w:pPr>
        <w:sectPr>
          <w:pgSz w:w="11900" w:h="16838" w:orient="portrait"/>
          <w:cols w:equalWidth="0" w:num="1">
            <w:col w:w="11024"/>
          </w:cols>
          <w:pgMar w:left="436" w:top="270" w:right="439" w:bottom="1440" w:gutter="0" w:footer="0" w:header="0"/>
        </w:sectPr>
      </w:pPr>
    </w:p>
    <w:bookmarkStart w:id="3" w:name="page4"/>
    <w:bookmarkEnd w:id="3"/>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Pursuant to the Merger Agreement, 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by virtue of the Merger and without any action on the part of the Issuer, Parent or Merger Sub or any holder of any equity thereof, among other things:</w:t>
      </w:r>
    </w:p>
    <w:p>
      <w:pPr>
        <w:spacing w:after="0" w:line="62" w:lineRule="exact"/>
        <w:rPr>
          <w:sz w:val="20"/>
          <w:szCs w:val="20"/>
          <w:color w:val="auto"/>
        </w:rPr>
      </w:pPr>
    </w:p>
    <w:p>
      <w:pPr>
        <w:ind w:left="4" w:right="160" w:hanging="4"/>
        <w:spacing w:after="0" w:line="286"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common share, par value $1.00 per share, of Merger Sub (each, a “</w:t>
      </w:r>
      <w:r>
        <w:rPr>
          <w:rFonts w:ascii="Arial" w:cs="Arial" w:eastAsia="Arial" w:hAnsi="Arial"/>
          <w:sz w:val="16"/>
          <w:szCs w:val="16"/>
          <w:u w:val="single" w:color="auto"/>
          <w:color w:val="auto"/>
        </w:rPr>
        <w:t>Merger Sub Share</w:t>
      </w:r>
      <w:r>
        <w:rPr>
          <w:rFonts w:ascii="Arial" w:cs="Arial" w:eastAsia="Arial" w:hAnsi="Arial"/>
          <w:sz w:val="16"/>
          <w:szCs w:val="16"/>
          <w:color w:val="auto"/>
        </w:rPr>
        <w:t>”) issued and outstanding immediately prior to the Effective Time shall automatically be converted into and become a number of authorized, validly issued, fully paid and nonassessable common shares, par value $0.01 per share, of the surviving company in the Merger (the “</w:t>
      </w:r>
      <w:r>
        <w:rPr>
          <w:rFonts w:ascii="Arial" w:cs="Arial" w:eastAsia="Arial" w:hAnsi="Arial"/>
          <w:sz w:val="16"/>
          <w:szCs w:val="16"/>
          <w:u w:val="single" w:color="auto"/>
          <w:color w:val="auto"/>
        </w:rPr>
        <w:t>Surviving Company Shares</w:t>
      </w:r>
      <w:r>
        <w:rPr>
          <w:rFonts w:ascii="Arial" w:cs="Arial" w:eastAsia="Arial" w:hAnsi="Arial"/>
          <w:sz w:val="16"/>
          <w:szCs w:val="16"/>
          <w:color w:val="auto"/>
        </w:rPr>
        <w:t>”) equal to (i) the number of Common Shares outstanding immediately prior to the Effective Time (other than Hook Shares (as defined below) and Rollover Shares (as defined below)) divided by</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Merger Sub Shares issued and outstanding as of immediately prior to the Effective Time;</w:t>
      </w:r>
    </w:p>
    <w:p>
      <w:pPr>
        <w:spacing w:after="0" w:line="102" w:lineRule="exact"/>
        <w:rPr>
          <w:rFonts w:ascii="Arial" w:cs="Arial" w:eastAsia="Arial" w:hAnsi="Arial"/>
          <w:sz w:val="18"/>
          <w:szCs w:val="18"/>
          <w:color w:val="auto"/>
        </w:rPr>
      </w:pPr>
    </w:p>
    <w:p>
      <w:pPr>
        <w:ind w:left="4" w:hanging="4"/>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Issuer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(as defined below) and shall instead remain outstanding as one authorized, validly issued, fully paid and nonassessable Surviving Company Share;</w:t>
      </w:r>
    </w:p>
    <w:p>
      <w:pPr>
        <w:spacing w:after="0" w:line="75" w:lineRule="exact"/>
        <w:rPr>
          <w:rFonts w:ascii="Arial" w:cs="Arial" w:eastAsia="Arial" w:hAnsi="Arial"/>
          <w:sz w:val="18"/>
          <w:szCs w:val="18"/>
          <w:color w:val="auto"/>
        </w:rPr>
      </w:pPr>
    </w:p>
    <w:p>
      <w:pPr>
        <w:ind w:left="4" w:right="20" w:hanging="4"/>
        <w:spacing w:after="0" w:line="254"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the Rollover Agreement (as defined below), each Common Share issued and outstanding immediately prior to the Effective Time and owned by, without duplication, (i) any Rolling Shareholder (as defined below) or (ii) any of Bruce Blythe, Jean Haramis, Monhegetti Transport Inc., Dimitris Kolias and Stray Shipping Investments (the “</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Issuer’s shareholders meeting)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Rollover Shares</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83" w:lineRule="exact"/>
        <w:rPr>
          <w:rFonts w:ascii="Arial" w:cs="Arial" w:eastAsia="Arial" w:hAnsi="Arial"/>
          <w:sz w:val="18"/>
          <w:szCs w:val="18"/>
          <w:color w:val="auto"/>
        </w:rPr>
      </w:pPr>
    </w:p>
    <w:p>
      <w:pPr>
        <w:ind w:left="264" w:hanging="264"/>
        <w:spacing w:after="0"/>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Common Share that is issued and outstanding immediately prior to the Effective Time, other than (i) any Rollover Share, (ii) any Hook Share or</w:t>
      </w:r>
    </w:p>
    <w:p>
      <w:pPr>
        <w:spacing w:after="0" w:line="46" w:lineRule="exact"/>
        <w:rPr>
          <w:rFonts w:ascii="Arial" w:cs="Arial" w:eastAsia="Arial" w:hAnsi="Arial"/>
          <w:sz w:val="16"/>
          <w:szCs w:val="16"/>
          <w:color w:val="auto"/>
        </w:rPr>
      </w:pPr>
    </w:p>
    <w:p>
      <w:pPr>
        <w:ind w:left="4" w:hanging="4"/>
        <w:spacing w:after="0" w:line="260"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Common Shares for which appraisal rights have been properly exercised, shall automatically be canceled and converted into and shall thereafter represent the right to receive an amount in cash equal to $5.80, without interest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w:t>
      </w:r>
    </w:p>
    <w:p>
      <w:pPr>
        <w:spacing w:after="0" w:line="77" w:lineRule="exact"/>
        <w:rPr>
          <w:rFonts w:ascii="Arial" w:cs="Arial" w:eastAsia="Arial" w:hAnsi="Arial"/>
          <w:sz w:val="18"/>
          <w:szCs w:val="18"/>
          <w:color w:val="auto"/>
        </w:rPr>
      </w:pPr>
    </w:p>
    <w:p>
      <w:pPr>
        <w:jc w:val="both"/>
        <w:ind w:left="4" w:right="60" w:hanging="4"/>
        <w:spacing w:after="0" w:line="263"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 of the Issuer’s 8.75% Series A Cumulative Redeemable Perpetual Preference Shares, par value $0.01 per share (the “</w:t>
      </w:r>
      <w:r>
        <w:rPr>
          <w:rFonts w:ascii="Arial" w:cs="Arial" w:eastAsia="Arial" w:hAnsi="Arial"/>
          <w:sz w:val="18"/>
          <w:szCs w:val="18"/>
          <w:u w:val="single" w:color="auto"/>
          <w:color w:val="auto"/>
        </w:rPr>
        <w:t>Preference Shares</w:t>
      </w:r>
      <w:r>
        <w:rPr>
          <w:rFonts w:ascii="Arial" w:cs="Arial" w:eastAsia="Arial" w:hAnsi="Arial"/>
          <w:sz w:val="18"/>
          <w:szCs w:val="18"/>
          <w:color w:val="auto"/>
        </w:rPr>
        <w:t>”),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w:t>
      </w:r>
    </w:p>
    <w:p>
      <w:pPr>
        <w:spacing w:after="0" w:line="184" w:lineRule="exact"/>
        <w:rPr>
          <w:sz w:val="20"/>
          <w:szCs w:val="20"/>
          <w:color w:val="auto"/>
        </w:rPr>
      </w:pPr>
    </w:p>
    <w:p>
      <w:pPr>
        <w:ind w:left="4" w:right="200"/>
        <w:spacing w:after="0" w:line="272" w:lineRule="auto"/>
        <w:rPr>
          <w:sz w:val="20"/>
          <w:szCs w:val="20"/>
          <w:color w:val="auto"/>
        </w:rPr>
      </w:pPr>
      <w:r>
        <w:rPr>
          <w:rFonts w:ascii="Arial" w:cs="Arial" w:eastAsia="Arial" w:hAnsi="Arial"/>
          <w:sz w:val="17"/>
          <w:szCs w:val="17"/>
          <w:color w:val="auto"/>
        </w:rPr>
        <w:t>Consummation of the Merger is subject to the satisfaction or waiver of specified closing conditions, including (i) the approval of the Merger by the affirmative vote of holders of (A) a majority of the outstanding shares of the Issuer entitled to vote at a shareholders meeting and (B) a majority of the outstanding shares of the Issuer which are not held by the Rolling Shareholders or Parent, Merger Sub or their affiliates and which are present at the shareholders meeting, and (ii) other customary closing conditions, including (a) the absence of any law or order prohibiting the Merger or the other transactions contemplated by the Merger Agreement, (b) the accuracy of each party’s representations and warranties (subject to customary materiality qualifiers) and (c) each party’s performance of its obligations and covenants contained in the Merger Agreement. Upon closing of the Merger, the Common Shares will cease to be listed on the New York Stock Exchange.</w:t>
      </w:r>
    </w:p>
    <w:p>
      <w:pPr>
        <w:sectPr>
          <w:pgSz w:w="11900" w:h="16838" w:orient="portrait"/>
          <w:cols w:equalWidth="0" w:num="1">
            <w:col w:w="11004"/>
          </w:cols>
          <w:pgMar w:left="436"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Rollover Agreement</w:t>
      </w:r>
    </w:p>
    <w:p>
      <w:pPr>
        <w:spacing w:after="0" w:line="117"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In connection with the transactions contemplated by the Merger Agreement, on February 21, 2021, Parent, the Issuer and each of the persons executing the Rollover Agreement as “Rolling Shareholders” on the signature pages thereto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entered into a Rollover Agreement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Pursuant to the Rollover Agreement, each Rolling Shareholder has agreed, among other things (i) that each Common Share beneficially owned by such Rolling Shareholder shall remain outstanding as one Surviving Company Share, (ii) that each Preference Share beneficially owned by such Rolling Shareholder shall remain outstanding as a Surviving Company Preference Share, (iii) to waive, to the fullest extent permitted by applicable law, any rights of appraisal or rights to dissent from the Merger or the other transactions contemplated by the Merger that such Rolling Shareholder may have under applicable law, (iv) to vote in favor of the Merger at any shareholders’ meeting held for the purpose of approving the Merger and the Merger Agreement and (v) to not acquire, dispose of, or otherwise transfer any Common Shares or Preference Shares, except to another Rolling Shareholder to the extent permitted by the Rollover Agreement. The Rollover Agreement will terminate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(x) any Rollover Share owned by such Rolling Shareholder not remaining outstanding as a Surviving Company Share following the Effective Time or (y) increasing the total number of Surviving Company Shares that will be outstanding immediately following the Effective Time and (d) with respect to any Rolling Shareholder, the mutual written consent of such Rolling Shareholder, the Issuer and Parent.</w:t>
      </w:r>
    </w:p>
    <w:p>
      <w:pPr>
        <w:spacing w:after="0" w:line="17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In addition, pursuant to the Rollover Agreement, at the closing of the Merger, the Issuer, Parent and the Rolling Shareholders are required to enter into a shareholders agreement relating to certain governance and other arrangements that will be in effect following the consummation of the Merger. In connection with the shareholders’ agreement, the board of directors of the Issuer will be reduced to five persons who will be appointed by Parent and certain of the Rolling Shareholders in accordance with the terms thereof. In addition, at the Effective Time, the Issuer’s bye-laws shall be amended and restated to be in the form attached as Exhibit B to the Merger Agreement.</w:t>
      </w:r>
    </w:p>
    <w:p>
      <w:pPr>
        <w:spacing w:after="0" w:line="188"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entry into the ECL and the Rollover Agreement will not restrict BlackRock’s subsidiaries’ exercise of investment or voting power with respect to the Common Shares to which this Schedule relates.</w:t>
      </w:r>
    </w:p>
    <w:p>
      <w:pPr>
        <w:spacing w:after="0" w:line="170"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The foregoing descriptions of the Merger Agreement, the Rollover Agreement, and the ECL in this Item 4 do not purport to be complete and are qualified in their entirety by reference to the text of the form of Merger Agreement, the form of Rollover Agreement, and the form of ECL, which with respect to (i) the Merger Agreement and the Rollover Agreement have been filed as exhibits to the Issuer’s Report on Form 6-K filed with the SEC on March 3, 2021 and (ii) the ECL has been filed as an exhibit to this Schedule 13D, and are incorporated herein by reference.</w:t>
      </w:r>
    </w:p>
    <w:p>
      <w:pPr>
        <w:spacing w:after="0" w:line="171" w:lineRule="exact"/>
        <w:rPr>
          <w:sz w:val="20"/>
          <w:szCs w:val="20"/>
          <w:color w:val="auto"/>
        </w:rPr>
      </w:pPr>
    </w:p>
    <w:p>
      <w:pPr>
        <w:ind w:left="4" w:right="120"/>
        <w:spacing w:after="0" w:line="289" w:lineRule="auto"/>
        <w:rPr>
          <w:sz w:val="20"/>
          <w:szCs w:val="20"/>
          <w:color w:val="auto"/>
        </w:rPr>
      </w:pPr>
      <w:r>
        <w:rPr>
          <w:rFonts w:ascii="Arial" w:cs="Arial" w:eastAsia="Arial" w:hAnsi="Arial"/>
          <w:sz w:val="16"/>
          <w:szCs w:val="16"/>
          <w:color w:val="auto"/>
        </w:rPr>
        <w:t>Except as set forth in this Schedule, BlackRock has no present plans or proposals that relate to or would result in any of the actions described in Item 4(a) through (j) of Schedule 13D. Each of BlackRock’s advisory subsidiaries may evaluate on a continuing basis its client accounts’ investment in the Issuer and BlackRock expects that such subsidiaries may from time to time acquire or dispose of Common Shares or other securities of the Issuer on behalf of such client accounts. Any acquisitions or dispositions will depend upon (i) the price and availability of the Issuer’s securities; (ii) subsequent developments concerning the Issuer’s business and prospects and the industry in which the Issuer operates; (iii) BlackRock’s advisory subsidiaries’ general investment policies with respect to the applicable accounts managed by BlackRock’s advisory subsidiaries; (iv) other investment and business opportunities available to BlackRock’s advisory subsidiaries on behalf of their clients; (v) general market and economic conditions; (vi) tax considerations; and (vii) such other factors as BlackRock’s advisory subsidiaries may consider relevant. Any such acquisitions or dispositions may be made, subject to applicable law, in open market transactions or privately negotiated transactions.</w:t>
      </w:r>
    </w:p>
    <w:p>
      <w:pPr>
        <w:spacing w:after="0" w:line="31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right="60" w:hanging="4"/>
        <w:spacing w:after="0" w:line="275"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and (b) The responses of BlackRock to Rows (7) through (11) of the cover page of this Schedule are incorporated herein by reference. In addition, pursuant to Section 13(d)(3) of the Act, GEPIF III and the Rolling Shareholders may on the basis of the facts described elsewhere herein be considered to be a “group.” GEPIF III disclaims any membership or participation in a “group” with Parent, Merger Sub or the Rolling Shareholders and further disclaims any Common Shares or Preference Shares beneficially owned by the Rolling Shareholders, including the 50,584,448 Common Shares and 9,366 Preference Shares believed to be beneficially owned by the Rolling Shareholders on the date hereof.</w:t>
      </w:r>
    </w:p>
    <w:p>
      <w:pPr>
        <w:sectPr>
          <w:pgSz w:w="11900" w:h="16838" w:orient="portrait"/>
          <w:cols w:equalWidth="0" w:num="1">
            <w:col w:w="10944"/>
          </w:cols>
          <w:pgMar w:left="436" w:top="274" w:right="519" w:bottom="1440" w:gutter="0" w:footer="0" w:header="0"/>
        </w:sectPr>
      </w:pPr>
    </w:p>
    <w:bookmarkStart w:id="5" w:name="page6"/>
    <w:bookmarkEnd w:id="5"/>
    <w:p>
      <w:pPr>
        <w:ind w:left="4" w:right="6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Common Shares beneficially owned by BlackRock include Common Shares beneficially owned by its subsidiaries, including BlackRock Institutional Trust Company, National Association, BlackRock Financial Management, Inc. and BlackRock (Luxembourg) S.A., none of which beneficially owns in excess of 5% of the outstanding Common Shares.</w:t>
      </w:r>
    </w:p>
    <w:p>
      <w:pPr>
        <w:spacing w:after="0" w:line="184"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Except as set forth herein, neither BlackRock nor, to the knowledge of BlackRock, the Covered Persons beneficially own any Common Shares as of March 2, 2021.</w:t>
      </w:r>
    </w:p>
    <w:p>
      <w:pPr>
        <w:spacing w:after="0" w:line="62" w:lineRule="exact"/>
        <w:rPr>
          <w:sz w:val="20"/>
          <w:szCs w:val="20"/>
          <w:color w:val="auto"/>
        </w:rPr>
      </w:pPr>
    </w:p>
    <w:p>
      <w:pPr>
        <w:ind w:left="4" w:hanging="4"/>
        <w:spacing w:after="0" w:line="259" w:lineRule="auto"/>
        <w:tabs>
          <w:tab w:leader="none" w:pos="24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attached hereto, sets forth transactions in the Common Shares that were effected during the 60-day period ended March 2, 2021. The transactions in the Common Shares described on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were effected on securities exchanges unless otherwise indicated therein. Except as set forth in this Schedule, neither BlackRock nor, to the best of its knowledge, any of the Covered Persons has engaged in any transaction in any Common Shares during the 60-day period ended March 2, 2021.</w:t>
      </w:r>
    </w:p>
    <w:p>
      <w:pPr>
        <w:spacing w:after="0" w:line="78" w:lineRule="exact"/>
        <w:rPr>
          <w:rFonts w:ascii="Arial" w:cs="Arial" w:eastAsia="Arial" w:hAnsi="Arial"/>
          <w:sz w:val="18"/>
          <w:szCs w:val="18"/>
          <w:color w:val="auto"/>
        </w:rPr>
      </w:pPr>
    </w:p>
    <w:p>
      <w:pPr>
        <w:ind w:left="4" w:right="40" w:hanging="4"/>
        <w:spacing w:after="0" w:line="311" w:lineRule="auto"/>
        <w:tabs>
          <w:tab w:leader="none" w:pos="2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for investment advisory clients of BlackRock’s subsidiaries, who may have the right to receive or the power to direct the receipt of dividends from, or the proceeds from the sale of, Common Shares, no other person is known by BlackRock to have the right to receive or the power to direct the receipt of dividends from, or the proceeds from the sale of, any Common Shares that may be beneficially owned by BlackRock.</w:t>
      </w:r>
    </w:p>
    <w:p>
      <w:pPr>
        <w:spacing w:after="0" w:line="40" w:lineRule="exact"/>
        <w:rPr>
          <w:rFonts w:ascii="Arial" w:cs="Arial" w:eastAsia="Arial" w:hAnsi="Arial"/>
          <w:sz w:val="16"/>
          <w:szCs w:val="16"/>
          <w:color w:val="auto"/>
        </w:rPr>
      </w:pPr>
    </w:p>
    <w:p>
      <w:pPr>
        <w:ind w:left="244" w:hanging="244"/>
        <w:spacing w:after="0"/>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4 is hereby incorporated herein by reference.</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Except as set forth in this Schedule, there are no contracts, arrangements, understandings or relationships between BlackRock and any other person with respect to any securities of the Issuer or among the investment advisory subsidiaries of BlackRock, including but not limited to transfer or voting of any securities of the Issuer, finder’s fees, joint ventures, loan or option arrangements, puts or calls, guarantees of profits, division of profits or loss, or the giving or withholding of proxies (other than the transfer of voting rights with respect to Common Shares that are loaned out in the ordinary course of BlackRock’s and its subsidiaries’ securities lending programs).</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4"/>
          <w:szCs w:val="14"/>
          <w:color w:val="auto"/>
        </w:rPr>
        <w:t>Exhibit</w:t>
      </w:r>
    </w:p>
    <w:p>
      <w:pPr>
        <w:ind w:left="104"/>
        <w:spacing w:after="0"/>
        <w:tabs>
          <w:tab w:leader="none" w:pos="1024"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ind w:left="1044" w:right="40" w:hanging="1044"/>
        <w:spacing w:after="0" w:line="342" w:lineRule="auto"/>
        <w:tabs>
          <w:tab w:leader="none" w:pos="10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Agreement and Plan of Merger, dated February 21, 2021, by and among GasLog Ltd., GEPIF III Crown Bidco L.P. and GEPIF III Crown MergerCo Limited (incorporated by reference to Exhibit 2.1 to the Issuer’s Report on Form 6-K filed with the SEC on March 3, 2021)</w:t>
      </w:r>
    </w:p>
    <w:p>
      <w:pPr>
        <w:spacing w:after="0" w:line="15" w:lineRule="exact"/>
        <w:rPr>
          <w:rFonts w:ascii="Arial" w:cs="Arial" w:eastAsia="Arial" w:hAnsi="Arial"/>
          <w:sz w:val="16"/>
          <w:szCs w:val="16"/>
          <w:color w:val="auto"/>
        </w:rPr>
      </w:pPr>
    </w:p>
    <w:p>
      <w:pPr>
        <w:ind w:left="1044" w:right="20" w:hanging="1044"/>
        <w:spacing w:after="0" w:line="277"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Commitment Letter, dated February 21, 2021, by and between Global Energy &amp; Power Infrastructure Fund III, L.P. and GEPIF III Crown Bidco L.P.</w:t>
      </w:r>
    </w:p>
    <w:p>
      <w:pPr>
        <w:spacing w:after="0" w:line="75" w:lineRule="exact"/>
        <w:rPr>
          <w:rFonts w:ascii="Arial" w:cs="Arial" w:eastAsia="Arial" w:hAnsi="Arial"/>
          <w:sz w:val="18"/>
          <w:szCs w:val="18"/>
          <w:color w:val="auto"/>
        </w:rPr>
      </w:pPr>
    </w:p>
    <w:p>
      <w:pPr>
        <w:ind w:left="1044" w:hanging="1044"/>
        <w:spacing w:after="0" w:line="342" w:lineRule="auto"/>
        <w:tabs>
          <w:tab w:leader="none" w:pos="10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Rollover Agreement, dated February 21, 2021, by and among GasLog Ltd., GEPIF III Crown Bidco L.P. and the Rolling Shareholders (as defined herein) (incorporated by reference to Exhibit 2.2 to the Issuer’s Report on Form 6-K filed with the SEC on March 3, 2021)</w:t>
      </w:r>
    </w:p>
    <w:p>
      <w:pPr>
        <w:spacing w:after="0" w:line="29" w:lineRule="exact"/>
        <w:rPr>
          <w:rFonts w:ascii="Arial" w:cs="Arial" w:eastAsia="Arial" w:hAnsi="Arial"/>
          <w:sz w:val="16"/>
          <w:szCs w:val="16"/>
          <w:color w:val="auto"/>
        </w:rPr>
      </w:pPr>
    </w:p>
    <w:p>
      <w:pPr>
        <w:ind w:left="1044" w:right="180" w:hanging="1044"/>
        <w:spacing w:after="0" w:line="277"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of Attorney, dated January 2, 2019, relating to BlackRock, Inc. (incorporated by reference to Exhibit B to Schedule 13G filed by BlackRock, Inc. on February 8, 2019 (SEC file number 005-88645))</w:t>
      </w:r>
    </w:p>
    <w:p>
      <w:pPr>
        <w:sectPr>
          <w:pgSz w:w="11900" w:h="16838" w:orient="portrait"/>
          <w:cols w:equalWidth="0" w:num="1">
            <w:col w:w="10984"/>
          </w:cols>
          <w:pgMar w:left="436" w:top="274" w:right="47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BLACKROCK,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Maryles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Maryles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0460"/>
          </w:cols>
          <w:pgMar w:left="440" w:top="270" w:right="9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is a list of the executive officers and directors of BlackRock, Inc. (collectively, the “</w:t>
      </w:r>
      <w:r>
        <w:rPr>
          <w:rFonts w:ascii="Arial" w:cs="Arial" w:eastAsia="Arial" w:hAnsi="Arial"/>
          <w:sz w:val="16"/>
          <w:szCs w:val="16"/>
          <w:u w:val="single" w:color="auto"/>
          <w:color w:val="auto"/>
        </w:rPr>
        <w:t>Covered Persons</w:t>
      </w:r>
      <w:r>
        <w:rPr>
          <w:rFonts w:ascii="Arial" w:cs="Arial" w:eastAsia="Arial" w:hAnsi="Arial"/>
          <w:sz w:val="16"/>
          <w:szCs w:val="16"/>
          <w:color w:val="auto"/>
        </w:rPr>
        <w:t>”), setting forth the present principal occupation or employment and the name, principal business and address of any corporation or other organization in which such employment is conducted and citizenship for each such person. Each Covered Person is a citizen of the United States, unless otherwise noted, and does not have any other principal occupation (outside of similar positions held with respect to other entities directly or indirectly managed or advised by BlackRock, Inc.).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840" w:type="dxa"/>
            <w:vAlign w:val="bottom"/>
          </w:tcPr>
          <w:p>
            <w:pPr>
              <w:ind w:left="1620"/>
              <w:spacing w:after="0"/>
              <w:rPr>
                <w:sz w:val="20"/>
                <w:szCs w:val="20"/>
                <w:color w:val="auto"/>
              </w:rPr>
            </w:pPr>
            <w:r>
              <w:rPr>
                <w:rFonts w:ascii="Arial" w:cs="Arial" w:eastAsia="Arial" w:hAnsi="Arial"/>
                <w:sz w:val="14"/>
                <w:szCs w:val="14"/>
                <w:b w:val="1"/>
                <w:bCs w:val="1"/>
                <w:color w:val="auto"/>
              </w:rPr>
              <w:t>Principal Occupation or</w:t>
            </w:r>
          </w:p>
        </w:tc>
        <w:tc>
          <w:tcPr>
            <w:tcW w:w="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0"/>
        </w:trPr>
        <w:tc>
          <w:tcPr>
            <w:tcW w:w="2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40" w:type="dxa"/>
            <w:vAlign w:val="bottom"/>
          </w:tcPr>
          <w:p>
            <w:pPr>
              <w:ind w:left="1980"/>
              <w:spacing w:after="0"/>
              <w:rPr>
                <w:sz w:val="20"/>
                <w:szCs w:val="20"/>
                <w:color w:val="auto"/>
              </w:rPr>
            </w:pPr>
            <w:r>
              <w:rPr>
                <w:rFonts w:ascii="Arial" w:cs="Arial" w:eastAsia="Arial" w:hAnsi="Arial"/>
                <w:sz w:val="14"/>
                <w:szCs w:val="14"/>
                <w:b w:val="1"/>
                <w:bCs w:val="1"/>
                <w:color w:val="auto"/>
              </w:rPr>
              <w:t>Employment</w:t>
            </w:r>
          </w:p>
        </w:tc>
        <w:tc>
          <w:tcPr>
            <w:tcW w:w="280" w:type="dxa"/>
            <w:vAlign w:val="bottom"/>
          </w:tcPr>
          <w:p>
            <w:pPr>
              <w:spacing w:after="0"/>
              <w:rPr>
                <w:sz w:val="17"/>
                <w:szCs w:val="17"/>
                <w:color w:val="auto"/>
              </w:rPr>
            </w:pPr>
          </w:p>
        </w:tc>
        <w:tc>
          <w:tcPr>
            <w:tcW w:w="2740" w:type="dxa"/>
            <w:vAlign w:val="bottom"/>
          </w:tcPr>
          <w:p>
            <w:pPr>
              <w:ind w:left="680"/>
              <w:spacing w:after="0"/>
              <w:rPr>
                <w:sz w:val="20"/>
                <w:szCs w:val="20"/>
                <w:color w:val="auto"/>
              </w:rPr>
            </w:pPr>
            <w:r>
              <w:rPr>
                <w:rFonts w:ascii="Arial" w:cs="Arial" w:eastAsia="Arial" w:hAnsi="Arial"/>
                <w:sz w:val="14"/>
                <w:szCs w:val="14"/>
                <w:b w:val="1"/>
                <w:bCs w:val="1"/>
                <w:color w:val="auto"/>
              </w:rPr>
              <w:t>Business Address</w:t>
            </w:r>
          </w:p>
        </w:tc>
        <w:tc>
          <w:tcPr>
            <w:tcW w:w="1480" w:type="dxa"/>
            <w:vAlign w:val="bottom"/>
          </w:tcPr>
          <w:p>
            <w:pPr>
              <w:jc w:val="center"/>
              <w:ind w:left="172"/>
              <w:spacing w:after="0"/>
              <w:rPr>
                <w:sz w:val="20"/>
                <w:szCs w:val="20"/>
                <w:color w:val="auto"/>
              </w:rPr>
            </w:pPr>
            <w:r>
              <w:rPr>
                <w:rFonts w:ascii="Arial" w:cs="Arial" w:eastAsia="Arial" w:hAnsi="Arial"/>
                <w:sz w:val="14"/>
                <w:szCs w:val="14"/>
                <w:b w:val="1"/>
                <w:bCs w:val="1"/>
                <w:color w:val="auto"/>
                <w:w w:val="93"/>
              </w:rPr>
              <w:t>Citizenship</w:t>
            </w:r>
          </w:p>
        </w:tc>
      </w:tr>
      <w:tr>
        <w:trPr>
          <w:trHeight w:val="295"/>
        </w:trPr>
        <w:tc>
          <w:tcPr>
            <w:tcW w:w="2460" w:type="dxa"/>
            <w:vAlign w:val="bottom"/>
          </w:tcPr>
          <w:p>
            <w:pPr>
              <w:spacing w:after="0"/>
              <w:rPr>
                <w:sz w:val="20"/>
                <w:szCs w:val="20"/>
                <w:color w:val="auto"/>
              </w:rPr>
            </w:pPr>
            <w:r>
              <w:rPr>
                <w:rFonts w:ascii="Arial" w:cs="Arial" w:eastAsia="Arial" w:hAnsi="Arial"/>
                <w:sz w:val="18"/>
                <w:szCs w:val="18"/>
                <w:color w:val="auto"/>
              </w:rPr>
              <w:t>Laurence D. Fink</w:t>
            </w:r>
          </w:p>
        </w:tc>
        <w:tc>
          <w:tcPr>
            <w:tcW w:w="3840" w:type="dxa"/>
            <w:vAlign w:val="bottom"/>
          </w:tcPr>
          <w:p>
            <w:pPr>
              <w:ind w:left="940"/>
              <w:spacing w:after="0"/>
              <w:rPr>
                <w:sz w:val="20"/>
                <w:szCs w:val="20"/>
                <w:color w:val="auto"/>
              </w:rPr>
            </w:pPr>
            <w:r>
              <w:rPr>
                <w:rFonts w:ascii="Arial" w:cs="Arial" w:eastAsia="Arial" w:hAnsi="Arial"/>
                <w:sz w:val="18"/>
                <w:szCs w:val="18"/>
                <w:color w:val="auto"/>
                <w:w w:val="95"/>
              </w:rPr>
              <w:t>Chairman and Chief Executive Officer</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Robert S. Kapito</w:t>
            </w:r>
          </w:p>
        </w:tc>
        <w:tc>
          <w:tcPr>
            <w:tcW w:w="3840" w:type="dxa"/>
            <w:vAlign w:val="bottom"/>
          </w:tcPr>
          <w:p>
            <w:pPr>
              <w:ind w:left="940"/>
              <w:spacing w:after="0"/>
              <w:rPr>
                <w:sz w:val="20"/>
                <w:szCs w:val="20"/>
                <w:color w:val="auto"/>
              </w:rPr>
            </w:pPr>
            <w:r>
              <w:rPr>
                <w:rFonts w:ascii="Arial" w:cs="Arial" w:eastAsia="Arial" w:hAnsi="Arial"/>
                <w:sz w:val="18"/>
                <w:szCs w:val="18"/>
                <w:color w:val="auto"/>
              </w:rPr>
              <w:t>President</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Gary S. Shedlin</w:t>
            </w:r>
          </w:p>
        </w:tc>
        <w:tc>
          <w:tcPr>
            <w:tcW w:w="3840" w:type="dxa"/>
            <w:vAlign w:val="bottom"/>
          </w:tcPr>
          <w:p>
            <w:pPr>
              <w:ind w:left="940"/>
              <w:spacing w:after="0"/>
              <w:rPr>
                <w:sz w:val="20"/>
                <w:szCs w:val="20"/>
                <w:color w:val="auto"/>
              </w:rPr>
            </w:pPr>
            <w:r>
              <w:rPr>
                <w:rFonts w:ascii="Arial" w:cs="Arial" w:eastAsia="Arial" w:hAnsi="Arial"/>
                <w:sz w:val="18"/>
                <w:szCs w:val="18"/>
                <w:color w:val="auto"/>
              </w:rPr>
              <w:t>Senior Managing Director and Chief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Financial Officer</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Robert L. Goldstein</w:t>
            </w:r>
          </w:p>
        </w:tc>
        <w:tc>
          <w:tcPr>
            <w:tcW w:w="3840" w:type="dxa"/>
            <w:vAlign w:val="bottom"/>
          </w:tcPr>
          <w:p>
            <w:pPr>
              <w:ind w:left="940"/>
              <w:spacing w:after="0"/>
              <w:rPr>
                <w:sz w:val="20"/>
                <w:szCs w:val="20"/>
                <w:color w:val="auto"/>
              </w:rPr>
            </w:pPr>
            <w:r>
              <w:rPr>
                <w:rFonts w:ascii="Arial" w:cs="Arial" w:eastAsia="Arial" w:hAnsi="Arial"/>
                <w:sz w:val="18"/>
                <w:szCs w:val="18"/>
                <w:color w:val="auto"/>
              </w:rPr>
              <w:t>Senior Managing Director, Chief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Operating Officer &amp; Head of</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BlackRock Solutions</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J. Richard Kushel</w:t>
            </w:r>
          </w:p>
        </w:tc>
        <w:tc>
          <w:tcPr>
            <w:tcW w:w="3840" w:type="dxa"/>
            <w:vAlign w:val="bottom"/>
          </w:tcPr>
          <w:p>
            <w:pPr>
              <w:ind w:left="940"/>
              <w:spacing w:after="0"/>
              <w:rPr>
                <w:sz w:val="20"/>
                <w:szCs w:val="20"/>
                <w:color w:val="auto"/>
              </w:rPr>
            </w:pPr>
            <w:r>
              <w:rPr>
                <w:rFonts w:ascii="Arial" w:cs="Arial" w:eastAsia="Arial" w:hAnsi="Arial"/>
                <w:sz w:val="18"/>
                <w:szCs w:val="18"/>
                <w:color w:val="auto"/>
                <w:w w:val="93"/>
              </w:rPr>
              <w:t>Senior Managing Director and Head of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the Portfolio Management Group</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Rachel Lord</w:t>
            </w:r>
          </w:p>
        </w:tc>
        <w:tc>
          <w:tcPr>
            <w:tcW w:w="3840" w:type="dxa"/>
            <w:vAlign w:val="bottom"/>
          </w:tcPr>
          <w:p>
            <w:pPr>
              <w:ind w:left="940"/>
              <w:spacing w:after="0"/>
              <w:rPr>
                <w:sz w:val="20"/>
                <w:szCs w:val="20"/>
                <w:color w:val="auto"/>
              </w:rPr>
            </w:pPr>
            <w:r>
              <w:rPr>
                <w:rFonts w:ascii="Arial" w:cs="Arial" w:eastAsia="Arial" w:hAnsi="Arial"/>
                <w:sz w:val="18"/>
                <w:szCs w:val="18"/>
                <w:color w:val="auto"/>
                <w:w w:val="93"/>
              </w:rPr>
              <w:t>Senior Managing Director and Head of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72"/>
              <w:spacing w:after="0"/>
              <w:rPr>
                <w:sz w:val="20"/>
                <w:szCs w:val="20"/>
                <w:color w:val="auto"/>
              </w:rPr>
            </w:pPr>
            <w:r>
              <w:rPr>
                <w:rFonts w:ascii="Arial" w:cs="Arial" w:eastAsia="Arial" w:hAnsi="Arial"/>
                <w:sz w:val="18"/>
                <w:szCs w:val="18"/>
                <w:color w:val="auto"/>
                <w:w w:val="95"/>
              </w:rPr>
              <w:t>United Kingdom</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Europe, Middle East and Africa</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Drapers Gardens</w:t>
            </w:r>
          </w:p>
        </w:tc>
        <w:tc>
          <w:tcPr>
            <w:tcW w:w="14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12</w:t>
            </w:r>
          </w:p>
        </w:tc>
        <w:tc>
          <w:tcPr>
            <w:tcW w:w="2740" w:type="dxa"/>
            <w:vAlign w:val="bottom"/>
          </w:tcPr>
          <w:p>
            <w:pPr>
              <w:ind w:left="20"/>
              <w:spacing w:after="0"/>
              <w:rPr>
                <w:sz w:val="20"/>
                <w:szCs w:val="20"/>
                <w:color w:val="auto"/>
              </w:rPr>
            </w:pPr>
            <w:r>
              <w:rPr>
                <w:rFonts w:ascii="Arial" w:cs="Arial" w:eastAsia="Arial" w:hAnsi="Arial"/>
                <w:sz w:val="18"/>
                <w:szCs w:val="18"/>
                <w:color w:val="auto"/>
              </w:rPr>
              <w:t>Throgmorton Avenue</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London EC2N 2DL United Kingdom</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Mark S. McCombe</w:t>
            </w:r>
          </w:p>
        </w:tc>
        <w:tc>
          <w:tcPr>
            <w:tcW w:w="3840" w:type="dxa"/>
            <w:vAlign w:val="bottom"/>
          </w:tcPr>
          <w:p>
            <w:pPr>
              <w:ind w:left="940"/>
              <w:spacing w:after="0"/>
              <w:rPr>
                <w:sz w:val="20"/>
                <w:szCs w:val="20"/>
                <w:color w:val="auto"/>
              </w:rPr>
            </w:pPr>
            <w:r>
              <w:rPr>
                <w:rFonts w:ascii="Arial" w:cs="Arial" w:eastAsia="Arial" w:hAnsi="Arial"/>
                <w:sz w:val="18"/>
                <w:szCs w:val="18"/>
                <w:color w:val="auto"/>
              </w:rPr>
              <w:t>Senior Managing Director and Chief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Client Officer</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Christopher J. Meade</w:t>
            </w:r>
          </w:p>
        </w:tc>
        <w:tc>
          <w:tcPr>
            <w:tcW w:w="3840" w:type="dxa"/>
            <w:vAlign w:val="bottom"/>
          </w:tcPr>
          <w:p>
            <w:pPr>
              <w:ind w:left="940"/>
              <w:spacing w:after="0"/>
              <w:rPr>
                <w:sz w:val="20"/>
                <w:szCs w:val="20"/>
                <w:color w:val="auto"/>
              </w:rPr>
            </w:pPr>
            <w:r>
              <w:rPr>
                <w:rFonts w:ascii="Arial" w:cs="Arial" w:eastAsia="Arial" w:hAnsi="Arial"/>
                <w:sz w:val="18"/>
                <w:szCs w:val="18"/>
                <w:color w:val="auto"/>
                <w:w w:val="94"/>
              </w:rPr>
              <w:t>Senior Managing Director, Chief Legal</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Officer and General Counsel</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Manish Mehta</w:t>
            </w:r>
          </w:p>
        </w:tc>
        <w:tc>
          <w:tcPr>
            <w:tcW w:w="3840" w:type="dxa"/>
            <w:vAlign w:val="bottom"/>
          </w:tcPr>
          <w:p>
            <w:pPr>
              <w:ind w:left="940"/>
              <w:spacing w:after="0"/>
              <w:rPr>
                <w:sz w:val="20"/>
                <w:szCs w:val="20"/>
                <w:color w:val="auto"/>
              </w:rPr>
            </w:pPr>
            <w:r>
              <w:rPr>
                <w:rFonts w:ascii="Arial" w:cs="Arial" w:eastAsia="Arial" w:hAnsi="Arial"/>
                <w:sz w:val="18"/>
                <w:szCs w:val="18"/>
                <w:color w:val="auto"/>
              </w:rPr>
              <w:t>Senior Managing Director, Global</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rPr>
              <w:t>Head of Human Resources</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400 Howard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San Francisco, CA 94105</w:t>
            </w:r>
          </w:p>
        </w:tc>
        <w:tc>
          <w:tcPr>
            <w:tcW w:w="1480" w:type="dxa"/>
            <w:vAlign w:val="bottom"/>
          </w:tcPr>
          <w:p>
            <w:pPr>
              <w:spacing w:after="0"/>
              <w:rPr>
                <w:sz w:val="20"/>
                <w:szCs w:val="20"/>
                <w:color w:val="auto"/>
              </w:rPr>
            </w:pPr>
          </w:p>
        </w:tc>
      </w:tr>
      <w:tr>
        <w:trPr>
          <w:trHeight w:val="323"/>
        </w:trPr>
        <w:tc>
          <w:tcPr>
            <w:tcW w:w="2460" w:type="dxa"/>
            <w:vAlign w:val="bottom"/>
          </w:tcPr>
          <w:p>
            <w:pPr>
              <w:spacing w:after="0"/>
              <w:rPr>
                <w:sz w:val="20"/>
                <w:szCs w:val="20"/>
                <w:color w:val="auto"/>
              </w:rPr>
            </w:pPr>
            <w:r>
              <w:rPr>
                <w:rFonts w:ascii="Arial" w:cs="Arial" w:eastAsia="Arial" w:hAnsi="Arial"/>
                <w:sz w:val="18"/>
                <w:szCs w:val="18"/>
                <w:color w:val="auto"/>
              </w:rPr>
              <w:t>Mark Wiedman</w:t>
            </w:r>
          </w:p>
        </w:tc>
        <w:tc>
          <w:tcPr>
            <w:tcW w:w="3840" w:type="dxa"/>
            <w:vAlign w:val="bottom"/>
          </w:tcPr>
          <w:p>
            <w:pPr>
              <w:ind w:left="940"/>
              <w:spacing w:after="0"/>
              <w:rPr>
                <w:sz w:val="20"/>
                <w:szCs w:val="20"/>
                <w:color w:val="auto"/>
              </w:rPr>
            </w:pPr>
            <w:r>
              <w:rPr>
                <w:rFonts w:ascii="Arial" w:cs="Arial" w:eastAsia="Arial" w:hAnsi="Arial"/>
                <w:sz w:val="18"/>
                <w:szCs w:val="18"/>
                <w:color w:val="auto"/>
              </w:rPr>
              <w:t>Senior Managing Director, Head of</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BlackRock, Inc.</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91"/>
              </w:rPr>
              <w:t>U.S.</w:t>
            </w:r>
          </w:p>
        </w:tc>
      </w:tr>
      <w:tr>
        <w:trPr>
          <w:trHeight w:val="216"/>
        </w:trPr>
        <w:tc>
          <w:tcPr>
            <w:tcW w:w="2460" w:type="dxa"/>
            <w:vAlign w:val="bottom"/>
          </w:tcPr>
          <w:p>
            <w:pPr>
              <w:spacing w:after="0"/>
              <w:rPr>
                <w:sz w:val="18"/>
                <w:szCs w:val="18"/>
                <w:color w:val="auto"/>
              </w:rPr>
            </w:pPr>
          </w:p>
        </w:tc>
        <w:tc>
          <w:tcPr>
            <w:tcW w:w="3840" w:type="dxa"/>
            <w:vAlign w:val="bottom"/>
          </w:tcPr>
          <w:p>
            <w:pPr>
              <w:ind w:left="940"/>
              <w:spacing w:after="0"/>
              <w:rPr>
                <w:sz w:val="20"/>
                <w:szCs w:val="20"/>
                <w:color w:val="auto"/>
              </w:rPr>
            </w:pPr>
            <w:r>
              <w:rPr>
                <w:rFonts w:ascii="Arial" w:cs="Arial" w:eastAsia="Arial" w:hAnsi="Arial"/>
                <w:sz w:val="18"/>
                <w:szCs w:val="18"/>
                <w:color w:val="auto"/>
                <w:w w:val="92"/>
              </w:rPr>
              <w:t>International and of Corporate Strategy</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55</w:t>
            </w:r>
          </w:p>
        </w:tc>
        <w:tc>
          <w:tcPr>
            <w:tcW w:w="2740" w:type="dxa"/>
            <w:vAlign w:val="bottom"/>
          </w:tcPr>
          <w:p>
            <w:pPr>
              <w:ind w:left="20"/>
              <w:spacing w:after="0"/>
              <w:rPr>
                <w:sz w:val="20"/>
                <w:szCs w:val="20"/>
                <w:color w:val="auto"/>
              </w:rPr>
            </w:pPr>
            <w:r>
              <w:rPr>
                <w:rFonts w:ascii="Arial" w:cs="Arial" w:eastAsia="Arial" w:hAnsi="Arial"/>
                <w:sz w:val="18"/>
                <w:szCs w:val="18"/>
                <w:color w:val="auto"/>
              </w:rPr>
              <w:t>East 52nd Street</w:t>
            </w:r>
          </w:p>
        </w:tc>
        <w:tc>
          <w:tcPr>
            <w:tcW w:w="148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New York, NY 10055</w:t>
            </w:r>
          </w:p>
        </w:tc>
        <w:tc>
          <w:tcPr>
            <w:tcW w:w="1480" w:type="dxa"/>
            <w:vAlign w:val="bottom"/>
          </w:tcPr>
          <w:p>
            <w:pPr>
              <w:spacing w:after="0"/>
              <w:rPr>
                <w:sz w:val="20"/>
                <w:szCs w:val="20"/>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gridSpan w:val="2"/>
          </w:tcPr>
          <w:p>
            <w:pPr>
              <w:ind w:left="680"/>
              <w:spacing w:after="0"/>
              <w:rPr>
                <w:sz w:val="20"/>
                <w:szCs w:val="20"/>
                <w:color w:val="auto"/>
              </w:rPr>
            </w:pPr>
            <w:r>
              <w:rPr>
                <w:rFonts w:ascii="Arial" w:cs="Arial" w:eastAsia="Arial" w:hAnsi="Arial"/>
                <w:sz w:val="14"/>
                <w:szCs w:val="14"/>
                <w:b w:val="1"/>
                <w:bCs w:val="1"/>
                <w:color w:val="auto"/>
              </w:rPr>
              <w:t>Principal Occupation or</w:t>
            </w: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Business Address</w:t>
            </w:r>
          </w:p>
        </w:tc>
        <w:tc>
          <w:tcPr>
            <w:tcW w:w="14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0" w:type="dxa"/>
            <w:vAlign w:val="bottom"/>
          </w:tcPr>
          <w:p>
            <w:pPr>
              <w:spacing w:after="0"/>
              <w:rPr>
                <w:sz w:val="1"/>
                <w:szCs w:val="1"/>
                <w:color w:val="auto"/>
              </w:rPr>
            </w:pPr>
          </w:p>
        </w:tc>
      </w:tr>
      <w:tr>
        <w:trPr>
          <w:trHeight w:val="178"/>
        </w:trPr>
        <w:tc>
          <w:tcPr>
            <w:tcW w:w="3400" w:type="dxa"/>
            <w:vAlign w:val="bottom"/>
            <w:tcBorders>
              <w:bottom w:val="single" w:sz="8" w:color="auto"/>
            </w:tcBorders>
            <w:gridSpan w:val="2"/>
            <w:vMerge w:val="continue"/>
          </w:tcPr>
          <w:p>
            <w:pPr>
              <w:spacing w:after="0"/>
              <w:rPr>
                <w:sz w:val="15"/>
                <w:szCs w:val="15"/>
                <w:color w:val="auto"/>
              </w:rPr>
            </w:pPr>
          </w:p>
        </w:tc>
        <w:tc>
          <w:tcPr>
            <w:tcW w:w="28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Employment</w:t>
            </w:r>
          </w:p>
        </w:tc>
        <w:tc>
          <w:tcPr>
            <w:tcW w:w="10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400" w:type="dxa"/>
            <w:vAlign w:val="bottom"/>
            <w:gridSpan w:val="2"/>
          </w:tcPr>
          <w:p>
            <w:pPr>
              <w:spacing w:after="0"/>
              <w:rPr>
                <w:sz w:val="20"/>
                <w:szCs w:val="20"/>
                <w:color w:val="auto"/>
              </w:rPr>
            </w:pPr>
            <w:r>
              <w:rPr>
                <w:rFonts w:ascii="Arial" w:cs="Arial" w:eastAsia="Arial" w:hAnsi="Arial"/>
                <w:sz w:val="18"/>
                <w:szCs w:val="18"/>
                <w:color w:val="auto"/>
              </w:rPr>
              <w:t>Laurence D. Fink</w:t>
            </w:r>
          </w:p>
        </w:tc>
        <w:tc>
          <w:tcPr>
            <w:tcW w:w="2960" w:type="dxa"/>
            <w:vAlign w:val="bottom"/>
            <w:gridSpan w:val="2"/>
          </w:tcPr>
          <w:p>
            <w:pPr>
              <w:spacing w:after="0"/>
              <w:rPr>
                <w:sz w:val="20"/>
                <w:szCs w:val="20"/>
                <w:color w:val="auto"/>
              </w:rPr>
            </w:pPr>
            <w:r>
              <w:rPr>
                <w:rFonts w:ascii="Arial" w:cs="Arial" w:eastAsia="Arial" w:hAnsi="Arial"/>
                <w:sz w:val="18"/>
                <w:szCs w:val="18"/>
                <w:color w:val="auto"/>
                <w:w w:val="97"/>
              </w:rPr>
              <w:t>Chairman and Chief Executive Officer</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Robert S. Kapito</w:t>
            </w:r>
          </w:p>
        </w:tc>
        <w:tc>
          <w:tcPr>
            <w:tcW w:w="29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Bader M. Alsaad</w:t>
            </w:r>
          </w:p>
        </w:tc>
        <w:tc>
          <w:tcPr>
            <w:tcW w:w="2960" w:type="dxa"/>
            <w:vAlign w:val="bottom"/>
            <w:gridSpan w:val="2"/>
          </w:tcPr>
          <w:p>
            <w:pPr>
              <w:spacing w:after="0"/>
              <w:rPr>
                <w:sz w:val="20"/>
                <w:szCs w:val="20"/>
                <w:color w:val="auto"/>
              </w:rPr>
            </w:pPr>
            <w:r>
              <w:rPr>
                <w:rFonts w:ascii="Arial" w:cs="Arial" w:eastAsia="Arial" w:hAnsi="Arial"/>
                <w:sz w:val="18"/>
                <w:szCs w:val="18"/>
                <w:color w:val="auto"/>
                <w:w w:val="97"/>
              </w:rPr>
              <w:t>Kuwait Investment Authority – Former</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Kuwait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Mathis Cabiallavetta</w:t>
            </w:r>
          </w:p>
        </w:tc>
        <w:tc>
          <w:tcPr>
            <w:tcW w:w="2960" w:type="dxa"/>
            <w:vAlign w:val="bottom"/>
            <w:gridSpan w:val="2"/>
          </w:tcPr>
          <w:p>
            <w:pPr>
              <w:spacing w:after="0"/>
              <w:rPr>
                <w:sz w:val="20"/>
                <w:szCs w:val="20"/>
                <w:color w:val="auto"/>
              </w:rPr>
            </w:pPr>
            <w:r>
              <w:rPr>
                <w:rFonts w:ascii="Arial" w:cs="Arial" w:eastAsia="Arial" w:hAnsi="Arial"/>
                <w:sz w:val="18"/>
                <w:szCs w:val="18"/>
                <w:color w:val="auto"/>
              </w:rPr>
              <w:t>UBS – Former Chairman</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Pamela Daley</w:t>
            </w:r>
          </w:p>
        </w:tc>
        <w:tc>
          <w:tcPr>
            <w:tcW w:w="2960" w:type="dxa"/>
            <w:vAlign w:val="bottom"/>
            <w:gridSpan w:val="2"/>
          </w:tcPr>
          <w:p>
            <w:pPr>
              <w:spacing w:after="0"/>
              <w:rPr>
                <w:sz w:val="20"/>
                <w:szCs w:val="20"/>
                <w:color w:val="auto"/>
              </w:rPr>
            </w:pPr>
            <w:r>
              <w:rPr>
                <w:rFonts w:ascii="Arial" w:cs="Arial" w:eastAsia="Arial" w:hAnsi="Arial"/>
                <w:sz w:val="18"/>
                <w:szCs w:val="18"/>
                <w:color w:val="auto"/>
              </w:rPr>
              <w:t>General Electric Company—Former</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Senior Vice President of Corporate</w:t>
            </w: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Business Development</w:t>
            </w: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Jessica Einhorn</w:t>
            </w:r>
          </w:p>
        </w:tc>
        <w:tc>
          <w:tcPr>
            <w:tcW w:w="2960" w:type="dxa"/>
            <w:vAlign w:val="bottom"/>
            <w:gridSpan w:val="2"/>
          </w:tcPr>
          <w:p>
            <w:pPr>
              <w:spacing w:after="0"/>
              <w:rPr>
                <w:sz w:val="20"/>
                <w:szCs w:val="20"/>
                <w:color w:val="auto"/>
              </w:rPr>
            </w:pPr>
            <w:r>
              <w:rPr>
                <w:rFonts w:ascii="Arial" w:cs="Arial" w:eastAsia="Arial" w:hAnsi="Arial"/>
                <w:sz w:val="18"/>
                <w:szCs w:val="18"/>
                <w:color w:val="auto"/>
              </w:rPr>
              <w:t>Paul H. Nitze School of Advanced</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5"/>
              </w:rPr>
              <w:t>International Studies at Johns Hopkins</w:t>
            </w: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University—Former Dean</w:t>
            </w: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William E. Ford</w:t>
            </w:r>
          </w:p>
        </w:tc>
        <w:tc>
          <w:tcPr>
            <w:tcW w:w="2960" w:type="dxa"/>
            <w:vAlign w:val="bottom"/>
            <w:gridSpan w:val="2"/>
          </w:tcPr>
          <w:p>
            <w:pPr>
              <w:spacing w:after="0"/>
              <w:rPr>
                <w:sz w:val="20"/>
                <w:szCs w:val="20"/>
                <w:color w:val="auto"/>
              </w:rPr>
            </w:pPr>
            <w:r>
              <w:rPr>
                <w:rFonts w:ascii="Arial" w:cs="Arial" w:eastAsia="Arial" w:hAnsi="Arial"/>
                <w:sz w:val="18"/>
                <w:szCs w:val="18"/>
                <w:color w:val="auto"/>
              </w:rPr>
              <w:t>General Atlantic – Chief Executive</w:t>
            </w:r>
          </w:p>
        </w:tc>
        <w:tc>
          <w:tcPr>
            <w:tcW w:w="3000" w:type="dxa"/>
            <w:vAlign w:val="bottom"/>
            <w:gridSpan w:val="2"/>
          </w:tcPr>
          <w:p>
            <w:pPr>
              <w:spacing w:after="0"/>
              <w:rPr>
                <w:sz w:val="20"/>
                <w:szCs w:val="20"/>
                <w:color w:val="auto"/>
              </w:rPr>
            </w:pPr>
            <w:r>
              <w:rPr>
                <w:rFonts w:ascii="Arial" w:cs="Arial" w:eastAsia="Arial" w:hAnsi="Arial"/>
                <w:sz w:val="18"/>
                <w:szCs w:val="18"/>
                <w:color w:val="auto"/>
              </w:rPr>
              <w:t>General Atlantic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000" w:type="dxa"/>
            <w:vAlign w:val="bottom"/>
            <w:gridSpan w:val="2"/>
          </w:tcPr>
          <w:p>
            <w:pPr>
              <w:spacing w:after="0"/>
              <w:rPr>
                <w:sz w:val="20"/>
                <w:szCs w:val="20"/>
                <w:color w:val="auto"/>
              </w:rPr>
            </w:pPr>
            <w:r>
              <w:rPr>
                <w:rFonts w:ascii="Arial" w:cs="Arial" w:eastAsia="Arial" w:hAnsi="Arial"/>
                <w:sz w:val="18"/>
                <w:szCs w:val="18"/>
                <w:color w:val="auto"/>
              </w:rPr>
              <w:t>Park Avenue Plaza</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 33rd Fl</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Fabrizio Freda</w:t>
            </w:r>
          </w:p>
        </w:tc>
        <w:tc>
          <w:tcPr>
            <w:tcW w:w="2960" w:type="dxa"/>
            <w:vAlign w:val="bottom"/>
            <w:gridSpan w:val="2"/>
          </w:tcPr>
          <w:p>
            <w:pPr>
              <w:spacing w:after="0"/>
              <w:rPr>
                <w:sz w:val="20"/>
                <w:szCs w:val="20"/>
                <w:color w:val="auto"/>
              </w:rPr>
            </w:pPr>
            <w:r>
              <w:rPr>
                <w:rFonts w:ascii="Arial" w:cs="Arial" w:eastAsia="Arial" w:hAnsi="Arial"/>
                <w:sz w:val="18"/>
                <w:szCs w:val="18"/>
                <w:color w:val="auto"/>
              </w:rPr>
              <w:t>The Estée Lauder Companies Inc.—</w:t>
            </w:r>
          </w:p>
        </w:tc>
        <w:tc>
          <w:tcPr>
            <w:tcW w:w="3000" w:type="dxa"/>
            <w:vAlign w:val="bottom"/>
            <w:gridSpan w:val="2"/>
          </w:tcPr>
          <w:p>
            <w:pPr>
              <w:spacing w:after="0"/>
              <w:rPr>
                <w:sz w:val="20"/>
                <w:szCs w:val="20"/>
                <w:color w:val="auto"/>
              </w:rPr>
            </w:pPr>
            <w:r>
              <w:rPr>
                <w:rFonts w:ascii="Arial" w:cs="Arial" w:eastAsia="Arial" w:hAnsi="Arial"/>
                <w:sz w:val="18"/>
                <w:szCs w:val="18"/>
                <w:color w:val="auto"/>
              </w:rPr>
              <w:t>Estée Lauder Companies</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Italy &amp; 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w:t>
            </w:r>
          </w:p>
        </w:tc>
        <w:tc>
          <w:tcPr>
            <w:tcW w:w="3000" w:type="dxa"/>
            <w:vAlign w:val="bottom"/>
            <w:gridSpan w:val="2"/>
          </w:tcPr>
          <w:p>
            <w:pPr>
              <w:spacing w:after="0"/>
              <w:rPr>
                <w:sz w:val="20"/>
                <w:szCs w:val="20"/>
                <w:color w:val="auto"/>
              </w:rPr>
            </w:pPr>
            <w:r>
              <w:rPr>
                <w:rFonts w:ascii="Arial" w:cs="Arial" w:eastAsia="Arial" w:hAnsi="Arial"/>
                <w:sz w:val="18"/>
                <w:szCs w:val="18"/>
                <w:color w:val="auto"/>
              </w:rPr>
              <w:t>767 Fifth Avenue, 40th Fl</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10153</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Murry S. Gerber</w:t>
            </w: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EQT Corporation—Former Executive</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Chairman, Chairman,</w:t>
            </w:r>
          </w:p>
        </w:tc>
        <w:tc>
          <w:tcPr>
            <w:tcW w:w="300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Margaret L. Johnson</w:t>
            </w:r>
          </w:p>
        </w:tc>
        <w:tc>
          <w:tcPr>
            <w:tcW w:w="2960" w:type="dxa"/>
            <w:vAlign w:val="bottom"/>
            <w:gridSpan w:val="2"/>
          </w:tcPr>
          <w:p>
            <w:pPr>
              <w:spacing w:after="0"/>
              <w:rPr>
                <w:sz w:val="20"/>
                <w:szCs w:val="20"/>
                <w:color w:val="auto"/>
              </w:rPr>
            </w:pPr>
            <w:r>
              <w:rPr>
                <w:rFonts w:ascii="Arial" w:cs="Arial" w:eastAsia="Arial" w:hAnsi="Arial"/>
                <w:sz w:val="18"/>
                <w:szCs w:val="18"/>
                <w:color w:val="auto"/>
              </w:rPr>
              <w:t>Magic Leap Inc. – Chief Executive</w:t>
            </w:r>
          </w:p>
        </w:tc>
        <w:tc>
          <w:tcPr>
            <w:tcW w:w="3000" w:type="dxa"/>
            <w:vAlign w:val="bottom"/>
            <w:gridSpan w:val="2"/>
          </w:tcPr>
          <w:p>
            <w:pPr>
              <w:spacing w:after="0"/>
              <w:rPr>
                <w:sz w:val="20"/>
                <w:szCs w:val="20"/>
                <w:color w:val="auto"/>
              </w:rPr>
            </w:pPr>
            <w:r>
              <w:rPr>
                <w:rFonts w:ascii="Arial" w:cs="Arial" w:eastAsia="Arial" w:hAnsi="Arial"/>
                <w:sz w:val="18"/>
                <w:szCs w:val="18"/>
                <w:color w:val="auto"/>
              </w:rPr>
              <w:t>Magic Leap, Inc.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000" w:type="dxa"/>
            <w:vAlign w:val="bottom"/>
            <w:gridSpan w:val="2"/>
          </w:tcPr>
          <w:p>
            <w:pPr>
              <w:spacing w:after="0"/>
              <w:rPr>
                <w:sz w:val="20"/>
                <w:szCs w:val="20"/>
                <w:color w:val="auto"/>
              </w:rPr>
            </w:pPr>
            <w:r>
              <w:rPr>
                <w:rFonts w:ascii="Arial" w:cs="Arial" w:eastAsia="Arial" w:hAnsi="Arial"/>
                <w:sz w:val="18"/>
                <w:szCs w:val="18"/>
                <w:color w:val="auto"/>
              </w:rPr>
              <w:t>7500 W. Sunrise Blvd.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Plantation, FL 33322</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00" w:type="dxa"/>
            <w:vAlign w:val="bottom"/>
            <w:gridSpan w:val="2"/>
          </w:tcPr>
          <w:p>
            <w:pPr>
              <w:spacing w:after="0"/>
              <w:rPr>
                <w:sz w:val="20"/>
                <w:szCs w:val="20"/>
                <w:color w:val="auto"/>
              </w:rPr>
            </w:pPr>
            <w:r>
              <w:rPr>
                <w:rFonts w:ascii="Arial" w:cs="Arial" w:eastAsia="Arial" w:hAnsi="Arial"/>
                <w:sz w:val="18"/>
                <w:szCs w:val="18"/>
                <w:color w:val="auto"/>
              </w:rPr>
              <w:t>Cheryl D. Mills</w:t>
            </w:r>
          </w:p>
        </w:tc>
        <w:tc>
          <w:tcPr>
            <w:tcW w:w="2960" w:type="dxa"/>
            <w:vAlign w:val="bottom"/>
            <w:gridSpan w:val="2"/>
          </w:tcPr>
          <w:p>
            <w:pPr>
              <w:spacing w:after="0"/>
              <w:rPr>
                <w:sz w:val="20"/>
                <w:szCs w:val="20"/>
                <w:color w:val="auto"/>
              </w:rPr>
            </w:pPr>
            <w:r>
              <w:rPr>
                <w:rFonts w:ascii="Arial" w:cs="Arial" w:eastAsia="Arial" w:hAnsi="Arial"/>
                <w:sz w:val="18"/>
                <w:szCs w:val="18"/>
                <w:color w:val="auto"/>
              </w:rPr>
              <w:t>BlackIvy Group LLC—Chief</w:t>
            </w:r>
          </w:p>
        </w:tc>
        <w:tc>
          <w:tcPr>
            <w:tcW w:w="3000" w:type="dxa"/>
            <w:vAlign w:val="bottom"/>
            <w:gridSpan w:val="2"/>
          </w:tcPr>
          <w:p>
            <w:pPr>
              <w:spacing w:after="0"/>
              <w:rPr>
                <w:sz w:val="20"/>
                <w:szCs w:val="20"/>
                <w:color w:val="auto"/>
              </w:rPr>
            </w:pPr>
            <w:r>
              <w:rPr>
                <w:rFonts w:ascii="Arial" w:cs="Arial" w:eastAsia="Arial" w:hAnsi="Arial"/>
                <w:sz w:val="18"/>
                <w:szCs w:val="18"/>
                <w:color w:val="auto"/>
              </w:rPr>
              <w:t>BlackIvy Group LLC</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3000" w:type="dxa"/>
            <w:vAlign w:val="bottom"/>
            <w:gridSpan w:val="2"/>
          </w:tcPr>
          <w:p>
            <w:pPr>
              <w:spacing w:after="0"/>
              <w:rPr>
                <w:sz w:val="20"/>
                <w:szCs w:val="20"/>
                <w:color w:val="auto"/>
              </w:rPr>
            </w:pPr>
            <w:r>
              <w:rPr>
                <w:rFonts w:ascii="Arial" w:cs="Arial" w:eastAsia="Arial" w:hAnsi="Arial"/>
                <w:sz w:val="18"/>
                <w:szCs w:val="18"/>
                <w:color w:val="auto"/>
              </w:rPr>
              <w:t>2300 N Street NW</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Suite 630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Washington DC 20037</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Gordon M. Nixon</w:t>
            </w:r>
          </w:p>
        </w:tc>
        <w:tc>
          <w:tcPr>
            <w:tcW w:w="3560" w:type="dxa"/>
            <w:vAlign w:val="bottom"/>
          </w:tcPr>
          <w:p>
            <w:pPr>
              <w:ind w:left="700"/>
              <w:spacing w:after="0"/>
              <w:rPr>
                <w:sz w:val="20"/>
                <w:szCs w:val="20"/>
                <w:color w:val="auto"/>
              </w:rPr>
            </w:pPr>
            <w:r>
              <w:rPr>
                <w:rFonts w:ascii="Arial" w:cs="Arial" w:eastAsia="Arial" w:hAnsi="Arial"/>
                <w:sz w:val="18"/>
                <w:szCs w:val="18"/>
                <w:color w:val="auto"/>
              </w:rPr>
              <w:t>Royal Bank of Canada—Former</w:t>
            </w:r>
          </w:p>
        </w:tc>
        <w:tc>
          <w:tcPr>
            <w:tcW w:w="3160" w:type="dxa"/>
            <w:vAlign w:val="bottom"/>
          </w:tcPr>
          <w:p>
            <w:pPr>
              <w:ind w:left="100"/>
              <w:spacing w:after="0"/>
              <w:rPr>
                <w:sz w:val="20"/>
                <w:szCs w:val="20"/>
                <w:color w:val="auto"/>
              </w:rPr>
            </w:pPr>
            <w:r>
              <w:rPr>
                <w:rFonts w:ascii="Arial" w:cs="Arial" w:eastAsia="Arial" w:hAnsi="Arial"/>
                <w:sz w:val="18"/>
                <w:szCs w:val="18"/>
                <w:color w:val="auto"/>
              </w:rPr>
              <w:t>BlackRock, Inc.</w:t>
            </w:r>
          </w:p>
        </w:tc>
        <w:tc>
          <w:tcPr>
            <w:tcW w:w="1260" w:type="dxa"/>
            <w:vAlign w:val="bottom"/>
          </w:tcPr>
          <w:p>
            <w:pPr>
              <w:jc w:val="center"/>
              <w:ind w:left="190"/>
              <w:spacing w:after="0"/>
              <w:rPr>
                <w:sz w:val="20"/>
                <w:szCs w:val="20"/>
                <w:color w:val="auto"/>
              </w:rPr>
            </w:pPr>
            <w:r>
              <w:rPr>
                <w:rFonts w:ascii="Arial" w:cs="Arial" w:eastAsia="Arial" w:hAnsi="Arial"/>
                <w:sz w:val="18"/>
                <w:szCs w:val="18"/>
                <w:color w:val="auto"/>
                <w:w w:val="85"/>
              </w:rPr>
              <w:t>Canada</w:t>
            </w:r>
          </w:p>
        </w:tc>
      </w:tr>
      <w:tr>
        <w:trPr>
          <w:trHeight w:val="216"/>
        </w:trPr>
        <w:tc>
          <w:tcPr>
            <w:tcW w:w="2700" w:type="dxa"/>
            <w:vAlign w:val="bottom"/>
          </w:tcPr>
          <w:p>
            <w:pPr>
              <w:spacing w:after="0"/>
              <w:rPr>
                <w:sz w:val="18"/>
                <w:szCs w:val="18"/>
                <w:color w:val="auto"/>
              </w:rPr>
            </w:pPr>
          </w:p>
        </w:tc>
        <w:tc>
          <w:tcPr>
            <w:tcW w:w="3560" w:type="dxa"/>
            <w:vAlign w:val="bottom"/>
          </w:tcPr>
          <w:p>
            <w:pPr>
              <w:ind w:left="700"/>
              <w:spacing w:after="0"/>
              <w:rPr>
                <w:sz w:val="20"/>
                <w:szCs w:val="20"/>
                <w:color w:val="auto"/>
              </w:rPr>
            </w:pPr>
            <w:r>
              <w:rPr>
                <w:rFonts w:ascii="Arial" w:cs="Arial" w:eastAsia="Arial" w:hAnsi="Arial"/>
                <w:sz w:val="18"/>
                <w:szCs w:val="18"/>
                <w:color w:val="auto"/>
                <w:w w:val="99"/>
              </w:rPr>
              <w:t>President, CEO and Board Member</w:t>
            </w:r>
          </w:p>
        </w:tc>
        <w:tc>
          <w:tcPr>
            <w:tcW w:w="3160" w:type="dxa"/>
            <w:vAlign w:val="bottom"/>
          </w:tcPr>
          <w:p>
            <w:pPr>
              <w:ind w:left="100"/>
              <w:spacing w:after="0"/>
              <w:rPr>
                <w:sz w:val="20"/>
                <w:szCs w:val="20"/>
                <w:color w:val="auto"/>
              </w:rPr>
            </w:pPr>
            <w:r>
              <w:rPr>
                <w:rFonts w:ascii="Arial" w:cs="Arial" w:eastAsia="Arial" w:hAnsi="Arial"/>
                <w:sz w:val="18"/>
                <w:szCs w:val="18"/>
                <w:color w:val="auto"/>
              </w:rPr>
              <w:t>55 East 52nd Street</w:t>
            </w:r>
          </w:p>
        </w:tc>
        <w:tc>
          <w:tcPr>
            <w:tcW w:w="12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New York, NY 10055</w:t>
            </w:r>
          </w:p>
        </w:tc>
        <w:tc>
          <w:tcPr>
            <w:tcW w:w="12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Charles H. Robbins</w:t>
            </w:r>
          </w:p>
        </w:tc>
        <w:tc>
          <w:tcPr>
            <w:tcW w:w="3560" w:type="dxa"/>
            <w:vAlign w:val="bottom"/>
          </w:tcPr>
          <w:p>
            <w:pPr>
              <w:ind w:left="700"/>
              <w:spacing w:after="0"/>
              <w:rPr>
                <w:sz w:val="20"/>
                <w:szCs w:val="20"/>
                <w:color w:val="auto"/>
              </w:rPr>
            </w:pPr>
            <w:r>
              <w:rPr>
                <w:rFonts w:ascii="Arial" w:cs="Arial" w:eastAsia="Arial" w:hAnsi="Arial"/>
                <w:sz w:val="18"/>
                <w:szCs w:val="18"/>
                <w:color w:val="auto"/>
                <w:w w:val="94"/>
              </w:rPr>
              <w:t>Cisco Systems, Inc.—Chief Executive</w:t>
            </w:r>
          </w:p>
        </w:tc>
        <w:tc>
          <w:tcPr>
            <w:tcW w:w="3160" w:type="dxa"/>
            <w:vAlign w:val="bottom"/>
          </w:tcPr>
          <w:p>
            <w:pPr>
              <w:ind w:left="100"/>
              <w:spacing w:after="0"/>
              <w:rPr>
                <w:sz w:val="20"/>
                <w:szCs w:val="20"/>
                <w:color w:val="auto"/>
              </w:rPr>
            </w:pPr>
            <w:r>
              <w:rPr>
                <w:rFonts w:ascii="Arial" w:cs="Arial" w:eastAsia="Arial" w:hAnsi="Arial"/>
                <w:sz w:val="18"/>
                <w:szCs w:val="18"/>
                <w:color w:val="auto"/>
              </w:rPr>
              <w:t>Cisco Systems, Inc.</w:t>
            </w:r>
          </w:p>
        </w:tc>
        <w:tc>
          <w:tcPr>
            <w:tcW w:w="1260" w:type="dxa"/>
            <w:vAlign w:val="bottom"/>
          </w:tcPr>
          <w:p>
            <w:pPr>
              <w:jc w:val="center"/>
              <w:ind w:left="170"/>
              <w:spacing w:after="0"/>
              <w:rPr>
                <w:sz w:val="20"/>
                <w:szCs w:val="20"/>
                <w:color w:val="auto"/>
              </w:rPr>
            </w:pPr>
            <w:r>
              <w:rPr>
                <w:rFonts w:ascii="Arial" w:cs="Arial" w:eastAsia="Arial" w:hAnsi="Arial"/>
                <w:sz w:val="18"/>
                <w:szCs w:val="18"/>
                <w:color w:val="auto"/>
                <w:w w:val="91"/>
              </w:rPr>
              <w:t>U.S.</w:t>
            </w:r>
          </w:p>
        </w:tc>
      </w:tr>
      <w:tr>
        <w:trPr>
          <w:trHeight w:val="216"/>
        </w:trPr>
        <w:tc>
          <w:tcPr>
            <w:tcW w:w="2700" w:type="dxa"/>
            <w:vAlign w:val="bottom"/>
          </w:tcPr>
          <w:p>
            <w:pPr>
              <w:spacing w:after="0"/>
              <w:rPr>
                <w:sz w:val="18"/>
                <w:szCs w:val="18"/>
                <w:color w:val="auto"/>
              </w:rPr>
            </w:pPr>
          </w:p>
        </w:tc>
        <w:tc>
          <w:tcPr>
            <w:tcW w:w="3560" w:type="dxa"/>
            <w:vAlign w:val="bottom"/>
          </w:tcPr>
          <w:p>
            <w:pPr>
              <w:ind w:left="700"/>
              <w:spacing w:after="0"/>
              <w:rPr>
                <w:sz w:val="20"/>
                <w:szCs w:val="20"/>
                <w:color w:val="auto"/>
              </w:rPr>
            </w:pPr>
            <w:r>
              <w:rPr>
                <w:rFonts w:ascii="Arial" w:cs="Arial" w:eastAsia="Arial" w:hAnsi="Arial"/>
                <w:sz w:val="18"/>
                <w:szCs w:val="18"/>
                <w:color w:val="auto"/>
              </w:rPr>
              <w:t>Officer and Board Member</w:t>
            </w:r>
          </w:p>
        </w:tc>
        <w:tc>
          <w:tcPr>
            <w:tcW w:w="3160" w:type="dxa"/>
            <w:vAlign w:val="bottom"/>
          </w:tcPr>
          <w:p>
            <w:pPr>
              <w:ind w:left="100"/>
              <w:spacing w:after="0"/>
              <w:rPr>
                <w:sz w:val="20"/>
                <w:szCs w:val="20"/>
                <w:color w:val="auto"/>
              </w:rPr>
            </w:pPr>
            <w:r>
              <w:rPr>
                <w:rFonts w:ascii="Arial" w:cs="Arial" w:eastAsia="Arial" w:hAnsi="Arial"/>
                <w:sz w:val="18"/>
                <w:szCs w:val="18"/>
                <w:color w:val="auto"/>
              </w:rPr>
              <w:t>170 West Tasman Drive</w:t>
            </w:r>
          </w:p>
        </w:tc>
        <w:tc>
          <w:tcPr>
            <w:tcW w:w="12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San Jose, CA 95134</w:t>
            </w:r>
          </w:p>
        </w:tc>
        <w:tc>
          <w:tcPr>
            <w:tcW w:w="12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Marco Antonio Slim Domit</w:t>
            </w:r>
          </w:p>
        </w:tc>
        <w:tc>
          <w:tcPr>
            <w:tcW w:w="3560" w:type="dxa"/>
            <w:vAlign w:val="bottom"/>
          </w:tcPr>
          <w:p>
            <w:pPr>
              <w:ind w:left="700"/>
              <w:spacing w:after="0"/>
              <w:rPr>
                <w:sz w:val="20"/>
                <w:szCs w:val="20"/>
                <w:color w:val="auto"/>
              </w:rPr>
            </w:pPr>
            <w:r>
              <w:rPr>
                <w:rFonts w:ascii="Arial" w:cs="Arial" w:eastAsia="Arial" w:hAnsi="Arial"/>
                <w:sz w:val="18"/>
                <w:szCs w:val="18"/>
                <w:color w:val="auto"/>
                <w:w w:val="97"/>
              </w:rPr>
              <w:t>Grupo Financiero Inbursa, S.A.B. de</w:t>
            </w:r>
          </w:p>
        </w:tc>
        <w:tc>
          <w:tcPr>
            <w:tcW w:w="3160" w:type="dxa"/>
            <w:vAlign w:val="bottom"/>
          </w:tcPr>
          <w:p>
            <w:pPr>
              <w:ind w:left="100"/>
              <w:spacing w:after="0"/>
              <w:rPr>
                <w:sz w:val="20"/>
                <w:szCs w:val="20"/>
                <w:color w:val="auto"/>
              </w:rPr>
            </w:pPr>
            <w:r>
              <w:rPr>
                <w:rFonts w:ascii="Arial" w:cs="Arial" w:eastAsia="Arial" w:hAnsi="Arial"/>
                <w:sz w:val="18"/>
                <w:szCs w:val="18"/>
                <w:color w:val="auto"/>
              </w:rPr>
              <w:t>Grupo Financiero Inbursa</w:t>
            </w:r>
          </w:p>
        </w:tc>
        <w:tc>
          <w:tcPr>
            <w:tcW w:w="1260" w:type="dxa"/>
            <w:vAlign w:val="bottom"/>
          </w:tcPr>
          <w:p>
            <w:pPr>
              <w:jc w:val="center"/>
              <w:ind w:left="190"/>
              <w:spacing w:after="0"/>
              <w:rPr>
                <w:sz w:val="20"/>
                <w:szCs w:val="20"/>
                <w:color w:val="auto"/>
              </w:rPr>
            </w:pPr>
            <w:r>
              <w:rPr>
                <w:rFonts w:ascii="Arial" w:cs="Arial" w:eastAsia="Arial" w:hAnsi="Arial"/>
                <w:sz w:val="18"/>
                <w:szCs w:val="18"/>
                <w:color w:val="auto"/>
                <w:w w:val="94"/>
              </w:rPr>
              <w:t>Mexico</w:t>
            </w:r>
          </w:p>
        </w:tc>
      </w:tr>
      <w:tr>
        <w:trPr>
          <w:trHeight w:val="216"/>
        </w:trPr>
        <w:tc>
          <w:tcPr>
            <w:tcW w:w="2700" w:type="dxa"/>
            <w:vAlign w:val="bottom"/>
          </w:tcPr>
          <w:p>
            <w:pPr>
              <w:spacing w:after="0"/>
              <w:rPr>
                <w:sz w:val="18"/>
                <w:szCs w:val="18"/>
                <w:color w:val="auto"/>
              </w:rPr>
            </w:pPr>
          </w:p>
        </w:tc>
        <w:tc>
          <w:tcPr>
            <w:tcW w:w="3560" w:type="dxa"/>
            <w:vAlign w:val="bottom"/>
          </w:tcPr>
          <w:p>
            <w:pPr>
              <w:ind w:left="700"/>
              <w:spacing w:after="0"/>
              <w:rPr>
                <w:sz w:val="20"/>
                <w:szCs w:val="20"/>
                <w:color w:val="auto"/>
              </w:rPr>
            </w:pPr>
            <w:r>
              <w:rPr>
                <w:rFonts w:ascii="Arial" w:cs="Arial" w:eastAsia="Arial" w:hAnsi="Arial"/>
                <w:sz w:val="18"/>
                <w:szCs w:val="18"/>
                <w:color w:val="auto"/>
              </w:rPr>
              <w:t>C.V.—Chairman</w:t>
            </w:r>
          </w:p>
        </w:tc>
        <w:tc>
          <w:tcPr>
            <w:tcW w:w="3160" w:type="dxa"/>
            <w:vAlign w:val="bottom"/>
          </w:tcPr>
          <w:p>
            <w:pPr>
              <w:ind w:left="100"/>
              <w:spacing w:after="0"/>
              <w:rPr>
                <w:sz w:val="20"/>
                <w:szCs w:val="20"/>
                <w:color w:val="auto"/>
              </w:rPr>
            </w:pPr>
            <w:r>
              <w:rPr>
                <w:rFonts w:ascii="Arial" w:cs="Arial" w:eastAsia="Arial" w:hAnsi="Arial"/>
                <w:sz w:val="18"/>
                <w:szCs w:val="18"/>
                <w:color w:val="auto"/>
                <w:w w:val="97"/>
              </w:rPr>
              <w:t>Av. Paseo de las Palmas, #736 Floor 1</w:t>
            </w:r>
          </w:p>
        </w:tc>
        <w:tc>
          <w:tcPr>
            <w:tcW w:w="12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Colonia Lomas de Chapultepec</w:t>
            </w:r>
          </w:p>
        </w:tc>
        <w:tc>
          <w:tcPr>
            <w:tcW w:w="12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C.P. 11000, México D.F.</w:t>
            </w:r>
          </w:p>
        </w:tc>
        <w:tc>
          <w:tcPr>
            <w:tcW w:w="12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Susan L. Wagner</w:t>
            </w:r>
          </w:p>
        </w:tc>
        <w:tc>
          <w:tcPr>
            <w:tcW w:w="3560" w:type="dxa"/>
            <w:vAlign w:val="bottom"/>
          </w:tcPr>
          <w:p>
            <w:pPr>
              <w:ind w:left="700"/>
              <w:spacing w:after="0"/>
              <w:rPr>
                <w:sz w:val="20"/>
                <w:szCs w:val="20"/>
                <w:color w:val="auto"/>
              </w:rPr>
            </w:pPr>
            <w:r>
              <w:rPr>
                <w:rFonts w:ascii="Arial" w:cs="Arial" w:eastAsia="Arial" w:hAnsi="Arial"/>
                <w:sz w:val="18"/>
                <w:szCs w:val="18"/>
                <w:color w:val="auto"/>
                <w:w w:val="99"/>
              </w:rPr>
              <w:t>BlackRock—Former Vice Chairman</w:t>
            </w:r>
          </w:p>
        </w:tc>
        <w:tc>
          <w:tcPr>
            <w:tcW w:w="3160" w:type="dxa"/>
            <w:vAlign w:val="bottom"/>
          </w:tcPr>
          <w:p>
            <w:pPr>
              <w:ind w:left="100"/>
              <w:spacing w:after="0"/>
              <w:rPr>
                <w:sz w:val="20"/>
                <w:szCs w:val="20"/>
                <w:color w:val="auto"/>
              </w:rPr>
            </w:pPr>
            <w:r>
              <w:rPr>
                <w:rFonts w:ascii="Arial" w:cs="Arial" w:eastAsia="Arial" w:hAnsi="Arial"/>
                <w:sz w:val="18"/>
                <w:szCs w:val="18"/>
                <w:color w:val="auto"/>
              </w:rPr>
              <w:t>BlackRock, Inc.</w:t>
            </w:r>
          </w:p>
        </w:tc>
        <w:tc>
          <w:tcPr>
            <w:tcW w:w="1260" w:type="dxa"/>
            <w:vAlign w:val="bottom"/>
          </w:tcPr>
          <w:p>
            <w:pPr>
              <w:jc w:val="center"/>
              <w:ind w:left="170"/>
              <w:spacing w:after="0"/>
              <w:rPr>
                <w:sz w:val="20"/>
                <w:szCs w:val="20"/>
                <w:color w:val="auto"/>
              </w:rPr>
            </w:pPr>
            <w:r>
              <w:rPr>
                <w:rFonts w:ascii="Arial" w:cs="Arial" w:eastAsia="Arial" w:hAnsi="Arial"/>
                <w:sz w:val="18"/>
                <w:szCs w:val="18"/>
                <w:color w:val="auto"/>
                <w:w w:val="91"/>
              </w:rPr>
              <w:t>U.S.</w:t>
            </w:r>
          </w:p>
        </w:tc>
      </w:tr>
      <w:tr>
        <w:trPr>
          <w:trHeight w:val="216"/>
        </w:trPr>
        <w:tc>
          <w:tcPr>
            <w:tcW w:w="2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55 East 52nd Street</w:t>
            </w:r>
          </w:p>
        </w:tc>
        <w:tc>
          <w:tcPr>
            <w:tcW w:w="12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New York, NY 10055</w:t>
            </w:r>
          </w:p>
        </w:tc>
        <w:tc>
          <w:tcPr>
            <w:tcW w:w="12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Mark Wilson</w:t>
            </w:r>
          </w:p>
        </w:tc>
        <w:tc>
          <w:tcPr>
            <w:tcW w:w="3560" w:type="dxa"/>
            <w:vAlign w:val="bottom"/>
          </w:tcPr>
          <w:p>
            <w:pPr>
              <w:ind w:left="700"/>
              <w:spacing w:after="0"/>
              <w:rPr>
                <w:sz w:val="20"/>
                <w:szCs w:val="20"/>
                <w:color w:val="auto"/>
              </w:rPr>
            </w:pPr>
            <w:r>
              <w:rPr>
                <w:rFonts w:ascii="Arial" w:cs="Arial" w:eastAsia="Arial" w:hAnsi="Arial"/>
                <w:sz w:val="18"/>
                <w:szCs w:val="18"/>
                <w:color w:val="auto"/>
              </w:rPr>
              <w:t>Aviva plc—Former CEO</w:t>
            </w:r>
          </w:p>
        </w:tc>
        <w:tc>
          <w:tcPr>
            <w:tcW w:w="3160" w:type="dxa"/>
            <w:vAlign w:val="bottom"/>
          </w:tcPr>
          <w:p>
            <w:pPr>
              <w:ind w:left="100"/>
              <w:spacing w:after="0"/>
              <w:rPr>
                <w:sz w:val="20"/>
                <w:szCs w:val="20"/>
                <w:color w:val="auto"/>
              </w:rPr>
            </w:pPr>
            <w:r>
              <w:rPr>
                <w:rFonts w:ascii="Arial" w:cs="Arial" w:eastAsia="Arial" w:hAnsi="Arial"/>
                <w:sz w:val="18"/>
                <w:szCs w:val="18"/>
                <w:color w:val="auto"/>
              </w:rPr>
              <w:t>BlackRock, Inc.</w:t>
            </w:r>
          </w:p>
        </w:tc>
        <w:tc>
          <w:tcPr>
            <w:tcW w:w="1260" w:type="dxa"/>
            <w:vAlign w:val="bottom"/>
          </w:tcPr>
          <w:p>
            <w:pPr>
              <w:jc w:val="center"/>
              <w:ind w:left="190"/>
              <w:spacing w:after="0"/>
              <w:rPr>
                <w:sz w:val="20"/>
                <w:szCs w:val="20"/>
                <w:color w:val="auto"/>
              </w:rPr>
            </w:pPr>
            <w:r>
              <w:rPr>
                <w:rFonts w:ascii="Arial" w:cs="Arial" w:eastAsia="Arial" w:hAnsi="Arial"/>
                <w:sz w:val="18"/>
                <w:szCs w:val="18"/>
                <w:color w:val="auto"/>
                <w:w w:val="92"/>
              </w:rPr>
              <w:t>New Zealand</w:t>
            </w:r>
          </w:p>
        </w:tc>
      </w:tr>
      <w:tr>
        <w:trPr>
          <w:trHeight w:val="216"/>
        </w:trPr>
        <w:tc>
          <w:tcPr>
            <w:tcW w:w="2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55 East 52nd Street</w:t>
            </w:r>
          </w:p>
        </w:tc>
        <w:tc>
          <w:tcPr>
            <w:tcW w:w="12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New York, NY 10055</w:t>
            </w:r>
          </w:p>
        </w:tc>
        <w:tc>
          <w:tcPr>
            <w:tcW w:w="1260" w:type="dxa"/>
            <w:vAlign w:val="bottom"/>
          </w:tcPr>
          <w:p>
            <w:pPr>
              <w:spacing w:after="0"/>
              <w:rPr>
                <w:sz w:val="20"/>
                <w:szCs w:val="20"/>
                <w:color w:val="auto"/>
              </w:rPr>
            </w:pPr>
          </w:p>
        </w:tc>
      </w:tr>
    </w:tbl>
    <w:p>
      <w:pPr>
        <w:sectPr>
          <w:pgSz w:w="11900" w:h="16838" w:orient="portrait"/>
          <w:cols w:equalWidth="0" w:num="1">
            <w:col w:w="10680"/>
          </w:cols>
          <w:pgMar w:left="440" w:top="382" w:right="7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17, 2017, BlackRock, Inc. (“</w:t>
      </w:r>
      <w:r>
        <w:rPr>
          <w:rFonts w:ascii="Arial" w:cs="Arial" w:eastAsia="Arial" w:hAnsi="Arial"/>
          <w:sz w:val="17"/>
          <w:szCs w:val="17"/>
          <w:u w:val="single" w:color="auto"/>
          <w:color w:val="auto"/>
        </w:rPr>
        <w:t>BlackRock</w:t>
      </w:r>
      <w:r>
        <w:rPr>
          <w:rFonts w:ascii="Arial" w:cs="Arial" w:eastAsia="Arial" w:hAnsi="Arial"/>
          <w:sz w:val="17"/>
          <w:szCs w:val="17"/>
          <w:color w:val="auto"/>
        </w:rPr>
        <w:t>”) reached an agreement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Transactions in Common Shares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(60-day period ended on March 2,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3"/>
              </w:rPr>
              <w:t>Legal Entity</w:t>
            </w:r>
          </w:p>
        </w:tc>
        <w:tc>
          <w:tcPr>
            <w:tcW w:w="42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Trade Date</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Trade Price</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BUY/SELL</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Execution</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BlackRock Institutional Trust Company, National Association</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December 28, 2020</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-4,614.00</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3.65920000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SELL</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w w:val="96"/>
              </w:rPr>
              <w:t>December 29, 2020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-4,464.00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3.54840000</w:t>
            </w:r>
          </w:p>
        </w:tc>
        <w:tc>
          <w:tcPr>
            <w:tcW w:w="840" w:type="dxa"/>
            <w:vAlign w:val="bottom"/>
            <w:gridSpan w:val="2"/>
          </w:tcPr>
          <w:p>
            <w:pPr>
              <w:spacing w:after="0"/>
              <w:rPr>
                <w:sz w:val="20"/>
                <w:szCs w:val="20"/>
                <w:color w:val="auto"/>
              </w:rPr>
            </w:pPr>
            <w:r>
              <w:rPr>
                <w:rFonts w:ascii="Arial" w:cs="Arial" w:eastAsia="Arial" w:hAnsi="Arial"/>
                <w:sz w:val="18"/>
                <w:szCs w:val="18"/>
                <w:color w:val="auto"/>
              </w:rPr>
              <w:t>SELL</w:t>
            </w:r>
          </w:p>
        </w:tc>
        <w:tc>
          <w:tcPr>
            <w:tcW w:w="1000" w:type="dxa"/>
            <w:vAlign w:val="bottom"/>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6"/>
              </w:rPr>
              <w:t>December 30, 2020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3.84430000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w w:val="96"/>
              </w:rPr>
              <w:t>December 31, 2020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3.69080000</w:t>
            </w:r>
          </w:p>
        </w:tc>
        <w:tc>
          <w:tcPr>
            <w:tcW w:w="840" w:type="dxa"/>
            <w:vAlign w:val="bottom"/>
            <w:gridSpan w:val="2"/>
          </w:tcPr>
          <w:p>
            <w:pPr>
              <w:spacing w:after="0"/>
              <w:rPr>
                <w:sz w:val="20"/>
                <w:szCs w:val="20"/>
                <w:color w:val="auto"/>
              </w:rPr>
            </w:pPr>
            <w:r>
              <w:rPr>
                <w:rFonts w:ascii="Arial" w:cs="Arial" w:eastAsia="Arial" w:hAnsi="Arial"/>
                <w:sz w:val="18"/>
                <w:szCs w:val="18"/>
                <w:color w:val="auto"/>
              </w:rPr>
              <w:t>SELL</w:t>
            </w:r>
          </w:p>
        </w:tc>
        <w:tc>
          <w:tcPr>
            <w:tcW w:w="1000" w:type="dxa"/>
            <w:vAlign w:val="bottom"/>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4,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3.83040000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8,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-517.00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4.70750000</w:t>
            </w:r>
          </w:p>
        </w:tc>
        <w:tc>
          <w:tcPr>
            <w:tcW w:w="840" w:type="dxa"/>
            <w:vAlign w:val="bottom"/>
            <w:gridSpan w:val="2"/>
          </w:tcPr>
          <w:p>
            <w:pPr>
              <w:spacing w:after="0"/>
              <w:rPr>
                <w:sz w:val="20"/>
                <w:szCs w:val="20"/>
                <w:color w:val="auto"/>
              </w:rPr>
            </w:pPr>
            <w:r>
              <w:rPr>
                <w:rFonts w:ascii="Arial" w:cs="Arial" w:eastAsia="Arial" w:hAnsi="Arial"/>
                <w:sz w:val="18"/>
                <w:szCs w:val="18"/>
                <w:color w:val="auto"/>
              </w:rPr>
              <w:t>SELL</w:t>
            </w:r>
          </w:p>
        </w:tc>
        <w:tc>
          <w:tcPr>
            <w:tcW w:w="1000" w:type="dxa"/>
            <w:vAlign w:val="bottom"/>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8,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4.70750000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Financial Management, Inc.</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12,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-6,939.00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5.38250000</w:t>
            </w:r>
          </w:p>
        </w:tc>
        <w:tc>
          <w:tcPr>
            <w:tcW w:w="840" w:type="dxa"/>
            <w:vAlign w:val="bottom"/>
            <w:gridSpan w:val="2"/>
          </w:tcPr>
          <w:p>
            <w:pPr>
              <w:spacing w:after="0"/>
              <w:rPr>
                <w:sz w:val="20"/>
                <w:szCs w:val="20"/>
                <w:color w:val="auto"/>
              </w:rPr>
            </w:pPr>
            <w:r>
              <w:rPr>
                <w:rFonts w:ascii="Arial" w:cs="Arial" w:eastAsia="Arial" w:hAnsi="Arial"/>
                <w:sz w:val="18"/>
                <w:szCs w:val="18"/>
                <w:color w:val="auto"/>
              </w:rPr>
              <w:t>SELL</w:t>
            </w:r>
          </w:p>
        </w:tc>
        <w:tc>
          <w:tcPr>
            <w:tcW w:w="1000" w:type="dxa"/>
            <w:vAlign w:val="bottom"/>
          </w:tcPr>
          <w:p>
            <w:pPr>
              <w:spacing w:after="0"/>
              <w:rPr>
                <w:sz w:val="20"/>
                <w:szCs w:val="20"/>
                <w:color w:val="auto"/>
              </w:rPr>
            </w:pPr>
            <w:r>
              <w:rPr>
                <w:rFonts w:ascii="Arial" w:cs="Arial" w:eastAsia="Arial" w:hAnsi="Arial"/>
                <w:sz w:val="18"/>
                <w:szCs w:val="18"/>
                <w:color w:val="auto"/>
                <w:w w:val="91"/>
              </w:rPr>
              <w:t>ETF Redeem</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22,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4.55020000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22,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3,462.00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4.55020000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Financial Management, Inc.</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22,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164,463.00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4.55020000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25,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10,942.00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4.43390000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25,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4.43390000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28,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14,718.00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3.86510000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January 29,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4.11900000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January 29,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21,377.00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4.11900000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February 1,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1,711.00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4.21180000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February 1,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3,775.00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4.26510000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(Luxembourg) S.A.</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February 2,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10,121.00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4.45720000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BUY</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BlackRock (Luxembourg) S.A.</w:t>
            </w: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February 4, 2021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10,095.00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4.44680000</w:t>
            </w:r>
          </w:p>
        </w:tc>
        <w:tc>
          <w:tcPr>
            <w:tcW w:w="840" w:type="dxa"/>
            <w:vAlign w:val="bottom"/>
            <w:gridSpan w:val="2"/>
          </w:tcPr>
          <w:p>
            <w:pPr>
              <w:spacing w:after="0"/>
              <w:rPr>
                <w:sz w:val="20"/>
                <w:szCs w:val="20"/>
                <w:color w:val="auto"/>
              </w:rPr>
            </w:pPr>
            <w:r>
              <w:rPr>
                <w:rFonts w:ascii="Arial" w:cs="Arial" w:eastAsia="Arial" w:hAnsi="Arial"/>
                <w:sz w:val="18"/>
                <w:szCs w:val="18"/>
                <w:color w:val="auto"/>
              </w:rPr>
              <w:t>BUY</w:t>
            </w:r>
          </w:p>
        </w:tc>
        <w:tc>
          <w:tcPr>
            <w:tcW w:w="1000" w:type="dxa"/>
            <w:vAlign w:val="bottom"/>
          </w:tcPr>
          <w:p>
            <w:pPr>
              <w:spacing w:after="0"/>
              <w:rPr>
                <w:sz w:val="20"/>
                <w:szCs w:val="20"/>
                <w:color w:val="auto"/>
              </w:rPr>
            </w:pPr>
            <w:r>
              <w:rPr>
                <w:rFonts w:ascii="Arial" w:cs="Arial" w:eastAsia="Arial" w:hAnsi="Arial"/>
                <w:sz w:val="18"/>
                <w:szCs w:val="18"/>
                <w:color w:val="auto"/>
              </w:rPr>
              <w:t>BUY</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Institutional Trust Company, National Association</w:t>
            </w: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February 5, 2021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4.60740000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ETF Create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ind w:left="10340"/>
        <w:spacing w:after="0"/>
        <w:rPr>
          <w:sz w:val="20"/>
          <w:szCs w:val="20"/>
          <w:color w:val="auto"/>
        </w:rPr>
      </w:pPr>
      <w:r>
        <w:rPr>
          <w:rFonts w:ascii="Arial" w:cs="Arial" w:eastAsia="Arial" w:hAnsi="Arial"/>
          <w:sz w:val="17"/>
          <w:szCs w:val="17"/>
          <w:u w:val="single" w:color="auto"/>
          <w:color w:val="auto"/>
        </w:rPr>
        <w:t>Exhibit 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ENERGY &amp; POWER INFRASTRUCTURE FUND III,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GEPIF III Crown Bidco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Global Energy &amp; Power Infrastructure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38"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Equity Commitment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987"/>
        <w:spacing w:after="0" w:line="293" w:lineRule="auto"/>
        <w:tabs>
          <w:tab w:leader="none" w:pos="11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Reference is made to the Agreement and Plan of Merger, dated as of February 21, 2021 (as it may be amended, restated, supplemented or otherwise modified in accordance with its terms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subject to the terms and conditions set forth in the Merger Agreement,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Capitalized terms used herein but not defined herein shall have the meanings ascribed to them in the Merger Agreement.</w:t>
      </w:r>
    </w:p>
    <w:p>
      <w:pPr>
        <w:spacing w:after="0" w:line="56" w:lineRule="exact"/>
        <w:rPr>
          <w:rFonts w:ascii="Arial" w:cs="Arial" w:eastAsia="Arial" w:hAnsi="Arial"/>
          <w:sz w:val="16"/>
          <w:szCs w:val="16"/>
          <w:color w:val="auto"/>
        </w:rPr>
      </w:pPr>
    </w:p>
    <w:p>
      <w:pPr>
        <w:ind w:right="40" w:firstLine="987"/>
        <w:spacing w:after="0" w:line="286" w:lineRule="auto"/>
        <w:tabs>
          <w:tab w:leader="none" w:pos="11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letter agreement hereby confirms the commitment of Global Energy &amp; Power Infrastructure Fund III, L.P., a Cayman Islands exempted limited partnership (“</w:t>
      </w:r>
      <w:r>
        <w:rPr>
          <w:rFonts w:ascii="Arial" w:cs="Arial" w:eastAsia="Arial" w:hAnsi="Arial"/>
          <w:sz w:val="16"/>
          <w:szCs w:val="16"/>
          <w:u w:val="single" w:color="auto"/>
          <w:color w:val="auto"/>
        </w:rPr>
        <w:t>Equity Sponsor</w:t>
      </w:r>
      <w:r>
        <w:rPr>
          <w:rFonts w:ascii="Arial" w:cs="Arial" w:eastAsia="Arial" w:hAnsi="Arial"/>
          <w:sz w:val="16"/>
          <w:szCs w:val="16"/>
          <w:color w:val="auto"/>
        </w:rPr>
        <w:t>”), to purchase, directly or indirectly, subject to the conditions set forth herein, at the Closing equity securities of Parent for an aggregate purchase price in cash in immediately available funds of $247,000,000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solely for the purposes of funding, and to the extent necessary to fund, the payment of the aggregate Merger Consideration at the Closing pursuant to, and subject to the terms of, the Merger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Equity Sponsor shall not, under any circumstances, be obligated to purchase (or cause to be purchased) equity securities of Parent in excess of the Commitment. The amount to be funded under this letter agreement may be reduced by Equity Sponsor solely to the extent that Parent does not require all of the funds with respect to which commitments have been made hereunder to fund the aggregate Merger Consideration, pursuant to, and subject to the terms of, the Merger Agreement. The Equity Sponsor hereby confirms that it has unfunded capital commitments, cash or access to available funds in an amount not less than the Commitment and there are no restrictions whatsoever applicable to the Equity Sponsor that would prevent it from funding the Commitment. Equity Sponsor may allocate a portion of its investment to other co-investors in entities that are controlled by an Affiliate of Equity Sponsor (Equity Sponsor, together with such other co-investors,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and/or may cause the Commitment (or portion thereof) hereunder to be funded indirectly through one or more entities that an Investor or an Affiliate thereof controls;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allocation will not reduce the Commitment except to the extent of any amounts actually funded by such controlled entities.</w:t>
      </w:r>
    </w:p>
    <w:p>
      <w:pPr>
        <w:spacing w:after="0" w:line="106" w:lineRule="exact"/>
        <w:rPr>
          <w:rFonts w:ascii="Arial" w:cs="Arial" w:eastAsia="Arial" w:hAnsi="Arial"/>
          <w:sz w:val="16"/>
          <w:szCs w:val="16"/>
          <w:color w:val="auto"/>
        </w:rPr>
      </w:pPr>
    </w:p>
    <w:p>
      <w:pPr>
        <w:ind w:left="5460" w:hanging="106"/>
        <w:spacing w:after="0"/>
        <w:tabs>
          <w:tab w:leader="none" w:pos="5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20"/>
          </w:cols>
          <w:pgMar w:left="440" w:top="125" w:right="439" w:bottom="1440" w:gutter="0" w:footer="0" w:header="0"/>
        </w:sectPr>
      </w:pPr>
    </w:p>
    <w:bookmarkStart w:id="13" w:name="page14"/>
    <w:bookmarkEnd w:id="13"/>
    <w:p>
      <w:pPr>
        <w:ind w:left="4" w:right="180" w:firstLine="987"/>
        <w:spacing w:after="0" w:line="259"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Investor’s obligation to fund the Commitment under this letter agreement is subject to the terms of this letter agreement and the Merger Agreement, including the satisfaction in full or valid waiver of the conditions precedent to Parent’s obligations to consummate the Merger and the other Transactions at the Closing as set forth in Section 6.01 and Section 6.02 of the Merger Agreement and the Closing being required to occur pursuant to Section 1.06 of the Merger Agreement.</w:t>
      </w:r>
    </w:p>
    <w:p>
      <w:pPr>
        <w:spacing w:after="0" w:line="78" w:lineRule="exact"/>
        <w:rPr>
          <w:rFonts w:ascii="Arial" w:cs="Arial" w:eastAsia="Arial" w:hAnsi="Arial"/>
          <w:sz w:val="18"/>
          <w:szCs w:val="18"/>
          <w:color w:val="auto"/>
        </w:rPr>
      </w:pPr>
    </w:p>
    <w:p>
      <w:pPr>
        <w:ind w:left="4" w:right="620" w:firstLine="987"/>
        <w:spacing w:after="0" w:line="342" w:lineRule="auto"/>
        <w:tabs>
          <w:tab w:leader="none" w:pos="1175"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This letter agreement may only be enforced by Parent (or the Company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 and none of Parent’s or its Affiliates’ creditors shall have any right to enforce this letter agreement or to cause Parent or its Affiliates to enforce this letter agreement.</w:t>
      </w:r>
    </w:p>
    <w:p>
      <w:pPr>
        <w:spacing w:after="0" w:line="15" w:lineRule="exact"/>
        <w:rPr>
          <w:rFonts w:ascii="Arial" w:cs="Arial" w:eastAsia="Arial" w:hAnsi="Arial"/>
          <w:sz w:val="16"/>
          <w:szCs w:val="16"/>
          <w:color w:val="auto"/>
        </w:rPr>
      </w:pPr>
    </w:p>
    <w:p>
      <w:pPr>
        <w:ind w:left="4" w:firstLine="987"/>
        <w:spacing w:after="0" w:line="285" w:lineRule="auto"/>
        <w:tabs>
          <w:tab w:leader="none" w:pos="1175"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This letter agreement will become effective upon its acceptance by Parent, as evidenced by the delivery to Equity Sponsor of a counterpart of this letter agreement executed by Parent. Notwithstanding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this letter agreement, including, without limitation, any Investor’s obligation to fund the Commitment under this letter agreement, will terminate automatically and immediately upon the earlier to occur of (a) the valid termination of the Merger Agreement in accordance with its terms, (b) the Company or any Company Related Party commencing a lawsuit or other legal proceeding asserting a claim to enforce (or cause Parent to enforce (other than the Company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 the Commitment or</w:t>
      </w:r>
    </w:p>
    <w:p>
      <w:pPr>
        <w:spacing w:after="0" w:line="1" w:lineRule="exact"/>
        <w:rPr>
          <w:rFonts w:ascii="Arial" w:cs="Arial" w:eastAsia="Arial" w:hAnsi="Arial"/>
          <w:sz w:val="16"/>
          <w:szCs w:val="16"/>
          <w:color w:val="auto"/>
        </w:rPr>
      </w:pPr>
    </w:p>
    <w:p>
      <w:pPr>
        <w:ind w:left="4" w:right="280" w:hanging="4"/>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of the Commitment in full pursuant to the terms hereof and the application of the proceeds therefrom in accordance with the terms of this letter agreement and the Merger Agreement.</w:t>
      </w:r>
    </w:p>
    <w:p>
      <w:pPr>
        <w:spacing w:after="0" w:line="77" w:lineRule="exact"/>
        <w:rPr>
          <w:rFonts w:ascii="Arial" w:cs="Arial" w:eastAsia="Arial" w:hAnsi="Arial"/>
          <w:sz w:val="18"/>
          <w:szCs w:val="18"/>
          <w:color w:val="auto"/>
        </w:rPr>
      </w:pPr>
    </w:p>
    <w:p>
      <w:pPr>
        <w:ind w:left="4" w:right="20" w:firstLine="987"/>
        <w:spacing w:after="0" w:line="288" w:lineRule="auto"/>
        <w:tabs>
          <w:tab w:leader="none" w:pos="1175"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anything that may be expressed or implied in this letter agreement or any document, instrument or statement (written or oral) delivered in connection herewith, Parent, by its acceptance hereof, acknowledges and agrees that (a) notwithstanding that the signatory below is a partnership, no recourse hereunder or under any documents or instruments delivered in connection herewith may be had against any director, officer, agent or employee of any Investor or any of its successors or assigns or any partner, member, manager or stockholder of any Investor or any of its successors or assigns or any director, officer, employee, partner, Affiliate, assignee or representative of the foregoing, in each case whether current, former or future (any such Person, a “</w:t>
      </w:r>
      <w:r>
        <w:rPr>
          <w:rFonts w:ascii="Arial" w:cs="Arial" w:eastAsia="Arial" w:hAnsi="Arial"/>
          <w:sz w:val="16"/>
          <w:szCs w:val="16"/>
          <w:u w:val="single" w:color="auto"/>
          <w:color w:val="auto"/>
        </w:rPr>
        <w:t>Parent Representative</w:t>
      </w:r>
      <w:r>
        <w:rPr>
          <w:rFonts w:ascii="Arial" w:cs="Arial" w:eastAsia="Arial" w:hAnsi="Arial"/>
          <w:sz w:val="16"/>
          <w:szCs w:val="16"/>
          <w:color w:val="auto"/>
        </w:rPr>
        <w:t>”), including but not limited to whether by or through attempted piercing of the veil, by or through any claim (whether in tort, contract or otherwise), by the enforcement of any judgment or assessment or by any legal or equitable proceeding, or by virtue of any statute, regulation or other applicable law, and (b) no personal liability whatsoever will attach to, be imposed on or otherwise be incurred by any Parent Representative of any Investor under this letter agreement or any documents or instruments delivered in connection herewith or with the Merger Agreement or for any claim based on, in respect of or by reason of obligations hereunder or thereunder.</w:t>
      </w:r>
    </w:p>
    <w:p>
      <w:pPr>
        <w:spacing w:after="0" w:line="60" w:lineRule="exact"/>
        <w:rPr>
          <w:rFonts w:ascii="Arial" w:cs="Arial" w:eastAsia="Arial" w:hAnsi="Arial"/>
          <w:sz w:val="16"/>
          <w:szCs w:val="16"/>
          <w:color w:val="auto"/>
        </w:rPr>
      </w:pPr>
    </w:p>
    <w:p>
      <w:pPr>
        <w:ind w:left="4" w:firstLine="987"/>
        <w:spacing w:after="0" w:line="257"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Neither this letter agreement nor any of the rights and obligations described herein may be assigned, other than by Equity Sponsor in accordance with the last sentence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assignment shall not reasonably be expected to have the effect of impairing, preventing, making less likely or delaying the Closing. This letter agreement shall inure to the benefit of and be binding upon Parent and Equity Sponsor. Nothing set forth in this letter agreement shall be construed to confer upon or give to any Person other than the parties hereto and their respective successors and permitted assigns any rights or remedies under or by</w:t>
      </w:r>
    </w:p>
    <w:p>
      <w:pPr>
        <w:spacing w:after="0" w:line="120" w:lineRule="exact"/>
        <w:rPr>
          <w:rFonts w:ascii="Arial" w:cs="Arial" w:eastAsia="Arial" w:hAnsi="Arial"/>
          <w:sz w:val="18"/>
          <w:szCs w:val="18"/>
          <w:color w:val="auto"/>
        </w:rPr>
      </w:pPr>
    </w:p>
    <w:p>
      <w:pPr>
        <w:ind w:left="5464" w:hanging="106"/>
        <w:spacing w:after="0"/>
        <w:tabs>
          <w:tab w:leader="none" w:pos="5464" w:val="left"/>
        </w:tabs>
        <w:numPr>
          <w:ilvl w:val="2"/>
          <w:numId w:val="1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14" w:name="page15"/>
    <w:bookmarkEnd w:id="14"/>
    <w:p>
      <w:pPr>
        <w:jc w:val="both"/>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 of the Commitment or to confer upon or give to any Person any rights or remedies against any Person other than the undersigned under or by reason of the Commitment, except (a) that the Parent Representatives are entitled to be third party beneficiaries of the provisions of Section 6 and are entitled to enforce such provisions and (b) as contemplated by Section 8 and Section 11 below.</w:t>
      </w:r>
    </w:p>
    <w:p>
      <w:pPr>
        <w:spacing w:after="0" w:line="57" w:lineRule="exact"/>
        <w:rPr>
          <w:sz w:val="20"/>
          <w:szCs w:val="20"/>
          <w:color w:val="auto"/>
        </w:rPr>
      </w:pPr>
    </w:p>
    <w:p>
      <w:pPr>
        <w:ind w:firstLine="987"/>
        <w:spacing w:after="0" w:line="301" w:lineRule="auto"/>
        <w:tabs>
          <w:tab w:leader="none" w:pos="11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is hereby made an express third party beneficiary of the obligations of the Investors set forth herein solely for the purpose of enforcing the obligation of the Investors to fund the Commitment under this letter agreement and for purposes of Section 11 and the Company may enforce Parent’s right to cause all or any portion of the Commitment to be funded (if Parent has a right to enforce such Commitment in accordance with the terms hereof, and subject to the terms and conditions set forth in Section 8.08 of the Merger Agreement) without the consent or direction of Parent.</w:t>
      </w:r>
    </w:p>
    <w:p>
      <w:pPr>
        <w:spacing w:after="0" w:line="49" w:lineRule="exact"/>
        <w:rPr>
          <w:rFonts w:ascii="Arial" w:cs="Arial" w:eastAsia="Arial" w:hAnsi="Arial"/>
          <w:sz w:val="16"/>
          <w:szCs w:val="16"/>
          <w:color w:val="auto"/>
        </w:rPr>
      </w:pPr>
    </w:p>
    <w:p>
      <w:pPr>
        <w:ind w:right="40" w:firstLine="987"/>
        <w:spacing w:after="0" w:line="254" w:lineRule="auto"/>
        <w:tabs>
          <w:tab w:leader="none" w:pos="11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existence of this letter agreement and its terms shall be treated as confidential and this letter agreement is being provided to Parent solely in connection with the transactions contemplated by the Merger Agreement. This letter agreement may not be used, circulated, quoted, referred to in any document or otherwise disclosed, except with the written consent of Equity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Equity Sponsor and the Company shall be entitled to disclose this letter agreement and its contents (a) to its Affiliates and its and their respective officers, directors, employees, advisors, consultants and other representatives to the extent such Persons in turn agree to abide by the confidentiality provisions of this Section 9; (b) in connection with the enforcement of this letter agreement; and (c) where required under applicable Law or the applicable rules of any securities exchange.</w:t>
      </w:r>
    </w:p>
    <w:p>
      <w:pPr>
        <w:spacing w:after="0" w:line="86" w:lineRule="exact"/>
        <w:rPr>
          <w:rFonts w:ascii="Arial" w:cs="Arial" w:eastAsia="Arial" w:hAnsi="Arial"/>
          <w:sz w:val="18"/>
          <w:szCs w:val="18"/>
          <w:color w:val="auto"/>
        </w:rPr>
      </w:pPr>
    </w:p>
    <w:p>
      <w:pPr>
        <w:ind w:right="60" w:firstLine="987"/>
        <w:spacing w:after="0" w:line="271" w:lineRule="auto"/>
        <w:tabs>
          <w:tab w:leader="none" w:pos="12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Equity Sponsor hereby represents and warrants that (a) it has all power and authority to execute, deliver and perform this letter agreement; (b) the execution, delivery and performance of this letter agreement by Equity Sponsor has been duly and validly authorized and approved by all necessary action, and no other proceedings or actions on the part of Equity Sponsor are necessary therefor; (c) no conditions exist to the obligations of Equity Sponsor to fund the Commitment, other than as set forth in this letter agreement; (d) this letter agreement has been duly and validly executed and delivered by it and constitutes a valid and legally binding obligation of it, enforceable against Equity Sponsor in accordance with its terms (subject to the Bankruptcy and Equity Exception); (e) the execution, delivery and performance by Equity Sponsor of this letter agreement does not and will not violate the organizational documents of Equity Sponsor or any applicable Law; and (f) Equity Sponsor has sufficient undrawn commitments from its limited partners to fund the Commitment.</w:t>
      </w:r>
    </w:p>
    <w:p>
      <w:pPr>
        <w:spacing w:after="0" w:line="70" w:lineRule="exact"/>
        <w:rPr>
          <w:rFonts w:ascii="Arial" w:cs="Arial" w:eastAsia="Arial" w:hAnsi="Arial"/>
          <w:sz w:val="17"/>
          <w:szCs w:val="17"/>
          <w:color w:val="auto"/>
        </w:rPr>
      </w:pPr>
    </w:p>
    <w:p>
      <w:pPr>
        <w:ind w:right="180" w:firstLine="987"/>
        <w:spacing w:after="0" w:line="296" w:lineRule="auto"/>
        <w:tabs>
          <w:tab w:leader="none" w:pos="1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letter agreement may not be amended or otherwise modified or waived except by an instrument in writing signed by each of the parties hereto, and consented to in advance in writing by the Company. This letter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All Actions arising out of or relating to the interpretation and enforcement of the provisions of this letter agreement shall be heard and determined in the Delaware Court of Chancery or, if the Delaware Court of Chancery declines to</w:t>
      </w:r>
    </w:p>
    <w:p>
      <w:pPr>
        <w:spacing w:after="0" w:line="93" w:lineRule="exact"/>
        <w:rPr>
          <w:rFonts w:ascii="Arial" w:cs="Arial" w:eastAsia="Arial" w:hAnsi="Arial"/>
          <w:sz w:val="16"/>
          <w:szCs w:val="16"/>
          <w:color w:val="auto"/>
        </w:rPr>
      </w:pPr>
    </w:p>
    <w:p>
      <w:pPr>
        <w:ind w:left="5460" w:hanging="106"/>
        <w:spacing w:after="0"/>
        <w:tabs>
          <w:tab w:leader="none" w:pos="5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accept jurisdiction over a particular matter, any federal court within the State of Delaware or, if both the Delaware Court of Chancery and the federal courts within the State of Delaware decline to accept jurisdiction over a particular matter, any other state court within the State of Delaware, and, in each case, any appellate court therefrom. The parties hereto hereby irrevocably (a) submit to the jurisdiction and venue of such courts in any Actions arising out of or relating to this letter agreement, (b) irrevocably waive the defense of an inconvenient forum or lack of jurisdiction to the maintenance of any such Action and (c) agree to not attempt to deny or defeat such jurisdiction by motion or otherwise request for leave from any such court. The consents to jurisdiction set forth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not constitute general consents to service of process in the State of Delaware and shall have no effect for any purpose except as provided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shall not be deemed to confer rights on any Person other than the parties hereto. The parties hereto agree that a final judgment in any such Action shall be conclusive and may be enforced in other jurisdictions by suit on the judgment or in any other manner provided by applicable Law.</w:t>
      </w:r>
    </w:p>
    <w:p>
      <w:pPr>
        <w:spacing w:after="0" w:line="73" w:lineRule="exact"/>
        <w:rPr>
          <w:sz w:val="20"/>
          <w:szCs w:val="20"/>
          <w:color w:val="auto"/>
        </w:rPr>
      </w:pPr>
    </w:p>
    <w:p>
      <w:pPr>
        <w:ind w:firstLine="987"/>
        <w:spacing w:after="0" w:line="270" w:lineRule="auto"/>
        <w:tabs>
          <w:tab w:leader="none" w:pos="126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EACH PARTY ACKNOWLEDGES AND AGREES THAT ANY CONTROVERSY WHICH MAY ARISE UNDER THIS LETTER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LETTER AGREEMENT.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LETTER AGREEMENT BY, AMONG OTHER THINGS, THE MUTUAL WAIVER AND CERTIFICATIONS IN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right="280" w:firstLine="987"/>
        <w:spacing w:after="0" w:line="263" w:lineRule="auto"/>
        <w:tabs>
          <w:tab w:leader="none" w:pos="12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Upon any valid termination of this letter agreement in accordance with its terms, this letter agreement shall cease to have force and effect, and there shall be no further liability or obligation on the part of the parties hereto, except that the provisions of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shall survive such termination.</w:t>
      </w:r>
    </w:p>
    <w:p>
      <w:pPr>
        <w:spacing w:after="0" w:line="75" w:lineRule="exact"/>
        <w:rPr>
          <w:rFonts w:ascii="Arial" w:cs="Arial" w:eastAsia="Arial" w:hAnsi="Arial"/>
          <w:sz w:val="18"/>
          <w:szCs w:val="18"/>
          <w:color w:val="auto"/>
        </w:rPr>
      </w:pPr>
    </w:p>
    <w:p>
      <w:pPr>
        <w:ind w:right="380" w:firstLine="987"/>
        <w:spacing w:after="0" w:line="342" w:lineRule="auto"/>
        <w:tabs>
          <w:tab w:leader="none" w:pos="1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letter agreement may be executed in any number of counterparts (including by facsimile, PDF, electronic mail or electronic signature), each such counterpart being deemed to be an original instrument, and all such counterparts shall together constitute the same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16" w:name="page17"/>
    <w:bookmarkEnd w:id="1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GLOBAL ENERGY &amp; POWER INFRASTRUCTURE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III,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CROWN BIDCO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Berner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James Berner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to Equity Commitment Letter]</w:t>
      </w:r>
    </w:p>
    <w:sectPr>
      <w:pgSz w:w="11900" w:h="16838" w:orient="portrait"/>
      <w:cols w:equalWidth="0" w:num="1">
        <w:col w:w="10840"/>
      </w:cols>
      <w:pgMar w:left="4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4"/>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35"/>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lowerLetter"/>
      <w:start w:val="61"/>
    </w:lvl>
  </w:abstractNum>
  <w:abstractNum w:abstractNumId="8">
    <w:nsid w:val="3352255A"/>
    <w:multiLevelType w:val="hybridMultilevel"/>
    <w:lvl w:ilvl="0">
      <w:lvlJc w:val="left"/>
      <w:lvlText w:val="(%1)"/>
      <w:numFmt w:val="lowerLetter"/>
      <w:start w:val="5"/>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lvl w:ilvl="1">
      <w:lvlJc w:val="left"/>
      <w:lvlText w:val="-"/>
      <w:numFmt w:val="bullet"/>
      <w:start w:val="1"/>
    </w:lvl>
  </w:abstractNum>
  <w:abstractNum w:abstractNumId="13">
    <w:nsid w:val="41A7C4C9"/>
    <w:multiLevelType w:val="hybridMultilevel"/>
    <w:lvl w:ilvl="0">
      <w:lvlJc w:val="left"/>
      <w:lvlText w:val="%1"/>
      <w:numFmt w:val="lowerLetter"/>
      <w:start w:val="1"/>
    </w:lvl>
    <w:lvl w:ilvl="1">
      <w:lvlJc w:val="left"/>
      <w:lvlText w:val="%2."/>
      <w:numFmt w:val="decimal"/>
      <w:start w:val="3"/>
    </w:lvl>
    <w:lvl w:ilvl="2">
      <w:lvlJc w:val="left"/>
      <w:lvlText w:val="-"/>
      <w:numFmt w:val="bullet"/>
      <w:start w:val="1"/>
    </w:lvl>
  </w:abstractNum>
  <w:abstractNum w:abstractNumId="14">
    <w:nsid w:val="6B68079A"/>
    <w:multiLevelType w:val="hybridMultilevel"/>
    <w:lvl w:ilvl="0">
      <w:lvlJc w:val="left"/>
      <w:lvlText w:val="(%1)"/>
      <w:numFmt w:val="lowerLetter"/>
      <w:start w:val="3"/>
    </w:lvl>
    <w:lvl w:ilvl="1">
      <w:lvlJc w:val="left"/>
      <w:lvlText w:val="%2."/>
      <w:numFmt w:val="decimal"/>
      <w:start w:val="6"/>
    </w:lvl>
    <w:lvl w:ilvl="2">
      <w:lvlJc w:val="left"/>
      <w:lvlText w:val="-"/>
      <w:numFmt w:val="bullet"/>
      <w:start w:val="1"/>
    </w:lvl>
  </w:abstractNum>
  <w:abstractNum w:abstractNumId="15">
    <w:nsid w:val="4E6AFB66"/>
    <w:multiLevelType w:val="hybridMultilevel"/>
    <w:lvl w:ilvl="0">
      <w:lvlJc w:val="left"/>
      <w:lvlText w:val="%1."/>
      <w:numFmt w:val="decimal"/>
      <w:start w:val="8"/>
    </w:lvl>
    <w:lvl w:ilvl="1">
      <w:lvlJc w:val="left"/>
      <w:lvlText w:val="-"/>
      <w:numFmt w:val="bullet"/>
      <w:start w:val="1"/>
    </w:lvl>
  </w:abstractNum>
  <w:abstractNum w:abstractNumId="16">
    <w:nsid w:val="25E45D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2021-03-03T15:58:45Z</dcterms:created>
  <dcterms:modified xsi:type="dcterms:W3CDTF">2021-03-03T15:58:45Z</dcterms:modified>
</cp:coreProperties>
</file>