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Form 6-K</w:t>
            </w:r>
          </w:p>
        </w:tc>
        <w:tc>
          <w:tcPr>
            <w:tcW w:w="720" w:type="dxa"/>
            <w:vAlign w:val="bottom"/>
          </w:tcPr>
          <w:p>
            <w:pPr>
              <w:spacing w:after="0"/>
              <w:rPr>
                <w:sz w:val="20"/>
                <w:szCs w:val="20"/>
                <w:color w:val="auto"/>
              </w:rPr>
            </w:pPr>
          </w:p>
        </w:tc>
      </w:tr>
      <w:tr>
        <w:trPr>
          <w:trHeight w:val="410"/>
        </w:trPr>
        <w:tc>
          <w:tcPr>
            <w:tcW w:w="10520" w:type="dxa"/>
            <w:vAlign w:val="bottom"/>
          </w:tcPr>
          <w:p>
            <w:pPr>
              <w:jc w:val="center"/>
              <w:ind w:left="655"/>
              <w:spacing w:after="0"/>
              <w:rPr>
                <w:sz w:val="20"/>
                <w:szCs w:val="20"/>
                <w:color w:val="auto"/>
              </w:rPr>
            </w:pPr>
            <w:r>
              <w:rPr>
                <w:rFonts w:ascii="Times New Roman" w:cs="Times New Roman" w:eastAsia="Times New Roman" w:hAnsi="Times New Roman"/>
                <w:sz w:val="18"/>
                <w:szCs w:val="18"/>
                <w:b w:val="1"/>
                <w:bCs w:val="1"/>
                <w:color w:val="auto"/>
                <w:w w:val="99"/>
              </w:rPr>
              <w:t>REPORT OF FOREIGN PRIVATE ISSUER PURSUANT TO RULE 13a-16 OR 15d-16 UNDER THE SECURITIES</w:t>
            </w:r>
          </w:p>
        </w:tc>
        <w:tc>
          <w:tcPr>
            <w:tcW w:w="720" w:type="dxa"/>
            <w:vAlign w:val="bottom"/>
          </w:tcPr>
          <w:p>
            <w:pPr>
              <w:spacing w:after="0"/>
              <w:rPr>
                <w:sz w:val="24"/>
                <w:szCs w:val="24"/>
                <w:color w:val="auto"/>
              </w:rPr>
            </w:pPr>
          </w:p>
        </w:tc>
      </w:tr>
      <w:tr>
        <w:trPr>
          <w:trHeight w:val="238"/>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9"/>
              </w:rPr>
              <w:t>EXCHANGE ACT OF 1934</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For the month of November 2020</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Commission File Number 001-35466</w:t>
            </w:r>
          </w:p>
        </w:tc>
        <w:tc>
          <w:tcPr>
            <w:tcW w:w="720" w:type="dxa"/>
            <w:vAlign w:val="bottom"/>
          </w:tcPr>
          <w:p>
            <w:pPr>
              <w:spacing w:after="0"/>
              <w:rPr>
                <w:sz w:val="24"/>
                <w:szCs w:val="24"/>
                <w:color w:val="auto"/>
              </w:rPr>
            </w:pPr>
          </w:p>
        </w:tc>
      </w:tr>
      <w:tr>
        <w:trPr>
          <w:trHeight w:val="414"/>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b w:val="1"/>
                <w:bCs w:val="1"/>
                <w:color w:val="auto"/>
                <w:w w:val="98"/>
              </w:rPr>
              <w:t>GasLog Ltd.</w:t>
            </w:r>
          </w:p>
        </w:tc>
        <w:tc>
          <w:tcPr>
            <w:tcW w:w="720" w:type="dxa"/>
            <w:vAlign w:val="bottom"/>
          </w:tcPr>
          <w:p>
            <w:pPr>
              <w:spacing w:after="0"/>
              <w:rPr>
                <w:sz w:val="24"/>
                <w:szCs w:val="24"/>
                <w:color w:val="auto"/>
              </w:rPr>
            </w:pPr>
          </w:p>
        </w:tc>
      </w:tr>
      <w:tr>
        <w:trPr>
          <w:trHeight w:val="234"/>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9"/>
              </w:rPr>
              <w:t>(Translation of registrant’s name into English)</w:t>
            </w:r>
          </w:p>
        </w:tc>
        <w:tc>
          <w:tcPr>
            <w:tcW w:w="720" w:type="dxa"/>
            <w:vAlign w:val="bottom"/>
          </w:tcPr>
          <w:p>
            <w:pPr>
              <w:spacing w:after="0"/>
              <w:rPr>
                <w:sz w:val="20"/>
                <w:szCs w:val="20"/>
                <w:color w:val="auto"/>
              </w:rPr>
            </w:pPr>
          </w:p>
        </w:tc>
      </w:tr>
      <w:tr>
        <w:trPr>
          <w:trHeight w:val="414"/>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9"/>
              </w:rPr>
              <w:t>c/o GasLog LNG Services Ltd.</w:t>
            </w:r>
          </w:p>
        </w:tc>
        <w:tc>
          <w:tcPr>
            <w:tcW w:w="720" w:type="dxa"/>
            <w:vAlign w:val="bottom"/>
          </w:tcPr>
          <w:p>
            <w:pPr>
              <w:spacing w:after="0"/>
              <w:rPr>
                <w:sz w:val="24"/>
                <w:szCs w:val="24"/>
                <w:color w:val="auto"/>
              </w:rPr>
            </w:pPr>
          </w:p>
        </w:tc>
      </w:tr>
      <w:tr>
        <w:trPr>
          <w:trHeight w:val="216"/>
        </w:trPr>
        <w:tc>
          <w:tcPr>
            <w:tcW w:w="10520" w:type="dxa"/>
            <w:vAlign w:val="bottom"/>
          </w:tcPr>
          <w:p>
            <w:pPr>
              <w:jc w:val="center"/>
              <w:ind w:left="655"/>
              <w:spacing w:after="0"/>
              <w:rPr>
                <w:sz w:val="20"/>
                <w:szCs w:val="20"/>
                <w:color w:val="auto"/>
              </w:rPr>
            </w:pPr>
            <w:r>
              <w:rPr>
                <w:rFonts w:ascii="Times New Roman" w:cs="Times New Roman" w:eastAsia="Times New Roman" w:hAnsi="Times New Roman"/>
                <w:sz w:val="18"/>
                <w:szCs w:val="18"/>
                <w:color w:val="auto"/>
                <w:w w:val="99"/>
              </w:rPr>
              <w:t>69 Akti Miaouli, 18537</w:t>
            </w:r>
          </w:p>
        </w:tc>
        <w:tc>
          <w:tcPr>
            <w:tcW w:w="720" w:type="dxa"/>
            <w:vAlign w:val="bottom"/>
          </w:tcPr>
          <w:p>
            <w:pPr>
              <w:spacing w:after="0"/>
              <w:rPr>
                <w:sz w:val="18"/>
                <w:szCs w:val="18"/>
                <w:color w:val="auto"/>
              </w:rPr>
            </w:pPr>
          </w:p>
        </w:tc>
      </w:tr>
      <w:tr>
        <w:trPr>
          <w:trHeight w:val="216"/>
        </w:trPr>
        <w:tc>
          <w:tcPr>
            <w:tcW w:w="10520" w:type="dxa"/>
            <w:vAlign w:val="bottom"/>
          </w:tcPr>
          <w:p>
            <w:pPr>
              <w:jc w:val="center"/>
              <w:ind w:left="635"/>
              <w:spacing w:after="0"/>
              <w:rPr>
                <w:sz w:val="20"/>
                <w:szCs w:val="20"/>
                <w:color w:val="auto"/>
              </w:rPr>
            </w:pPr>
            <w:r>
              <w:rPr>
                <w:rFonts w:ascii="Times New Roman" w:cs="Times New Roman" w:eastAsia="Times New Roman" w:hAnsi="Times New Roman"/>
                <w:sz w:val="18"/>
                <w:szCs w:val="18"/>
                <w:color w:val="auto"/>
                <w:w w:val="99"/>
              </w:rPr>
              <w:t>Piraeus, Greece</w:t>
            </w:r>
          </w:p>
        </w:tc>
        <w:tc>
          <w:tcPr>
            <w:tcW w:w="720" w:type="dxa"/>
            <w:vAlign w:val="bottom"/>
          </w:tcPr>
          <w:p>
            <w:pPr>
              <w:spacing w:after="0"/>
              <w:rPr>
                <w:sz w:val="18"/>
                <w:szCs w:val="18"/>
                <w:color w:val="auto"/>
              </w:rPr>
            </w:pPr>
          </w:p>
        </w:tc>
      </w:tr>
      <w:tr>
        <w:trPr>
          <w:trHeight w:val="234"/>
        </w:trPr>
        <w:tc>
          <w:tcPr>
            <w:tcW w:w="10520" w:type="dxa"/>
            <w:vAlign w:val="bottom"/>
          </w:tcPr>
          <w:p>
            <w:pPr>
              <w:jc w:val="center"/>
              <w:ind w:left="655"/>
              <w:spacing w:after="0"/>
              <w:rPr>
                <w:sz w:val="20"/>
                <w:szCs w:val="20"/>
                <w:color w:val="auto"/>
              </w:rPr>
            </w:pPr>
            <w:r>
              <w:rPr>
                <w:rFonts w:ascii="Times New Roman" w:cs="Times New Roman" w:eastAsia="Times New Roman" w:hAnsi="Times New Roman"/>
                <w:sz w:val="18"/>
                <w:szCs w:val="18"/>
                <w:color w:val="auto"/>
                <w:w w:val="99"/>
              </w:rPr>
              <w:t>(Address of principal executive office)</w:t>
            </w:r>
          </w:p>
        </w:tc>
        <w:tc>
          <w:tcPr>
            <w:tcW w:w="720" w:type="dxa"/>
            <w:vAlign w:val="bottom"/>
          </w:tcPr>
          <w:p>
            <w:pPr>
              <w:spacing w:after="0"/>
              <w:rPr>
                <w:sz w:val="20"/>
                <w:szCs w:val="20"/>
                <w:color w:val="auto"/>
              </w:rPr>
            </w:pP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tc>
        <w:tc>
          <w:tcPr>
            <w:tcW w:w="720" w:type="dxa"/>
            <w:vAlign w:val="bottom"/>
          </w:tcPr>
          <w:p>
            <w:pPr>
              <w:spacing w:after="0"/>
              <w:rPr>
                <w:sz w:val="24"/>
                <w:szCs w:val="24"/>
                <w:color w:val="auto"/>
              </w:rPr>
            </w:pPr>
          </w:p>
        </w:tc>
      </w:tr>
      <w:tr>
        <w:trPr>
          <w:trHeight w:val="452"/>
        </w:trPr>
        <w:tc>
          <w:tcPr>
            <w:tcW w:w="10520" w:type="dxa"/>
            <w:vAlign w:val="bottom"/>
          </w:tcPr>
          <w:p>
            <w:pPr>
              <w:spacing w:after="0" w:line="207" w:lineRule="exact"/>
              <w:rPr>
                <w:sz w:val="20"/>
                <w:szCs w:val="20"/>
                <w:color w:val="auto"/>
              </w:rPr>
            </w:pPr>
            <w:r>
              <w:rPr>
                <w:rFonts w:ascii="Times New Roman" w:cs="Times New Roman" w:eastAsia="Times New Roman" w:hAnsi="Times New Roman"/>
                <w:sz w:val="18"/>
                <w:szCs w:val="18"/>
                <w:color w:val="auto"/>
              </w:rPr>
              <w:t xml:space="preserve">Form 20-FForm 40-F </w:t>
            </w:r>
            <w:r>
              <w:rPr>
                <w:rFonts w:ascii="MS PGothic" w:cs="MS PGothic" w:eastAsia="MS PGothic" w:hAnsi="MS PGothic"/>
                <w:sz w:val="18"/>
                <w:szCs w:val="18"/>
                <w:color w:val="auto"/>
              </w:rPr>
              <w:t>☐</w:t>
            </w:r>
          </w:p>
        </w:tc>
        <w:tc>
          <w:tcPr>
            <w:tcW w:w="720" w:type="dxa"/>
            <w:vAlign w:val="bottom"/>
          </w:tcPr>
          <w:p>
            <w:pPr>
              <w:spacing w:after="0"/>
              <w:rPr>
                <w:sz w:val="24"/>
                <w:szCs w:val="24"/>
                <w:color w:val="auto"/>
              </w:rPr>
            </w:pP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101(b)(1):</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432"/>
        </w:trPr>
        <w:tc>
          <w:tcPr>
            <w:tcW w:w="10520" w:type="dxa"/>
            <w:vAlign w:val="bottom"/>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submitting the Form 6-K in paper as permitted by Regulation S-T Rule 101(b)(7):</w:t>
            </w:r>
          </w:p>
        </w:tc>
        <w:tc>
          <w:tcPr>
            <w:tcW w:w="7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r>
      <w:tr>
        <w:trPr>
          <w:trHeight w:val="196"/>
        </w:trPr>
        <w:tc>
          <w:tcPr>
            <w:tcW w:w="105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r>
      <w:tr>
        <w:trPr>
          <w:trHeight w:val="28"/>
        </w:trPr>
        <w:tc>
          <w:tcPr>
            <w:tcW w:w="105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432"/>
        </w:trPr>
        <w:tc>
          <w:tcPr>
            <w:tcW w:w="105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25" w:right="339" w:bottom="1440" w:gutter="0" w:footer="0" w:header="0"/>
        </w:sectPr>
      </w:pPr>
    </w:p>
    <w:bookmarkStart w:id="1" w:name="page2"/>
    <w:bookmarkEnd w:id="1"/>
    <w:p>
      <w:pPr>
        <w:ind w:right="220" w:firstLine="324"/>
        <w:spacing w:after="0" w:line="298" w:lineRule="auto"/>
        <w:rPr>
          <w:sz w:val="20"/>
          <w:szCs w:val="20"/>
          <w:color w:val="auto"/>
        </w:rPr>
      </w:pPr>
      <w:r>
        <w:rPr>
          <w:rFonts w:ascii="Times New Roman" w:cs="Times New Roman" w:eastAsia="Times New Roman" w:hAnsi="Times New Roman"/>
          <w:sz w:val="16"/>
          <w:szCs w:val="16"/>
          <w:color w:val="auto"/>
        </w:rPr>
        <w:t>The press release issued by GasLog Ltd. on November 10, 2020 relating to its results for the three-month period ended September 30, 2020 and the related financial report are attached hereto as Exhibits 99.1 and 99.2, respectively.</w:t>
      </w:r>
    </w:p>
    <w:p>
      <w:pPr>
        <w:spacing w:after="0" w:line="16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INCORPORATION BY REFERENCE</w:t>
      </w:r>
    </w:p>
    <w:p>
      <w:pPr>
        <w:spacing w:after="0" w:line="235"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Exhibit 99.2 to this Report on Form 6-K shall be incorporated by reference into our registration statements on Form F-3 (File Nos. 333-194894, 333-230205 and 333-239797), initially filed with the Securities and Exchange Commission (the “SEC”) on March 28, 2014, March 12, 2019 and July 10, 2020, respectively, as amended, and the registration statement on Form S-8 (File No. 333-187020), filed with the SEC on March 4, 2013, in each case to the extent not superseded by information subsequently filed or furnished (to the extent we expressly state that we incorporate such furnished information by reference) by us under the Securities Act of 1933 or the Securities Exchange Act of 1934, in each case as amended.</w:t>
      </w:r>
    </w:p>
    <w:p>
      <w:pPr>
        <w:spacing w:after="0" w:line="18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EXHIBIT LIST</w:t>
      </w:r>
    </w:p>
    <w:p>
      <w:pPr>
        <w:spacing w:after="0" w:line="235"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6"/>
          <w:szCs w:val="16"/>
          <w:color w:val="auto"/>
        </w:rPr>
        <w:t>Exhibit</w:t>
      </w:r>
      <w:r>
        <w:rPr>
          <w:sz w:val="20"/>
          <w:szCs w:val="20"/>
          <w:color w:val="auto"/>
        </w:rPr>
        <w:tab/>
      </w:r>
      <w:r>
        <w:rPr>
          <w:rFonts w:ascii="Times New Roman" w:cs="Times New Roman" w:eastAsia="Times New Roman" w:hAnsi="Times New Roman"/>
          <w:sz w:val="16"/>
          <w:szCs w:val="16"/>
          <w:color w:val="auto"/>
        </w:rPr>
        <w:t>Description</w:t>
      </w:r>
    </w:p>
    <w:p>
      <w:pPr>
        <w:spacing w:after="0" w:line="248" w:lineRule="exact"/>
        <w:rPr>
          <w:sz w:val="20"/>
          <w:szCs w:val="20"/>
          <w:color w:val="auto"/>
        </w:rPr>
      </w:pPr>
    </w:p>
    <w:p>
      <w:pPr>
        <w:spacing w:after="0"/>
        <w:tabs>
          <w:tab w:leader="none" w:pos="780" w:val="left"/>
        </w:tabs>
        <w:rPr>
          <w:rFonts w:ascii="Times New Roman" w:cs="Times New Roman" w:eastAsia="Times New Roman" w:hAnsi="Times New Roman"/>
          <w:sz w:val="16"/>
          <w:szCs w:val="16"/>
          <w:u w:val="single" w:color="auto"/>
          <w:color w:val="0000EE"/>
        </w:rPr>
      </w:pPr>
      <w:hyperlink w:anchor="page4">
        <w:r>
          <w:rPr>
            <w:rFonts w:ascii="Times New Roman" w:cs="Times New Roman" w:eastAsia="Times New Roman" w:hAnsi="Times New Roman"/>
            <w:sz w:val="16"/>
            <w:szCs w:val="16"/>
            <w:u w:val="single" w:color="auto"/>
            <w:color w:val="0000EE"/>
          </w:rPr>
          <w:t>99.1</w:t>
        </w:r>
      </w:hyperlink>
      <w:r>
        <w:rPr>
          <w:rFonts w:ascii="Times New Roman" w:cs="Times New Roman" w:eastAsia="Times New Roman" w:hAnsi="Times New Roman"/>
          <w:sz w:val="16"/>
          <w:szCs w:val="16"/>
          <w:u w:val="single" w:color="auto"/>
          <w:color w:val="0000EE"/>
        </w:rPr>
        <w:tab/>
      </w:r>
      <w:hyperlink w:anchor="page4">
        <w:r>
          <w:rPr>
            <w:rFonts w:ascii="Times New Roman" w:cs="Times New Roman" w:eastAsia="Times New Roman" w:hAnsi="Times New Roman"/>
            <w:sz w:val="16"/>
            <w:szCs w:val="16"/>
            <w:u w:val="single" w:color="auto"/>
            <w:color w:val="0000EE"/>
          </w:rPr>
          <w:t>Press Release dated November 10, 2020</w:t>
        </w:r>
      </w:hyperlink>
    </w:p>
    <w:p>
      <w:pPr>
        <w:spacing w:after="0" w:line="248" w:lineRule="exact"/>
        <w:rPr>
          <w:sz w:val="20"/>
          <w:szCs w:val="20"/>
          <w:color w:val="auto"/>
        </w:rPr>
      </w:pPr>
    </w:p>
    <w:p>
      <w:pPr>
        <w:spacing w:after="0"/>
        <w:tabs>
          <w:tab w:leader="none" w:pos="780" w:val="left"/>
        </w:tabs>
        <w:rPr>
          <w:rFonts w:ascii="Times New Roman" w:cs="Times New Roman" w:eastAsia="Times New Roman" w:hAnsi="Times New Roman"/>
          <w:sz w:val="16"/>
          <w:szCs w:val="16"/>
          <w:u w:val="single" w:color="auto"/>
          <w:color w:val="0000EE"/>
        </w:rPr>
      </w:pPr>
      <w:hyperlink w:anchor="page14">
        <w:r>
          <w:rPr>
            <w:rFonts w:ascii="Times New Roman" w:cs="Times New Roman" w:eastAsia="Times New Roman" w:hAnsi="Times New Roman"/>
            <w:sz w:val="16"/>
            <w:szCs w:val="16"/>
            <w:u w:val="single" w:color="auto"/>
            <w:color w:val="0000EE"/>
          </w:rPr>
          <w:t>99.2</w:t>
        </w:r>
      </w:hyperlink>
      <w:r>
        <w:rPr>
          <w:rFonts w:ascii="Times New Roman" w:cs="Times New Roman" w:eastAsia="Times New Roman" w:hAnsi="Times New Roman"/>
          <w:sz w:val="16"/>
          <w:szCs w:val="16"/>
          <w:u w:val="single" w:color="auto"/>
          <w:color w:val="0000EE"/>
        </w:rPr>
        <w:tab/>
      </w:r>
      <w:hyperlink w:anchor="page14">
        <w:r>
          <w:rPr>
            <w:rFonts w:ascii="Times New Roman" w:cs="Times New Roman" w:eastAsia="Times New Roman" w:hAnsi="Times New Roman"/>
            <w:sz w:val="16"/>
            <w:szCs w:val="16"/>
            <w:u w:val="single" w:color="auto"/>
            <w:color w:val="0000EE"/>
          </w:rPr>
          <w:t>Financial Report for the Three and Nine Months Ended September 30, 2020</w:t>
        </w:r>
      </w:hyperlink>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Management’s Discussion and Analysis of Financial Condition and Results of Operation</w:t>
      </w:r>
    </w:p>
    <w:p>
      <w:pPr>
        <w:spacing w:after="0" w:line="248"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6"/>
          <w:szCs w:val="16"/>
          <w:color w:val="auto"/>
        </w:rPr>
        <w:t>Unaudited Condensed Consolidated Financial Statements</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9" w:right="37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6"/>
          <w:szCs w:val="16"/>
          <w:color w:val="auto"/>
        </w:rPr>
        <w:t>SIGNATURES</w:t>
      </w:r>
    </w:p>
    <w:p>
      <w:pPr>
        <w:spacing w:after="0" w:line="235"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November 10, 2020</w:t>
      </w:r>
    </w:p>
    <w:p>
      <w:pPr>
        <w:spacing w:after="0" w:line="24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6"/>
          <w:szCs w:val="16"/>
          <w:color w:val="auto"/>
        </w:rPr>
        <w:t>GASLOG LTD.,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58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by</w:t>
            </w:r>
          </w:p>
        </w:tc>
        <w:tc>
          <w:tcPr>
            <w:tcW w:w="54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color w:val="auto"/>
              </w:rPr>
              <w:t>/s/ Paul Wogan</w:t>
            </w:r>
          </w:p>
        </w:tc>
      </w:tr>
      <w:tr>
        <w:trPr>
          <w:trHeight w:val="199"/>
        </w:trPr>
        <w:tc>
          <w:tcPr>
            <w:tcW w:w="5820" w:type="dxa"/>
            <w:vAlign w:val="bottom"/>
          </w:tcPr>
          <w:p>
            <w:pPr>
              <w:spacing w:after="0"/>
              <w:rPr>
                <w:sz w:val="17"/>
                <w:szCs w:val="17"/>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Name:</w:t>
            </w: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Paul Wogan</w:t>
            </w:r>
          </w:p>
        </w:tc>
      </w:tr>
      <w:tr>
        <w:trPr>
          <w:trHeight w:val="210"/>
        </w:trPr>
        <w:tc>
          <w:tcPr>
            <w:tcW w:w="5820" w:type="dxa"/>
            <w:vAlign w:val="bottom"/>
          </w:tcPr>
          <w:p>
            <w:pPr>
              <w:spacing w:after="0"/>
              <w:rPr>
                <w:sz w:val="18"/>
                <w:szCs w:val="18"/>
                <w:color w:val="auto"/>
              </w:rPr>
            </w:pPr>
          </w:p>
        </w:tc>
        <w:tc>
          <w:tcPr>
            <w:tcW w:w="540" w:type="dxa"/>
            <w:vAlign w:val="bottom"/>
          </w:tcPr>
          <w:p>
            <w:pPr>
              <w:spacing w:after="0"/>
              <w:rPr>
                <w:sz w:val="20"/>
                <w:szCs w:val="20"/>
                <w:color w:val="auto"/>
              </w:rPr>
            </w:pPr>
            <w:r>
              <w:rPr>
                <w:rFonts w:ascii="Times New Roman" w:cs="Times New Roman" w:eastAsia="Times New Roman" w:hAnsi="Times New Roman"/>
                <w:sz w:val="16"/>
                <w:szCs w:val="16"/>
                <w:color w:val="auto"/>
              </w:rPr>
              <w:t>Title:</w:t>
            </w:r>
          </w:p>
        </w:tc>
        <w:tc>
          <w:tcPr>
            <w:tcW w:w="488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Chief Executive Officer</w:t>
            </w:r>
          </w:p>
        </w:tc>
      </w:tr>
      <w:tr>
        <w:trPr>
          <w:trHeight w:val="651"/>
        </w:trPr>
        <w:tc>
          <w:tcPr>
            <w:tcW w:w="58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3</w:t>
            </w:r>
          </w:p>
        </w:tc>
        <w:tc>
          <w:tcPr>
            <w:tcW w:w="540" w:type="dxa"/>
            <w:vAlign w:val="bottom"/>
            <w:tcBorders>
              <w:bottom w:val="single" w:sz="8" w:color="auto"/>
            </w:tcBorders>
          </w:tcPr>
          <w:p>
            <w:pPr>
              <w:spacing w:after="0"/>
              <w:rPr>
                <w:sz w:val="24"/>
                <w:szCs w:val="24"/>
                <w:color w:val="auto"/>
              </w:rPr>
            </w:pPr>
          </w:p>
        </w:tc>
        <w:tc>
          <w:tcPr>
            <w:tcW w:w="48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6"/>
          <w:szCs w:val="16"/>
          <w:b w:val="1"/>
          <w:bCs w:val="1"/>
          <w:color w:val="auto"/>
        </w:rPr>
        <w:t>Exhibit 99.1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Press Release</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GasLog Ltd. Reports Financial Results for the Three-Month Period Ended September 30, 2020</w:t>
      </w:r>
    </w:p>
    <w:p>
      <w:pPr>
        <w:spacing w:after="0" w:line="235" w:lineRule="exact"/>
        <w:rPr>
          <w:sz w:val="20"/>
          <w:szCs w:val="20"/>
          <w:color w:val="auto"/>
        </w:rPr>
      </w:pPr>
    </w:p>
    <w:p>
      <w:pPr>
        <w:ind w:right="20"/>
        <w:spacing w:after="0" w:line="301" w:lineRule="auto"/>
        <w:rPr>
          <w:sz w:val="20"/>
          <w:szCs w:val="20"/>
          <w:color w:val="auto"/>
        </w:rPr>
      </w:pPr>
      <w:r>
        <w:rPr>
          <w:rFonts w:ascii="Times New Roman" w:cs="Times New Roman" w:eastAsia="Times New Roman" w:hAnsi="Times New Roman"/>
          <w:sz w:val="16"/>
          <w:szCs w:val="16"/>
          <w:b w:val="1"/>
          <w:bCs w:val="1"/>
          <w:color w:val="auto"/>
        </w:rPr>
        <w:t>Piraeus, Greece, November 10, 2020, GasLog Ltd. and its subsidiaries (“GasLog”, “Group” or “Company”) (NYSE: GLOG)</w:t>
      </w:r>
      <w:r>
        <w:rPr>
          <w:rFonts w:ascii="Times New Roman" w:cs="Times New Roman" w:eastAsia="Times New Roman" w:hAnsi="Times New Roman"/>
          <w:sz w:val="16"/>
          <w:szCs w:val="16"/>
          <w:color w:val="auto"/>
        </w:rPr>
        <w:t>, an international owner, operator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manager of liquefied natural gas (“LNG”) carriers, today reported its financial results for the quarter ended September 30, 2020.</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Highlights</w:t>
      </w:r>
    </w:p>
    <w:p>
      <w:pPr>
        <w:spacing w:after="0" w:line="248" w:lineRule="exact"/>
        <w:rPr>
          <w:sz w:val="20"/>
          <w:szCs w:val="20"/>
          <w:color w:val="auto"/>
        </w:rPr>
      </w:pPr>
    </w:p>
    <w:p>
      <w:pPr>
        <w:ind w:left="240" w:right="160" w:hanging="232"/>
        <w:spacing w:after="0" w:line="270" w:lineRule="auto"/>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Delivery of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on July 15, a 180,000 cubic meter (“cbm”) LNG carrier with dual fuel medium speed propulsion (“X-DF”) and commencement of its seven-year time charter agreement with Centrica Plc. (“Centrica”).</w:t>
      </w:r>
    </w:p>
    <w:p>
      <w:pPr>
        <w:ind w:left="240" w:right="300" w:hanging="232"/>
        <w:spacing w:after="0" w:line="264" w:lineRule="auto"/>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Refinanced all debt to mature in 2021 with four new credit facilities representing a total of approximately $1.1 billion, strengthening the balance sheet and delivering $30.2 million of incremental liquidity to the Group.</w:t>
      </w:r>
    </w:p>
    <w:p>
      <w:pPr>
        <w:ind w:left="240" w:right="520" w:hanging="232"/>
        <w:spacing w:after="0" w:line="264" w:lineRule="auto"/>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Post-quarter end, completed the sale-and-leaseback of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with CMB Financial Leasing Co. Ltd. (“CMBFL”), one of China’s largest lessors, releasing $26.4 million of incremental liquidity to GasLog and extending the repayment profile to 21 years.</w:t>
      </w:r>
    </w:p>
    <w:p>
      <w:pPr>
        <w:ind w:left="240" w:right="20" w:hanging="232"/>
        <w:spacing w:after="0" w:line="264" w:lineRule="auto"/>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Repaid approximately $86.0 million of debt, bringing total debt repayment (excluding prepayments for refinanced facilities) to approximately $193.0 million through the first nine-months of 2020.</w:t>
      </w:r>
    </w:p>
    <w:p>
      <w:pPr>
        <w:ind w:left="240" w:right="360" w:hanging="232"/>
        <w:spacing w:after="0" w:line="264" w:lineRule="auto"/>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Contracted time charter revenues of approximately $164.1 million for the fourth quarter of 2020, representing 95% charter coverage, based on signed contracts until November 10, 2020.</w:t>
      </w:r>
    </w:p>
    <w:p>
      <w:pPr>
        <w:ind w:left="240" w:hanging="232"/>
        <w:spacing w:after="0" w:line="191" w:lineRule="auto"/>
        <w:tabs>
          <w:tab w:leader="none" w:pos="240" w:val="left"/>
        </w:tabs>
        <w:numPr>
          <w:ilvl w:val="0"/>
          <w:numId w:val="1"/>
        </w:numPr>
        <w:rPr>
          <w:rFonts w:ascii="Times New Roman" w:cs="Times New Roman" w:eastAsia="Times New Roman" w:hAnsi="Times New Roman"/>
          <w:sz w:val="32"/>
          <w:szCs w:val="32"/>
          <w:color w:val="auto"/>
          <w:vertAlign w:val="superscript"/>
        </w:rPr>
      </w:pPr>
      <w:r>
        <w:rPr>
          <w:rFonts w:ascii="Times New Roman" w:cs="Times New Roman" w:eastAsia="Times New Roman" w:hAnsi="Times New Roman"/>
          <w:sz w:val="16"/>
          <w:szCs w:val="16"/>
          <w:color w:val="auto"/>
        </w:rPr>
        <w:t>Quarterly Revenues of $156.7 million, Profit of $10.1 million and Loss per share</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of ($0.03) for the three-month period ended September 30, 2020.</w:t>
      </w:r>
    </w:p>
    <w:p>
      <w:pPr>
        <w:ind w:left="240" w:right="840" w:hanging="232"/>
        <w:spacing w:after="0" w:line="187" w:lineRule="auto"/>
        <w:tabs>
          <w:tab w:leader="none" w:pos="240" w:val="left"/>
        </w:tabs>
        <w:numPr>
          <w:ilvl w:val="0"/>
          <w:numId w:val="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5"/>
          <w:szCs w:val="15"/>
          <w:color w:val="auto"/>
        </w:rPr>
        <w:t>Quarterly Adjusted EBITDA</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5"/>
          <w:szCs w:val="15"/>
          <w:color w:val="auto"/>
        </w:rPr>
        <w:t xml:space="preserve"> of $102.1 million, Adjusted Profit</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5"/>
          <w:szCs w:val="15"/>
          <w:color w:val="auto"/>
        </w:rPr>
        <w:t xml:space="preserve"> of $13.0 million and Adjusted Loss per share</w:t>
      </w:r>
      <w:r>
        <w:rPr>
          <w:rFonts w:ascii="Times New Roman" w:cs="Times New Roman" w:eastAsia="Times New Roman" w:hAnsi="Times New Roman"/>
          <w:sz w:val="24"/>
          <w:szCs w:val="24"/>
          <w:color w:val="auto"/>
          <w:vertAlign w:val="superscript"/>
        </w:rPr>
        <w:t>1</w:t>
      </w:r>
      <w:r>
        <w:rPr>
          <w:rFonts w:ascii="Times New Roman" w:cs="Times New Roman" w:eastAsia="Times New Roman" w:hAnsi="Times New Roman"/>
          <w:sz w:val="15"/>
          <w:szCs w:val="15"/>
          <w:color w:val="auto"/>
        </w:rPr>
        <w:t xml:space="preserve"> of $(0.01) for the three-month period ended September 30, 2020.</w:t>
      </w:r>
    </w:p>
    <w:p>
      <w:pPr>
        <w:ind w:left="240" w:hanging="232"/>
        <w:spacing w:after="0"/>
        <w:tabs>
          <w:tab w:leader="none" w:pos="24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Quarterly dividend of $0.05 per common share payable on November 30, 2020.</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Chairman and CEO Statements</w:t>
      </w:r>
    </w:p>
    <w:p>
      <w:pPr>
        <w:spacing w:after="0" w:line="237"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Peter G. Livanos, Chairman of GasLog, stated: “GasLog progressed on several strategic initiatives during the third quarter, a testament to the resiliency of our business model. Our fully contracted newbuilding program continues to deliver on time and on budget, operating and overhead expenses have been reduced considerably with an eye toward further improvement and the Group’s liquidity has been further bolstered following a sale-and-leaseback with a leading Chinese lessor.”</w:t>
      </w:r>
    </w:p>
    <w:p>
      <w:pPr>
        <w:spacing w:after="0" w:line="177" w:lineRule="exact"/>
        <w:rPr>
          <w:sz w:val="20"/>
          <w:szCs w:val="20"/>
          <w:color w:val="auto"/>
        </w:rPr>
      </w:pPr>
    </w:p>
    <w:p>
      <w:pPr>
        <w:ind w:right="160"/>
        <w:spacing w:after="0" w:line="281" w:lineRule="auto"/>
        <w:rPr>
          <w:sz w:val="20"/>
          <w:szCs w:val="20"/>
          <w:color w:val="auto"/>
        </w:rPr>
      </w:pPr>
      <w:r>
        <w:rPr>
          <w:rFonts w:ascii="Times New Roman" w:cs="Times New Roman" w:eastAsia="Times New Roman" w:hAnsi="Times New Roman"/>
          <w:sz w:val="16"/>
          <w:szCs w:val="16"/>
          <w:color w:val="auto"/>
        </w:rPr>
        <w:t>Paul Wogan, Chief Executive Officer, stated: “Our fleet continued to deliver high levels of service and reliability to our customers during the third quarter. We markedly increased the change over our crews but given the ongoing COVID-19 restrictions we continue to work with the authorities and through industry bodies to see how we can improve this situation for all seafarers.</w:t>
      </w:r>
    </w:p>
    <w:p>
      <w:pPr>
        <w:spacing w:after="0" w:line="175" w:lineRule="exact"/>
        <w:rPr>
          <w:sz w:val="20"/>
          <w:szCs w:val="20"/>
          <w:color w:val="auto"/>
        </w:rPr>
      </w:pPr>
    </w:p>
    <w:p>
      <w:pPr>
        <w:ind w:right="20"/>
        <w:spacing w:after="0" w:line="273" w:lineRule="auto"/>
        <w:rPr>
          <w:sz w:val="20"/>
          <w:szCs w:val="20"/>
          <w:color w:val="auto"/>
        </w:rPr>
      </w:pPr>
      <w:r>
        <w:rPr>
          <w:rFonts w:ascii="Times New Roman" w:cs="Times New Roman" w:eastAsia="Times New Roman" w:hAnsi="Times New Roman"/>
          <w:sz w:val="16"/>
          <w:szCs w:val="16"/>
          <w:color w:val="auto"/>
        </w:rPr>
        <w:t xml:space="preserve">During the third quarter, we refinanced all the Group’s debt maturing in 2021 and took delivery of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This progress has continued in the fourth quarter and in October we completed the sale-and-leaseback of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xml:space="preserve">. This transaction increased our available liquidity, improved the vessel’s average annual free cash flow over the term of the agreement and opened up a new source of capital as this was our first financial transaction with a mainland Chinese counterparty. In addition, we expect to take delivery of the </w:t>
      </w:r>
      <w:r>
        <w:rPr>
          <w:rFonts w:ascii="Times New Roman" w:cs="Times New Roman" w:eastAsia="Times New Roman" w:hAnsi="Times New Roman"/>
          <w:sz w:val="16"/>
          <w:szCs w:val="16"/>
          <w:i w:val="1"/>
          <w:iCs w:val="1"/>
          <w:color w:val="auto"/>
        </w:rPr>
        <w:t>GasLog Georgetown</w:t>
      </w:r>
      <w:r>
        <w:rPr>
          <w:rFonts w:ascii="Times New Roman" w:cs="Times New Roman" w:eastAsia="Times New Roman" w:hAnsi="Times New Roman"/>
          <w:sz w:val="16"/>
          <w:szCs w:val="16"/>
          <w:color w:val="auto"/>
        </w:rPr>
        <w:t xml:space="preserve"> later this month, the first of four vessels to be delivered into multi-year charters with Cheniere Energy Inc. (“Cheniere”).”</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37" w:lineRule="exact"/>
        <w:rPr>
          <w:sz w:val="20"/>
          <w:szCs w:val="20"/>
          <w:color w:val="auto"/>
        </w:rPr>
      </w:pPr>
    </w:p>
    <w:p>
      <w:pPr>
        <w:ind w:right="240"/>
        <w:spacing w:after="0" w:line="298" w:lineRule="auto"/>
        <w:rPr>
          <w:sz w:val="20"/>
          <w:szCs w:val="20"/>
          <w:color w:val="auto"/>
        </w:rPr>
      </w:pPr>
      <w:r>
        <w:rPr>
          <w:rFonts w:ascii="Times New Roman" w:cs="Times New Roman" w:eastAsia="Times New Roman" w:hAnsi="Times New Roman"/>
          <w:sz w:val="16"/>
          <w:szCs w:val="16"/>
          <w:color w:val="auto"/>
        </w:rPr>
        <w:t>On September 16, 2020, the board of directors declared a dividend on the Series A Preference Shares of $0.546875 per share, or $2.5 million in the aggregate, payable on October 1, 2020 to holders of record as of September 30, 2020. GasLog paid the declared dividend to the transfer agent on October 1, 2020.</w:t>
      </w:r>
    </w:p>
    <w:p>
      <w:pPr>
        <w:spacing w:after="0" w:line="164" w:lineRule="exact"/>
        <w:rPr>
          <w:sz w:val="20"/>
          <w:szCs w:val="20"/>
          <w:color w:val="auto"/>
        </w:rPr>
      </w:pPr>
    </w:p>
    <w:p>
      <w:pPr>
        <w:ind w:right="360"/>
        <w:spacing w:after="0" w:line="298" w:lineRule="auto"/>
        <w:rPr>
          <w:sz w:val="20"/>
          <w:szCs w:val="20"/>
          <w:color w:val="auto"/>
        </w:rPr>
      </w:pPr>
      <w:r>
        <w:rPr>
          <w:rFonts w:ascii="Times New Roman" w:cs="Times New Roman" w:eastAsia="Times New Roman" w:hAnsi="Times New Roman"/>
          <w:sz w:val="16"/>
          <w:szCs w:val="16"/>
          <w:color w:val="auto"/>
        </w:rPr>
        <w:t>On November 9, 2020, the board of directors declared a quarterly cash dividend of $0.05 per common share, or $4.0 million in the aggregate, payable on November 30, 2020 to shareholders of record as of November 20, 2020.</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Financial Summary</w:t>
            </w: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
        </w:trPr>
        <w:tc>
          <w:tcPr>
            <w:tcW w:w="1380" w:type="dxa"/>
            <w:vAlign w:val="bottom"/>
            <w:shd w:val="clear" w:color="auto" w:fill="000000"/>
          </w:tcPr>
          <w:p>
            <w:pPr>
              <w:spacing w:after="0" w:line="20" w:lineRule="exact"/>
              <w:rPr>
                <w:sz w:val="1"/>
                <w:szCs w:val="1"/>
                <w:color w:val="auto"/>
              </w:rPr>
            </w:pPr>
          </w:p>
        </w:tc>
        <w:tc>
          <w:tcPr>
            <w:tcW w:w="67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700" w:type="dxa"/>
            <w:vAlign w:val="bottom"/>
            <w:gridSpan w:val="5"/>
          </w:tcPr>
          <w:p>
            <w:pPr>
              <w:spacing w:after="0" w:line="20" w:lineRule="exact"/>
              <w:rPr>
                <w:sz w:val="1"/>
                <w:szCs w:val="1"/>
                <w:color w:val="auto"/>
              </w:rPr>
            </w:pPr>
          </w:p>
        </w:tc>
      </w:tr>
      <w:tr>
        <w:trPr>
          <w:trHeight w:val="437"/>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 except per share data</w:t>
            </w:r>
          </w:p>
        </w:tc>
        <w:tc>
          <w:tcPr>
            <w:tcW w:w="380" w:type="dxa"/>
            <w:vAlign w:val="bottom"/>
          </w:tcPr>
          <w:p>
            <w:pPr>
              <w:spacing w:after="0"/>
              <w:rPr>
                <w:sz w:val="24"/>
                <w:szCs w:val="24"/>
                <w:color w:val="auto"/>
              </w:rPr>
            </w:pPr>
          </w:p>
        </w:tc>
        <w:tc>
          <w:tcPr>
            <w:tcW w:w="2700" w:type="dxa"/>
            <w:vAlign w:val="bottom"/>
            <w:gridSpan w:val="5"/>
          </w:tcPr>
          <w:p>
            <w:pPr>
              <w:jc w:val="right"/>
              <w:ind w:right="60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1380" w:type="dxa"/>
            <w:vAlign w:val="bottom"/>
          </w:tcPr>
          <w:p>
            <w:pPr>
              <w:spacing w:after="0"/>
              <w:rPr>
                <w:sz w:val="17"/>
                <w:szCs w:val="17"/>
                <w:color w:val="auto"/>
              </w:rPr>
            </w:pPr>
          </w:p>
        </w:tc>
        <w:tc>
          <w:tcPr>
            <w:tcW w:w="6720" w:type="dxa"/>
            <w:vAlign w:val="bottom"/>
          </w:tcPr>
          <w:p>
            <w:pPr>
              <w:spacing w:after="0"/>
              <w:rPr>
                <w:sz w:val="17"/>
                <w:szCs w:val="17"/>
                <w:color w:val="auto"/>
              </w:rPr>
            </w:pPr>
          </w:p>
        </w:tc>
        <w:tc>
          <w:tcPr>
            <w:tcW w:w="170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80" w:type="dxa"/>
            <w:vAlign w:val="bottom"/>
            <w:gridSpan w:val="3"/>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1380" w:type="dxa"/>
            <w:vAlign w:val="bottom"/>
            <w:tcBorders>
              <w:bottom w:val="single" w:sz="8" w:color="E5FFFF"/>
            </w:tcBorders>
          </w:tcPr>
          <w:p>
            <w:pPr>
              <w:spacing w:after="0"/>
              <w:rPr>
                <w:sz w:val="18"/>
                <w:szCs w:val="18"/>
                <w:color w:val="auto"/>
              </w:rPr>
            </w:pPr>
          </w:p>
        </w:tc>
        <w:tc>
          <w:tcPr>
            <w:tcW w:w="6720" w:type="dxa"/>
            <w:vAlign w:val="bottom"/>
            <w:tcBorders>
              <w:bottom w:val="single" w:sz="8" w:color="E5FF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20" w:type="dxa"/>
            <w:vAlign w:val="bottom"/>
            <w:tcBorders>
              <w:bottom w:val="single" w:sz="8" w:color="E5FF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Pr>
          <w:p>
            <w:pPr>
              <w:spacing w:after="0"/>
              <w:rPr>
                <w:sz w:val="18"/>
                <w:szCs w:val="18"/>
                <w:color w:val="auto"/>
              </w:rPr>
            </w:pPr>
          </w:p>
        </w:tc>
      </w:tr>
      <w:tr>
        <w:trPr>
          <w:trHeight w:val="202"/>
        </w:trPr>
        <w:tc>
          <w:tcPr>
            <w:tcW w:w="81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3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165,586</w:t>
            </w:r>
          </w:p>
        </w:tc>
        <w:tc>
          <w:tcPr>
            <w:tcW w:w="320" w:type="dxa"/>
            <w:vAlign w:val="bottom"/>
            <w:shd w:val="clear" w:color="auto" w:fill="E5FFFF"/>
          </w:tcPr>
          <w:p>
            <w:pPr>
              <w:spacing w:after="0"/>
              <w:rPr>
                <w:sz w:val="17"/>
                <w:szCs w:val="17"/>
                <w:color w:val="auto"/>
              </w:rPr>
            </w:pPr>
          </w:p>
        </w:tc>
        <w:tc>
          <w:tcPr>
            <w:tcW w:w="360" w:type="dxa"/>
            <w:vAlign w:val="bottom"/>
            <w:shd w:val="clear" w:color="auto" w:fill="E5FF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156,729</w:t>
            </w:r>
          </w:p>
        </w:tc>
        <w:tc>
          <w:tcPr>
            <w:tcW w:w="40" w:type="dxa"/>
            <w:vAlign w:val="bottom"/>
          </w:tcPr>
          <w:p>
            <w:pPr>
              <w:spacing w:after="0"/>
              <w:rPr>
                <w:sz w:val="17"/>
                <w:szCs w:val="17"/>
                <w:color w:val="auto"/>
              </w:rPr>
            </w:pPr>
          </w:p>
        </w:tc>
      </w:tr>
      <w:tr>
        <w:trPr>
          <w:trHeight w:val="213"/>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Profit for the period</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320" w:type="dxa"/>
            <w:vAlign w:val="bottom"/>
          </w:tcPr>
          <w:p>
            <w:pPr>
              <w:spacing w:after="0"/>
              <w:rPr>
                <w:sz w:val="18"/>
                <w:szCs w:val="18"/>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40" w:type="dxa"/>
            <w:vAlign w:val="bottom"/>
          </w:tcPr>
          <w:p>
            <w:pPr>
              <w:spacing w:after="0"/>
              <w:rPr>
                <w:sz w:val="18"/>
                <w:szCs w:val="18"/>
                <w:color w:val="auto"/>
              </w:rPr>
            </w:pPr>
          </w:p>
        </w:tc>
      </w:tr>
      <w:tr>
        <w:trPr>
          <w:trHeight w:val="246"/>
        </w:trPr>
        <w:tc>
          <w:tcPr>
            <w:tcW w:w="8100" w:type="dxa"/>
            <w:vAlign w:val="bottom"/>
            <w:gridSpan w:val="2"/>
            <w:shd w:val="clear" w:color="auto" w:fill="E5FFFF"/>
          </w:tcPr>
          <w:p>
            <w:pPr>
              <w:spacing w:after="0" w:line="246" w:lineRule="exact"/>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p>
        </w:tc>
        <w:tc>
          <w:tcPr>
            <w:tcW w:w="3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115,034</w:t>
            </w:r>
          </w:p>
        </w:tc>
        <w:tc>
          <w:tcPr>
            <w:tcW w:w="360" w:type="dxa"/>
            <w:vAlign w:val="bottom"/>
            <w:shd w:val="clear" w:color="auto" w:fill="E5FF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102,111</w:t>
            </w:r>
          </w:p>
        </w:tc>
        <w:tc>
          <w:tcPr>
            <w:tcW w:w="40" w:type="dxa"/>
            <w:vAlign w:val="bottom"/>
          </w:tcPr>
          <w:p>
            <w:pPr>
              <w:spacing w:after="0"/>
              <w:rPr>
                <w:sz w:val="21"/>
                <w:szCs w:val="21"/>
                <w:color w:val="auto"/>
              </w:rPr>
            </w:pPr>
          </w:p>
        </w:tc>
      </w:tr>
      <w:tr>
        <w:trPr>
          <w:trHeight w:val="243"/>
        </w:trPr>
        <w:tc>
          <w:tcPr>
            <w:tcW w:w="8100" w:type="dxa"/>
            <w:vAlign w:val="bottom"/>
            <w:gridSpan w:val="2"/>
          </w:tcPr>
          <w:p>
            <w:pPr>
              <w:spacing w:after="0" w:line="243" w:lineRule="exact"/>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25,528</w:t>
            </w:r>
          </w:p>
        </w:tc>
        <w:tc>
          <w:tcPr>
            <w:tcW w:w="32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13,019</w:t>
            </w:r>
          </w:p>
        </w:tc>
      </w:tr>
      <w:tr>
        <w:trPr>
          <w:trHeight w:val="216"/>
        </w:trPr>
        <w:tc>
          <w:tcPr>
            <w:tcW w:w="810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attributable to the owners of GasLog</w:t>
            </w:r>
          </w:p>
        </w:tc>
        <w:tc>
          <w:tcPr>
            <w:tcW w:w="3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(13,545)</w:t>
            </w:r>
          </w:p>
        </w:tc>
        <w:tc>
          <w:tcPr>
            <w:tcW w:w="360" w:type="dxa"/>
            <w:vAlign w:val="bottom"/>
            <w:shd w:val="clear" w:color="auto" w:fill="E5FFFF"/>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40" w:type="dxa"/>
            <w:vAlign w:val="bottom"/>
          </w:tcPr>
          <w:p>
            <w:pPr>
              <w:spacing w:after="0"/>
              <w:rPr>
                <w:sz w:val="18"/>
                <w:szCs w:val="18"/>
                <w:color w:val="auto"/>
              </w:rPr>
            </w:pPr>
          </w:p>
        </w:tc>
      </w:tr>
      <w:tr>
        <w:trPr>
          <w:trHeight w:val="210"/>
        </w:trPr>
        <w:tc>
          <w:tcPr>
            <w:tcW w:w="81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EPS, basic</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(0.20)</w:t>
            </w: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(0.03)</w:t>
            </w:r>
          </w:p>
        </w:tc>
      </w:tr>
      <w:tr>
        <w:trPr>
          <w:trHeight w:val="249"/>
        </w:trPr>
        <w:tc>
          <w:tcPr>
            <w:tcW w:w="8100" w:type="dxa"/>
            <w:vAlign w:val="bottom"/>
            <w:gridSpan w:val="2"/>
          </w:tcPr>
          <w:p>
            <w:pPr>
              <w:spacing w:after="0" w:line="248" w:lineRule="exact"/>
              <w:rPr>
                <w:sz w:val="20"/>
                <w:szCs w:val="20"/>
                <w:color w:val="auto"/>
              </w:rPr>
            </w:pPr>
            <w:r>
              <w:rPr>
                <w:rFonts w:ascii="Times New Roman" w:cs="Times New Roman" w:eastAsia="Times New Roman" w:hAnsi="Times New Roman"/>
                <w:sz w:val="16"/>
                <w:szCs w:val="16"/>
                <w:color w:val="auto"/>
              </w:rPr>
              <w:t>Adjusted EPS</w:t>
            </w:r>
            <w:r>
              <w:rPr>
                <w:rFonts w:ascii="Times New Roman" w:cs="Times New Roman" w:eastAsia="Times New Roman" w:hAnsi="Times New Roman"/>
                <w:sz w:val="26"/>
                <w:szCs w:val="26"/>
                <w:color w:val="auto"/>
                <w:vertAlign w:val="superscript"/>
              </w:rPr>
              <w:t>1</w:t>
            </w:r>
          </w:p>
        </w:tc>
        <w:tc>
          <w:tcPr>
            <w:tcW w:w="3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0.01</w:t>
            </w:r>
          </w:p>
        </w:tc>
        <w:tc>
          <w:tcPr>
            <w:tcW w:w="320" w:type="dxa"/>
            <w:vAlign w:val="bottom"/>
          </w:tcPr>
          <w:p>
            <w:pPr>
              <w:spacing w:after="0"/>
              <w:rPr>
                <w:sz w:val="21"/>
                <w:szCs w:val="21"/>
                <w:color w:val="auto"/>
              </w:rPr>
            </w:pPr>
          </w:p>
        </w:tc>
        <w:tc>
          <w:tcPr>
            <w:tcW w:w="36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-153670</wp:posOffset>
            </wp:positionV>
            <wp:extent cx="7063740" cy="1543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63740" cy="15430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sect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24" w:right="339" w:bottom="1440" w:gutter="0" w:footer="0" w:header="0"/>
          <w:type w:val="continuous"/>
        </w:sectPr>
      </w:pPr>
    </w:p>
    <w:bookmarkStart w:id="4" w:name="page5"/>
    <w:bookmarkEnd w:id="4"/>
    <w:p>
      <w:pPr>
        <w:spacing w:after="0" w:line="275" w:lineRule="auto"/>
        <w:rPr>
          <w:sz w:val="20"/>
          <w:szCs w:val="20"/>
          <w:color w:val="auto"/>
        </w:rPr>
      </w:pPr>
      <w:r>
        <w:rPr>
          <w:rFonts w:ascii="Times New Roman" w:cs="Times New Roman" w:eastAsia="Times New Roman" w:hAnsi="Times New Roman"/>
          <w:sz w:val="16"/>
          <w:szCs w:val="16"/>
          <w:color w:val="auto"/>
        </w:rPr>
        <w:t xml:space="preserve">There were 2,528 revenue operating days for the quarter ended September 30, 2020, as compared to 2,296 revenue operating days for the quarter ended September 30, 2019. The increase in revenue operating days was mainly driven by the increased operating days from the deliveries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on April 1, 2020,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on May 11, 2020,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on July 15, 2020 and the full operation of the </w:t>
      </w:r>
      <w:r>
        <w:rPr>
          <w:rFonts w:ascii="Times New Roman" w:cs="Times New Roman" w:eastAsia="Times New Roman" w:hAnsi="Times New Roman"/>
          <w:sz w:val="16"/>
          <w:szCs w:val="16"/>
          <w:i w:val="1"/>
          <w:iCs w:val="1"/>
          <w:color w:val="auto"/>
        </w:rPr>
        <w:t>GasLog Warsaw</w:t>
      </w:r>
      <w:r>
        <w:rPr>
          <w:rFonts w:ascii="Times New Roman" w:cs="Times New Roman" w:eastAsia="Times New Roman" w:hAnsi="Times New Roman"/>
          <w:sz w:val="16"/>
          <w:szCs w:val="16"/>
          <w:color w:val="auto"/>
        </w:rPr>
        <w:t xml:space="preserve"> delivered on July 31, 2019, partially offset by the increased off-hire days for scheduled dry-dockings.</w:t>
      </w:r>
    </w:p>
    <w:p>
      <w:pPr>
        <w:spacing w:after="0" w:line="183" w:lineRule="exact"/>
        <w:rPr>
          <w:sz w:val="20"/>
          <w:szCs w:val="20"/>
          <w:color w:val="auto"/>
        </w:rPr>
      </w:pPr>
    </w:p>
    <w:p>
      <w:pPr>
        <w:jc w:val="both"/>
        <w:ind w:right="40"/>
        <w:spacing w:after="0" w:line="275" w:lineRule="auto"/>
        <w:rPr>
          <w:sz w:val="20"/>
          <w:szCs w:val="20"/>
          <w:color w:val="auto"/>
        </w:rPr>
      </w:pPr>
      <w:r>
        <w:rPr>
          <w:rFonts w:ascii="Times New Roman" w:cs="Times New Roman" w:eastAsia="Times New Roman" w:hAnsi="Times New Roman"/>
          <w:sz w:val="16"/>
          <w:szCs w:val="16"/>
          <w:color w:val="auto"/>
        </w:rPr>
        <w:t xml:space="preserve">Management allocates vessel revenues to two categories: (a) variable rate charters and (b) fixed rate charters. The variable rate charter category contains vessels operating in the LNG carrier spot and short-term market, defined as those with initial firm periods of twelve months or less, excluding option periods, or those which have a variable rate of hire across the charter period. The vessels in this category during the third quarter of 2020 were the </w:t>
      </w:r>
      <w:r>
        <w:rPr>
          <w:rFonts w:ascii="Times New Roman" w:cs="Times New Roman" w:eastAsia="Times New Roman" w:hAnsi="Times New Roman"/>
          <w:sz w:val="16"/>
          <w:szCs w:val="16"/>
          <w:i w:val="1"/>
          <w:iCs w:val="1"/>
          <w:color w:val="auto"/>
        </w:rPr>
        <w:t>GasLog Savannah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Shanghai</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Skagen</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Saratoga,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GasLog Salem,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GasLog Chelsea, </w:t>
      </w:r>
      <w:r>
        <w:rPr>
          <w:rFonts w:ascii="Times New Roman" w:cs="Times New Roman" w:eastAsia="Times New Roman" w:hAnsi="Times New Roman"/>
          <w:sz w:val="16"/>
          <w:szCs w:val="16"/>
          <w:color w:val="auto"/>
        </w:rPr>
        <w:t>the</w:t>
      </w:r>
      <w:r>
        <w:rPr>
          <w:rFonts w:ascii="Times New Roman" w:cs="Times New Roman" w:eastAsia="Times New Roman" w:hAnsi="Times New Roman"/>
          <w:sz w:val="16"/>
          <w:szCs w:val="16"/>
          <w:i w:val="1"/>
          <w:iCs w:val="1"/>
          <w:color w:val="auto"/>
        </w:rPr>
        <w:t xml:space="preserve"> Methane Rita Andrea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Alison Victoria</w:t>
      </w:r>
      <w:r>
        <w:rPr>
          <w:rFonts w:ascii="Times New Roman" w:cs="Times New Roman" w:eastAsia="Times New Roman" w:hAnsi="Times New Roman"/>
          <w:sz w:val="16"/>
          <w:szCs w:val="16"/>
          <w:color w:val="auto"/>
        </w:rPr>
        <w:t>.</w:t>
      </w:r>
    </w:p>
    <w:p>
      <w:pPr>
        <w:spacing w:after="0" w:line="183" w:lineRule="exact"/>
        <w:rPr>
          <w:sz w:val="20"/>
          <w:szCs w:val="20"/>
          <w:color w:val="auto"/>
        </w:rPr>
      </w:pPr>
    </w:p>
    <w:p>
      <w:pPr>
        <w:ind w:right="40"/>
        <w:spacing w:after="0" w:line="271" w:lineRule="auto"/>
        <w:rPr>
          <w:sz w:val="20"/>
          <w:szCs w:val="20"/>
          <w:color w:val="auto"/>
        </w:rPr>
      </w:pPr>
      <w:r>
        <w:rPr>
          <w:rFonts w:ascii="Times New Roman" w:cs="Times New Roman" w:eastAsia="Times New Roman" w:hAnsi="Times New Roman"/>
          <w:sz w:val="16"/>
          <w:szCs w:val="16"/>
          <w:color w:val="auto"/>
        </w:rPr>
        <w:t xml:space="preserve">Revenues were $156.7 million for the quarter ended September 30, 2020 ($165.6 million for the quarter ended September 30, 2019). The decrease was attributable to a decrease of $23.7 million from the vessels owned by GasLog’s subsidiary, GasLog Partners LP (“GasLog Partners” or the “Partnership”) mainly due to the expiration of the initial multi-year time charters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18-month time charter of the </w:t>
      </w:r>
      <w:r>
        <w:rPr>
          <w:rFonts w:ascii="Times New Roman" w:cs="Times New Roman" w:eastAsia="Times New Roman" w:hAnsi="Times New Roman"/>
          <w:sz w:val="16"/>
          <w:szCs w:val="16"/>
          <w:i w:val="1"/>
          <w:iCs w:val="1"/>
          <w:color w:val="auto"/>
        </w:rPr>
        <w:t>GasLog Sydney</w:t>
      </w:r>
      <w:r>
        <w:rPr>
          <w:rFonts w:ascii="Times New Roman" w:cs="Times New Roman" w:eastAsia="Times New Roman" w:hAnsi="Times New Roman"/>
          <w:sz w:val="16"/>
          <w:szCs w:val="16"/>
          <w:color w:val="auto"/>
        </w:rPr>
        <w:t xml:space="preserve">. Revenues from the GasLog 100% owned fleet increased by $21.8 million due to the deliveries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on April 1, 2020, May 11, 2020 and July 15, 2020, respectively, and the operation for the full three-month period of the </w:t>
      </w:r>
      <w:r>
        <w:rPr>
          <w:rFonts w:ascii="Times New Roman" w:cs="Times New Roman" w:eastAsia="Times New Roman" w:hAnsi="Times New Roman"/>
          <w:sz w:val="16"/>
          <w:szCs w:val="16"/>
          <w:i w:val="1"/>
          <w:iCs w:val="1"/>
          <w:color w:val="auto"/>
        </w:rPr>
        <w:t>GasLog Warsaw</w:t>
      </w:r>
      <w:r>
        <w:rPr>
          <w:rFonts w:ascii="Times New Roman" w:cs="Times New Roman" w:eastAsia="Times New Roman" w:hAnsi="Times New Roman"/>
          <w:sz w:val="16"/>
          <w:szCs w:val="16"/>
          <w:color w:val="auto"/>
        </w:rPr>
        <w:t>, delivered on July 31, 2019, partially offset by a decrease of $3.4 million from vessels operating in the spot market in both periods.</w:t>
      </w:r>
    </w:p>
    <w:p>
      <w:pPr>
        <w:spacing w:after="0" w:line="184" w:lineRule="exact"/>
        <w:rPr>
          <w:sz w:val="20"/>
          <w:szCs w:val="20"/>
          <w:color w:val="auto"/>
        </w:rPr>
      </w:pPr>
    </w:p>
    <w:p>
      <w:pPr>
        <w:ind w:right="440"/>
        <w:spacing w:after="0" w:line="298" w:lineRule="auto"/>
        <w:rPr>
          <w:sz w:val="20"/>
          <w:szCs w:val="20"/>
          <w:color w:val="auto"/>
        </w:rPr>
      </w:pPr>
      <w:r>
        <w:rPr>
          <w:rFonts w:ascii="Times New Roman" w:cs="Times New Roman" w:eastAsia="Times New Roman" w:hAnsi="Times New Roman"/>
          <w:sz w:val="16"/>
          <w:szCs w:val="16"/>
          <w:color w:val="auto"/>
        </w:rPr>
        <w:t>For the quarter ended September 30, 2020, an analysis of revenue operating days, revenues and voyage expenses and commissions per category of charter is presented below:</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220" w:type="dxa"/>
            <w:vAlign w:val="bottom"/>
          </w:tcPr>
          <w:p>
            <w:pPr>
              <w:spacing w:after="0"/>
              <w:rPr>
                <w:sz w:val="17"/>
                <w:szCs w:val="17"/>
                <w:color w:val="auto"/>
              </w:rPr>
            </w:pPr>
          </w:p>
        </w:tc>
        <w:tc>
          <w:tcPr>
            <w:tcW w:w="3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12"/>
        </w:trPr>
        <w:tc>
          <w:tcPr>
            <w:tcW w:w="7220" w:type="dxa"/>
            <w:vAlign w:val="bottom"/>
          </w:tcPr>
          <w:p>
            <w:pPr>
              <w:spacing w:after="0"/>
              <w:rPr>
                <w:sz w:val="18"/>
                <w:szCs w:val="18"/>
                <w:color w:val="auto"/>
              </w:rPr>
            </w:pPr>
          </w:p>
        </w:tc>
        <w:tc>
          <w:tcPr>
            <w:tcW w:w="396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9"/>
        </w:trPr>
        <w:tc>
          <w:tcPr>
            <w:tcW w:w="72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20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Variable rate charters</w:t>
            </w:r>
          </w:p>
        </w:tc>
        <w:tc>
          <w:tcPr>
            <w:tcW w:w="19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Fixed rate charters</w:t>
            </w:r>
          </w:p>
        </w:tc>
        <w:tc>
          <w:tcPr>
            <w:tcW w:w="0" w:type="dxa"/>
            <w:vAlign w:val="bottom"/>
          </w:tcPr>
          <w:p>
            <w:pPr>
              <w:spacing w:after="0"/>
              <w:rPr>
                <w:sz w:val="1"/>
                <w:szCs w:val="1"/>
                <w:color w:val="auto"/>
              </w:rPr>
            </w:pPr>
          </w:p>
        </w:tc>
      </w:tr>
      <w:tr>
        <w:trPr>
          <w:trHeight w:val="226"/>
        </w:trPr>
        <w:tc>
          <w:tcPr>
            <w:tcW w:w="7220" w:type="dxa"/>
            <w:vAlign w:val="bottom"/>
            <w:tcBorders>
              <w:top w:val="single" w:sz="8" w:color="E5FFFF"/>
            </w:tcBorders>
            <w:shd w:val="clear" w:color="auto" w:fill="E5FFFF"/>
          </w:tcPr>
          <w:p>
            <w:pPr>
              <w:spacing w:after="0" w:line="226" w:lineRule="exact"/>
              <w:rPr>
                <w:sz w:val="20"/>
                <w:szCs w:val="20"/>
                <w:color w:val="auto"/>
              </w:rPr>
            </w:pPr>
            <w:r>
              <w:rPr>
                <w:rFonts w:ascii="Times New Roman" w:cs="Times New Roman" w:eastAsia="Times New Roman" w:hAnsi="Times New Roman"/>
                <w:sz w:val="16"/>
                <w:szCs w:val="16"/>
                <w:color w:val="auto"/>
              </w:rPr>
              <w:t xml:space="preserve">Available days </w:t>
            </w:r>
            <w:r>
              <w:rPr>
                <w:rFonts w:ascii="Times New Roman" w:cs="Times New Roman" w:eastAsia="Times New Roman" w:hAnsi="Times New Roman"/>
                <w:sz w:val="26"/>
                <w:szCs w:val="26"/>
                <w:color w:val="auto"/>
                <w:vertAlign w:val="superscript"/>
              </w:rPr>
              <w:t>(*)</w:t>
            </w: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200" w:type="dxa"/>
            <w:vAlign w:val="bottom"/>
            <w:tcBorders>
              <w:top w:val="single" w:sz="8" w:color="E5FFFF"/>
            </w:tcBorders>
            <w:shd w:val="clear" w:color="auto" w:fill="E5FFFF"/>
          </w:tcPr>
          <w:p>
            <w:pPr>
              <w:spacing w:after="0"/>
              <w:rPr>
                <w:sz w:val="19"/>
                <w:szCs w:val="19"/>
                <w:color w:val="auto"/>
              </w:rPr>
            </w:pPr>
          </w:p>
        </w:tc>
        <w:tc>
          <w:tcPr>
            <w:tcW w:w="19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1,886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722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Revenue operating days</w:t>
            </w:r>
            <w:r>
              <w:rPr>
                <w:rFonts w:ascii="Times New Roman" w:cs="Times New Roman" w:eastAsia="Times New Roman" w:hAnsi="Times New Roman"/>
                <w:sz w:val="26"/>
                <w:szCs w:val="26"/>
                <w:color w:val="auto"/>
                <w:vertAlign w:val="superscript"/>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653</w:t>
            </w:r>
          </w:p>
        </w:tc>
        <w:tc>
          <w:tcPr>
            <w:tcW w:w="200" w:type="dxa"/>
            <w:vAlign w:val="bottom"/>
          </w:tcPr>
          <w:p>
            <w:pPr>
              <w:spacing w:after="0"/>
              <w:rPr>
                <w:sz w:val="21"/>
                <w:szCs w:val="21"/>
                <w:color w:val="auto"/>
              </w:rPr>
            </w:pPr>
          </w:p>
        </w:tc>
        <w:tc>
          <w:tcPr>
            <w:tcW w:w="1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16"/>
        </w:trPr>
        <w:tc>
          <w:tcPr>
            <w:tcW w:w="7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1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19,741</w:t>
            </w:r>
          </w:p>
        </w:tc>
        <w:tc>
          <w:tcPr>
            <w:tcW w:w="200" w:type="dxa"/>
            <w:vAlign w:val="bottom"/>
            <w:shd w:val="clear" w:color="auto" w:fill="E5FFFF"/>
          </w:tcPr>
          <w:p>
            <w:pPr>
              <w:spacing w:after="0"/>
              <w:rPr>
                <w:sz w:val="18"/>
                <w:szCs w:val="18"/>
                <w:color w:val="auto"/>
              </w:rPr>
            </w:pPr>
          </w:p>
        </w:tc>
        <w:tc>
          <w:tcPr>
            <w:tcW w:w="19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136,988</w:t>
            </w:r>
          </w:p>
        </w:tc>
        <w:tc>
          <w:tcPr>
            <w:tcW w:w="40" w:type="dxa"/>
            <w:vAlign w:val="bottom"/>
            <w:vMerge w:val="restart"/>
          </w:tcPr>
          <w:p>
            <w:pPr>
              <w:jc w:val="right"/>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0"/>
        </w:trPr>
        <w:tc>
          <w:tcPr>
            <w:tcW w:w="722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2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(3,238)</w:t>
            </w:r>
          </w:p>
        </w:tc>
        <w:tc>
          <w:tcPr>
            <w:tcW w:w="1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140" w:firstLine="8"/>
        <w:spacing w:after="0" w:line="232" w:lineRule="auto"/>
        <w:tabs>
          <w:tab w:leader="none" w:pos="191" w:val="left"/>
        </w:tabs>
        <w:numPr>
          <w:ilvl w:val="0"/>
          <w:numId w:val="2"/>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4"/>
          <w:szCs w:val="14"/>
          <w:color w:val="auto"/>
        </w:rPr>
        <w:t>Available days represent total calendar days in the period after deducting off-hire days where vessels are undergoing dry-dockings and unavailable days, i.e. days before and after a dry-docking where the vessel has limited practical ability for chartering opportunities.</w:t>
      </w:r>
    </w:p>
    <w:p>
      <w:pPr>
        <w:spacing w:after="0" w:line="1" w:lineRule="exact"/>
        <w:rPr>
          <w:rFonts w:ascii="Times New Roman" w:cs="Times New Roman" w:eastAsia="Times New Roman" w:hAnsi="Times New Roman"/>
          <w:sz w:val="23"/>
          <w:szCs w:val="23"/>
          <w:color w:val="auto"/>
          <w:vertAlign w:val="superscript"/>
        </w:rPr>
      </w:pPr>
    </w:p>
    <w:p>
      <w:pPr>
        <w:spacing w:after="0"/>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26"/>
          <w:szCs w:val="26"/>
          <w:color w:val="auto"/>
          <w:vertAlign w:val="superscript"/>
        </w:rPr>
        <w:t>(**)</w:t>
      </w:r>
      <w:r>
        <w:rPr>
          <w:rFonts w:ascii="Times New Roman" w:cs="Times New Roman" w:eastAsia="Times New Roman" w:hAnsi="Times New Roman"/>
          <w:sz w:val="16"/>
          <w:szCs w:val="16"/>
          <w:color w:val="auto"/>
        </w:rPr>
        <w:t xml:space="preserve"> Revenue operating days represent total available days after deducting off-charter days.</w:t>
      </w:r>
    </w:p>
    <w:p>
      <w:pPr>
        <w:spacing w:after="0" w:line="152" w:lineRule="exact"/>
        <w:rPr>
          <w:sz w:val="20"/>
          <w:szCs w:val="20"/>
          <w:color w:val="auto"/>
        </w:rPr>
      </w:pPr>
    </w:p>
    <w:p>
      <w:pPr>
        <w:ind w:right="40"/>
        <w:spacing w:after="0" w:line="281" w:lineRule="auto"/>
        <w:rPr>
          <w:sz w:val="20"/>
          <w:szCs w:val="20"/>
          <w:color w:val="auto"/>
        </w:rPr>
      </w:pPr>
      <w:r>
        <w:rPr>
          <w:rFonts w:ascii="Times New Roman" w:cs="Times New Roman" w:eastAsia="Times New Roman" w:hAnsi="Times New Roman"/>
          <w:sz w:val="16"/>
          <w:szCs w:val="16"/>
          <w:color w:val="auto"/>
        </w:rPr>
        <w:t>Profit for the period was $10.1 million for the quarter ended September 30, 2020 (profit of $8.9 million for the quarter ended September 30, 2019). The favorable movement in non-cash marked-to-market valuations of our derivative financial instruments in the third quarter of 2020 and the decrease in finance costs, was partially offset by a decrease in profit from operations, that was affected by the restructuring costs and the foreign exchange losses.</w:t>
      </w:r>
    </w:p>
    <w:p>
      <w:pPr>
        <w:spacing w:after="0" w:line="178" w:lineRule="exact"/>
        <w:rPr>
          <w:sz w:val="20"/>
          <w:szCs w:val="20"/>
          <w:color w:val="auto"/>
        </w:rPr>
      </w:pPr>
    </w:p>
    <w:p>
      <w:pPr>
        <w:ind w:right="340"/>
        <w:spacing w:after="0" w:line="242" w:lineRule="auto"/>
        <w:rPr>
          <w:sz w:val="20"/>
          <w:szCs w:val="20"/>
          <w:color w:val="auto"/>
        </w:rPr>
      </w:pPr>
      <w:r>
        <w:rPr>
          <w:rFonts w:ascii="Times New Roman" w:cs="Times New Roman" w:eastAsia="Times New Roman" w:hAnsi="Times New Roman"/>
          <w:sz w:val="16"/>
          <w:szCs w:val="16"/>
          <w:color w:val="auto"/>
        </w:rPr>
        <w:t>Adjusted EBITDA</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$102.1 million for the quarter ended September 30, 2020 ($115.0 million for the quarter ended September 30, 2019). The decrease in Adjusted EBITDA is mainly attributable to the decrease in revenues of $8.9 million, as discussed above and the increase in vessel operating and supervision costs of $5.4 million mainly due to the increased fleet from the newbuilding deliveries and the unfavorable movement of the Euro (“EUR”)/U.S. Dollar (“USD”) exchange rate in the third quarter of 2020 as compared to the prior quarter.</w:t>
      </w:r>
    </w:p>
    <w:p>
      <w:pPr>
        <w:spacing w:after="0" w:line="208" w:lineRule="exact"/>
        <w:rPr>
          <w:sz w:val="20"/>
          <w:szCs w:val="20"/>
          <w:color w:val="auto"/>
        </w:rPr>
      </w:pPr>
    </w:p>
    <w:p>
      <w:pPr>
        <w:jc w:val="both"/>
        <w:ind w:right="160"/>
        <w:spacing w:after="0" w:line="235" w:lineRule="auto"/>
        <w:rPr>
          <w:sz w:val="20"/>
          <w:szCs w:val="20"/>
          <w:color w:val="auto"/>
        </w:rPr>
      </w:pPr>
      <w:r>
        <w:rPr>
          <w:rFonts w:ascii="Times New Roman" w:cs="Times New Roman" w:eastAsia="Times New Roman" w:hAnsi="Times New Roman"/>
          <w:sz w:val="16"/>
          <w:szCs w:val="16"/>
          <w:color w:val="auto"/>
        </w:rPr>
        <w:t>Adjusted Profit</w:t>
      </w:r>
      <w:r>
        <w:rPr>
          <w:rFonts w:ascii="Times New Roman" w:cs="Times New Roman" w:eastAsia="Times New Roman" w:hAnsi="Times New Roman"/>
          <w:sz w:val="26"/>
          <w:szCs w:val="26"/>
          <w:color w:val="auto"/>
          <w:vertAlign w:val="superscript"/>
        </w:rPr>
        <w:t>1</w:t>
      </w:r>
      <w:r>
        <w:rPr>
          <w:rFonts w:ascii="Times New Roman" w:cs="Times New Roman" w:eastAsia="Times New Roman" w:hAnsi="Times New Roman"/>
          <w:sz w:val="16"/>
          <w:szCs w:val="16"/>
          <w:color w:val="auto"/>
        </w:rPr>
        <w:t xml:space="preserve"> was $13.0 million for the quarter ended September 30, 2020 ($25.5 million for the quarter ended September 30, 2019), adjusted for the effects of the non-cash gain on derivatives, the write-off of unamortized loan fees due to the debt refinancing, the restructuring costs, the foreign exchange losses, net and the net unrealized foreign exchange gains on cash and bonds.</w:t>
      </w:r>
    </w:p>
    <w:p>
      <w:pPr>
        <w:spacing w:after="0" w:line="210" w:lineRule="exact"/>
        <w:rPr>
          <w:sz w:val="20"/>
          <w:szCs w:val="20"/>
          <w:color w:val="auto"/>
        </w:rPr>
      </w:pPr>
    </w:p>
    <w:p>
      <w:pPr>
        <w:ind w:right="60"/>
        <w:spacing w:after="0" w:line="281" w:lineRule="auto"/>
        <w:rPr>
          <w:sz w:val="20"/>
          <w:szCs w:val="20"/>
          <w:color w:val="auto"/>
        </w:rPr>
      </w:pPr>
      <w:r>
        <w:rPr>
          <w:rFonts w:ascii="Times New Roman" w:cs="Times New Roman" w:eastAsia="Times New Roman" w:hAnsi="Times New Roman"/>
          <w:sz w:val="16"/>
          <w:szCs w:val="16"/>
          <w:color w:val="auto"/>
        </w:rPr>
        <w:t>Loss attributable to the owners of GasLog was $0.4 million for the quarter ended September 30, 2020 ($13.5 million loss for the quarter ended September 30, 2019). The decrease in loss attributable to the owners of GasLog resulted from the decrease in profit attributable to the non-controlling interests (non-controlling unitholders of GasLog Partners) following the decrease in the Partnership’s profit and the increase in profit for the period.</w:t>
      </w:r>
    </w:p>
    <w:p>
      <w:pPr>
        <w:spacing w:after="0" w:line="177" w:lineRule="exact"/>
        <w:rPr>
          <w:sz w:val="20"/>
          <w:szCs w:val="20"/>
          <w:color w:val="auto"/>
        </w:rPr>
      </w:pPr>
    </w:p>
    <w:p>
      <w:pPr>
        <w:ind w:right="140"/>
        <w:spacing w:after="0" w:line="272" w:lineRule="auto"/>
        <w:rPr>
          <w:sz w:val="20"/>
          <w:szCs w:val="20"/>
          <w:color w:val="auto"/>
        </w:rPr>
      </w:pPr>
      <w:r>
        <w:rPr>
          <w:rFonts w:ascii="Times New Roman" w:cs="Times New Roman" w:eastAsia="Times New Roman" w:hAnsi="Times New Roman"/>
          <w:sz w:val="16"/>
          <w:szCs w:val="16"/>
          <w:color w:val="auto"/>
        </w:rPr>
        <w:t>As of September 30, 2020, GasLog had $173.5 million of cash and cash equivalents. In addition, an amount of $48.3 million was held as cash collateral with respect to our derivative instruments and is included in Other non-current assets and Prepayments and other current assets, which has been reduced to $33.5 million as of November 6, 2020. As of September 30, 2020, GasLog had an aggregate of $3.5 billion of indebtedness outstanding under its credit facilities and bond agreements, of which $221.7 million was repayable within one year, and $198.1 million of lease liabilities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of which $9.7 million was payable within one year. Post-quarter end, GasLog completed the sale-and-leaseback of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with CMBFL, releasing $26.4 million of incremental liquidity to GasLog.</w:t>
      </w:r>
    </w:p>
    <w:p>
      <w:pPr>
        <w:spacing w:after="0" w:line="186"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6"/>
          <w:szCs w:val="16"/>
          <w:color w:val="auto"/>
        </w:rPr>
        <w:t>As of September 30, 2020, the total remaining balance of the contract prices of the four LNG carriers on order was $641.0 million, which GasLog expects to fund under the facility signed on December 12, 2019 with 13 international banks to provide debt funding for its current newbuilding program (the “Newbuilding Facility”), cash balances and cash from operations. As of September 30, 2020, there was undrawn available capacity of $601.6 million under the Newbuilding Facility.</w:t>
      </w:r>
    </w:p>
    <w:p>
      <w:pPr>
        <w:spacing w:after="0" w:line="177" w:lineRule="exact"/>
        <w:rPr>
          <w:sz w:val="20"/>
          <w:szCs w:val="20"/>
          <w:color w:val="auto"/>
        </w:rPr>
      </w:pPr>
    </w:p>
    <w:p>
      <w:pPr>
        <w:ind w:right="80"/>
        <w:spacing w:after="0" w:line="269" w:lineRule="auto"/>
        <w:rPr>
          <w:sz w:val="20"/>
          <w:szCs w:val="20"/>
          <w:color w:val="auto"/>
        </w:rPr>
      </w:pPr>
      <w:r>
        <w:rPr>
          <w:rFonts w:ascii="Times New Roman" w:cs="Times New Roman" w:eastAsia="Times New Roman" w:hAnsi="Times New Roman"/>
          <w:sz w:val="16"/>
          <w:szCs w:val="16"/>
          <w:color w:val="auto"/>
        </w:rPr>
        <w:t>As of September 30, 2020, GasLog’s current assets totaled $241.8 million, while current liabilities totaled $425.6 million, resulting in a negative working capital position of $183.8 million. Current liabilities include $52.3 million of unearned revenue in relation to hires received in advance of September 30, 2020 (which represents a non-cash liability that will be recognized as revenue in October as the services are rendered). Taking into account current and expected volatile commercial and financial market conditions, we anticipate that our primary sources of funds over the next twelve months will be available cash, cash from operations and existing borrowings, including the credit agreements entered into on July 16, 2020 and July 30, 2020, which refinanced in full the debt maturities due in 2021, as well as the sale-and-leaseback transaction we concluded in October 2020 that released incremental liquidity of $26.4 million. We believe that these anticipated sources of funds will be sufficient to meet our liquidity needs and to comply with our banking covenants for at least twelve months from the end of the reporting period.</w:t>
      </w:r>
    </w:p>
    <w:p>
      <w:pPr>
        <w:spacing w:after="0" w:line="200" w:lineRule="exact"/>
        <w:rPr>
          <w:sz w:val="20"/>
          <w:szCs w:val="20"/>
          <w:color w:val="auto"/>
        </w:rPr>
      </w:pPr>
    </w:p>
    <w:p>
      <w:pPr>
        <w:spacing w:after="0" w:line="20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9" w:right="339" w:bottom="920" w:gutter="0" w:footer="0" w:header="0"/>
        </w:sectPr>
      </w:pPr>
    </w:p>
    <w:bookmarkStart w:id="5" w:name="page6"/>
    <w:bookmarkEnd w:id="5"/>
    <w:p>
      <w:pPr>
        <w:spacing w:after="0" w:line="269" w:lineRule="auto"/>
        <w:rPr>
          <w:sz w:val="20"/>
          <w:szCs w:val="20"/>
          <w:color w:val="auto"/>
        </w:rPr>
      </w:pPr>
      <w:r>
        <w:rPr>
          <w:rFonts w:ascii="Times New Roman" w:cs="Times New Roman" w:eastAsia="Times New Roman" w:hAnsi="Times New Roman"/>
          <w:sz w:val="16"/>
          <w:szCs w:val="16"/>
          <w:color w:val="auto"/>
        </w:rPr>
        <w:t>Finally, the Partnership announced today that its cost of capital remains elevated and there continues to be a high degree of COVID-19-related uncertainty in the near-term LNG and LNG shipping markets. By the end of 2020, all five of the Partnership’s Steam vessels will have ended their initial multi-year time charters with subsidiaries of Royal Dutch Shell plc (“Shell”), while three additional tri-fuel diesel electric vessel (“TFDE”) vessels will conclude their multi-year charters next year. Although the Partnership has been successful in finding continued employment for certain of its available vessels, term employment to date has been concluded at current market rates which are below those achieved during the initial charters. Given these factors, combined with the Partnership’s capital allocation strategy, which is focused on deleveraging, the Partnership decided to decrease the common unit distribution to $0.01 per common unit beginning with the third quarter of 2020. This action will further strengthen the Partnership’s balance sheet, lower the fleet’s breakeven, reduce its cost of capital and further enhance its competitive positioning.</w:t>
      </w:r>
    </w:p>
    <w:p>
      <w:pPr>
        <w:spacing w:after="0" w:line="267" w:lineRule="exact"/>
        <w:rPr>
          <w:sz w:val="20"/>
          <w:szCs w:val="20"/>
          <w:color w:val="auto"/>
        </w:rPr>
      </w:pPr>
    </w:p>
    <w:p>
      <w:pPr>
        <w:ind w:right="40" w:firstLine="8"/>
        <w:spacing w:after="0" w:line="188" w:lineRule="auto"/>
        <w:tabs>
          <w:tab w:leader="none" w:pos="112" w:val="left"/>
        </w:tabs>
        <w:numPr>
          <w:ilvl w:val="0"/>
          <w:numId w:val="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3"/>
          <w:szCs w:val="13"/>
          <w:color w:val="auto"/>
        </w:rPr>
        <w:t>Earnings/(loss) per share (“EPS”) and Adjusted EPS are net of the profit attributable to non-controlling interests of $10.5 million and the dividend on preferred stock of $2.5 million for the quarter ended September 30, 2020 ($22.4 million and $2.5 million, respectively, for the quarter ended September 30, 2019). Adjusted EBITDA, Adjusted Profit and Adjusted EPS are non-GAAP financial measures and should not be used in isolation or as a substitute for GasLog’s financial results presented in accordance with International Financial Reporting Standards (“IFRS”). For the definitions and reconciliations of these measures to the most directly comparable financial measures calculated and presented in accordance with IFRS, please refer to Exhibit II at the end of this press release.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Contracted Charter Revenues</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As of September 30, 2020, the total future firm contracted revenue stood at $3.6 billion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including $0.8 billion</w:t>
      </w:r>
      <w:r>
        <w:rPr>
          <w:rFonts w:ascii="Times New Roman" w:cs="Times New Roman" w:eastAsia="Times New Roman" w:hAnsi="Times New Roman"/>
          <w:sz w:val="26"/>
          <w:szCs w:val="26"/>
          <w:color w:val="auto"/>
          <w:vertAlign w:val="superscript"/>
        </w:rPr>
        <w:t>2</w:t>
      </w:r>
      <w:r>
        <w:rPr>
          <w:rFonts w:ascii="Times New Roman" w:cs="Times New Roman" w:eastAsia="Times New Roman" w:hAnsi="Times New Roman"/>
          <w:sz w:val="16"/>
          <w:szCs w:val="16"/>
          <w:color w:val="auto"/>
        </w:rPr>
        <w:t xml:space="preserve"> from the 15 vessels currently owned by GasLog Partners.</w:t>
      </w:r>
    </w:p>
    <w:p>
      <w:pPr>
        <w:spacing w:after="0" w:line="218" w:lineRule="exact"/>
        <w:rPr>
          <w:sz w:val="20"/>
          <w:szCs w:val="20"/>
          <w:color w:val="auto"/>
        </w:rPr>
      </w:pPr>
    </w:p>
    <w:p>
      <w:pPr>
        <w:ind w:right="20" w:firstLine="8"/>
        <w:spacing w:after="0" w:line="184" w:lineRule="auto"/>
        <w:tabs>
          <w:tab w:leader="none" w:pos="101" w:val="left"/>
        </w:tabs>
        <w:numPr>
          <w:ilvl w:val="0"/>
          <w:numId w:val="4"/>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4"/>
          <w:szCs w:val="14"/>
          <w:color w:val="auto"/>
        </w:rPr>
        <w:t>Contracted revenue calculations assume: (a) 365 revenue days per annum, with 30 off-hire days when the ship undergoes scheduled dry-docking; (b) all LNG carriers on order are delivered on schedule; (c) no exercise of any option to extend the terms of charters; and (d) where charters are based on a variable rate of hire within an agreed range during the charter period, the lower end of the range.</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Alexandroupolis Project Update</w:t>
      </w:r>
    </w:p>
    <w:p>
      <w:pPr>
        <w:spacing w:after="0" w:line="237" w:lineRule="exact"/>
        <w:rPr>
          <w:sz w:val="20"/>
          <w:szCs w:val="20"/>
          <w:color w:val="auto"/>
        </w:rPr>
      </w:pPr>
    </w:p>
    <w:p>
      <w:pPr>
        <w:ind w:right="20"/>
        <w:spacing w:after="0" w:line="275" w:lineRule="auto"/>
        <w:rPr>
          <w:sz w:val="20"/>
          <w:szCs w:val="20"/>
          <w:color w:val="auto"/>
        </w:rPr>
      </w:pPr>
      <w:r>
        <w:rPr>
          <w:rFonts w:ascii="Times New Roman" w:cs="Times New Roman" w:eastAsia="Times New Roman" w:hAnsi="Times New Roman"/>
          <w:sz w:val="16"/>
          <w:szCs w:val="16"/>
          <w:color w:val="auto"/>
        </w:rPr>
        <w:t>On November 4, 2020, Gastrade S.A. (“Gastrade) announced the signing of the agreement of the acquisition of 20% of its share capital by DESFA S.A. (“DESFA), the operator of the National Natural Gas Transmission System in Greece. Through this participation Gastrade expects to gain additional expertise in managing and operating gas infrastructure and to maximize the synergies between the existing DESFA assets and the Alexandroupolis LNG Terminal, which together will strengthen the gas supply and offer energy independence in Greece and the Southeast European region.</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LNG Market Update and Outlook</w:t>
      </w:r>
    </w:p>
    <w:p>
      <w:pPr>
        <w:spacing w:after="0" w:line="237" w:lineRule="exact"/>
        <w:rPr>
          <w:sz w:val="20"/>
          <w:szCs w:val="20"/>
          <w:color w:val="auto"/>
        </w:rPr>
      </w:pPr>
    </w:p>
    <w:p>
      <w:pPr>
        <w:ind w:right="160"/>
        <w:spacing w:after="0" w:line="272" w:lineRule="auto"/>
        <w:rPr>
          <w:sz w:val="20"/>
          <w:szCs w:val="20"/>
          <w:color w:val="auto"/>
        </w:rPr>
      </w:pPr>
      <w:r>
        <w:rPr>
          <w:rFonts w:ascii="Times New Roman" w:cs="Times New Roman" w:eastAsia="Times New Roman" w:hAnsi="Times New Roman"/>
          <w:sz w:val="16"/>
          <w:szCs w:val="16"/>
          <w:color w:val="auto"/>
        </w:rPr>
        <w:t>LNG demand was 84 million tonnes (“mt”) in the third quarter of 2020, according to Poten, compared to 88 mt in the third quarter of 2019, or a decrease of approximately 4%. Although demand declined globally in the third quarter of 2020, compared to the third quarter of 2019, it also varied regionally. For example, Chinese LNG demand was 17 mt in the third quarter of 2020, an increase of 13% or approximately 2 mt. In addition, Indian demand was 7 mt, an increase of 13% or approximately 1 mt. These increases were balanced by declines in Europe, the Middle East, Japan, South Korea, North America and South America, which in aggregate saw their demand decline by over 6 mt in the third quarter.</w:t>
      </w:r>
    </w:p>
    <w:p>
      <w:pPr>
        <w:spacing w:after="0" w:line="186"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Global LNG supply was approximately 86 mt in the third quarter of 2020, a decrease of over 3 mt, or 4%, over the third quarter of 2019, according to Poten. Supply from the United States (“U.S.”) decreased by approximately 2 mt or 18%, the result of an estimated 112 cargoes cancelled by customers of U.S. export facilities as well as unplanned outages at Cameron LNG following damage to its power supply caused by Hurricane Laura in late August. In addition, supply from Australia declined by nearly 2 mt or 7%, due in part to unplanned maintenance at Gorgon LNG. Looking ahead, approximately 104 mt of new LNG capacity is currently under construction and scheduled to come online from 2021-2026.</w:t>
      </w:r>
    </w:p>
    <w:p>
      <w:pPr>
        <w:spacing w:after="0" w:line="186" w:lineRule="exact"/>
        <w:rPr>
          <w:sz w:val="20"/>
          <w:szCs w:val="20"/>
          <w:color w:val="auto"/>
        </w:rPr>
      </w:pPr>
    </w:p>
    <w:p>
      <w:pPr>
        <w:ind w:right="40"/>
        <w:spacing w:after="0" w:line="275" w:lineRule="auto"/>
        <w:rPr>
          <w:sz w:val="20"/>
          <w:szCs w:val="20"/>
          <w:color w:val="auto"/>
        </w:rPr>
      </w:pPr>
      <w:r>
        <w:rPr>
          <w:rFonts w:ascii="Times New Roman" w:cs="Times New Roman" w:eastAsia="Times New Roman" w:hAnsi="Times New Roman"/>
          <w:sz w:val="16"/>
          <w:szCs w:val="16"/>
          <w:color w:val="auto"/>
        </w:rPr>
        <w:t>In the LNG shipping spot market, TFDE headline rates, as reported by Clarksons, averaged $41,000 per day in the third quarter of 2020, a decrease from the average of $66,000 in the third quarter of 2019. Headline spot rates for Steam vessels averaged $28,000 per day in the third quarter of 2020, a decrease from the average of $43,000 per day in the third quarter of 2019. Headline spot rates in the third quarter were negatively impacted by declines in LNG demand as well as unplanned outages at facilities in the U.S. and Australia as noted above.</w:t>
      </w:r>
    </w:p>
    <w:p>
      <w:pPr>
        <w:spacing w:after="0" w:line="183" w:lineRule="exact"/>
        <w:rPr>
          <w:sz w:val="20"/>
          <w:szCs w:val="20"/>
          <w:color w:val="auto"/>
        </w:rPr>
      </w:pPr>
    </w:p>
    <w:p>
      <w:pPr>
        <w:ind w:right="100"/>
        <w:spacing w:after="0" w:line="272" w:lineRule="auto"/>
        <w:rPr>
          <w:sz w:val="20"/>
          <w:szCs w:val="20"/>
          <w:color w:val="auto"/>
        </w:rPr>
      </w:pPr>
      <w:r>
        <w:rPr>
          <w:rFonts w:ascii="Times New Roman" w:cs="Times New Roman" w:eastAsia="Times New Roman" w:hAnsi="Times New Roman"/>
          <w:sz w:val="16"/>
          <w:szCs w:val="16"/>
          <w:color w:val="auto"/>
        </w:rPr>
        <w:t>Clarksons currently assesses headline spot rates for TFDE and Steam LNG carriers at $105,000 per day and $78,000 per day, respectively. Early indications are for LNG demand to grow in the fourth quarter of 2020, relative to the third quarter of 2020, as demand in October was 2% higher than September, according to Poten. This demand growth has been reflected in the increasing headline spot rates for LNG carriers observed in recent weeks. However, taking into account the impact of the COVID-19 pandemic on the global economy, the forecast growth of the global LNG carrier fleet and expected seasonal trading patterns, there is continued potential for volatility in the spot and short-term markets over the near and medium-term.</w:t>
      </w:r>
    </w:p>
    <w:p>
      <w:pPr>
        <w:spacing w:after="0" w:line="186" w:lineRule="exact"/>
        <w:rPr>
          <w:sz w:val="20"/>
          <w:szCs w:val="20"/>
          <w:color w:val="auto"/>
        </w:rPr>
      </w:pPr>
    </w:p>
    <w:p>
      <w:pPr>
        <w:ind w:right="300"/>
        <w:spacing w:after="0" w:line="298" w:lineRule="auto"/>
        <w:rPr>
          <w:sz w:val="20"/>
          <w:szCs w:val="20"/>
          <w:color w:val="auto"/>
        </w:rPr>
      </w:pPr>
      <w:r>
        <w:rPr>
          <w:rFonts w:ascii="Times New Roman" w:cs="Times New Roman" w:eastAsia="Times New Roman" w:hAnsi="Times New Roman"/>
          <w:sz w:val="16"/>
          <w:szCs w:val="16"/>
          <w:color w:val="auto"/>
        </w:rPr>
        <w:t>As of November 4, 2020, Poten estimates that the orderbook totals 118 dedicated LNG carriers (&gt;100,000 cbm), representing 22% of the on-the-water fleet. Of these, 83 vessels (or 70%) have multi-year charters. 28 LNG carriers have been ordered year-to-date, all for long-term business with no vessels ordered on a speculative basis.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Conference Call</w:t>
      </w:r>
    </w:p>
    <w:p>
      <w:pPr>
        <w:spacing w:after="0" w:line="232"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GasLog and GasLog Partners will host a joint conference call to discuss their results for the third quarter of 2020 at 8.30 a.m. EST (3.30 p.m. EET) on Tuesday, November 10, 2020. Senior management of GasLog and GasLog Partners will review the operational and financial performance of the companies. The presentation of each company’s third quarter results will be followed by separate Q&amp;A sessions for each company.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color w:val="auto"/>
        </w:rPr>
        <w:t>The dial-in numbers for the conference call are as follows: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+1 855 253 8928 (USA)</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+44 20 3107 0289 (United Kingdom)</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 1 70 80 71 53 (France)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+852 5819 4851 (Hong Kong)</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+47 2396 4173 (Oslo)</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Conference ID: 2961797</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live webcast of the conference call will be available on the Investor Relations page of the GasLog website (</w:t>
      </w:r>
      <w:r>
        <w:rPr>
          <w:rFonts w:ascii="Times New Roman" w:cs="Times New Roman" w:eastAsia="Times New Roman" w:hAnsi="Times New Roman"/>
          <w:sz w:val="16"/>
          <w:szCs w:val="16"/>
          <w:u w:val="single" w:color="auto"/>
          <w:color w:val="auto"/>
        </w:rPr>
        <w:t>http://www.gaslogltd.com/investors</w:t>
      </w:r>
      <w:r>
        <w:rPr>
          <w:rFonts w:ascii="Times New Roman" w:cs="Times New Roman" w:eastAsia="Times New Roman" w:hAnsi="Times New Roman"/>
          <w:sz w:val="16"/>
          <w:szCs w:val="16"/>
          <w:color w:val="auto"/>
        </w:rPr>
        <w:t>).</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For those unable to participate in the conference call, a replay of the webcast will be available on the Investor Relations page of the company websites as referenced above.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About GasLog</w:t>
      </w:r>
    </w:p>
    <w:p>
      <w:pPr>
        <w:spacing w:after="0" w:line="237" w:lineRule="exact"/>
        <w:rPr>
          <w:sz w:val="20"/>
          <w:szCs w:val="20"/>
          <w:color w:val="auto"/>
        </w:rPr>
      </w:pPr>
    </w:p>
    <w:p>
      <w:pPr>
        <w:ind w:right="40"/>
        <w:spacing w:after="0" w:line="274" w:lineRule="auto"/>
        <w:rPr>
          <w:sz w:val="20"/>
          <w:szCs w:val="20"/>
          <w:color w:val="auto"/>
        </w:rPr>
      </w:pPr>
      <w:r>
        <w:rPr>
          <w:rFonts w:ascii="Times New Roman" w:cs="Times New Roman" w:eastAsia="Times New Roman" w:hAnsi="Times New Roman"/>
          <w:sz w:val="16"/>
          <w:szCs w:val="16"/>
          <w:color w:val="auto"/>
        </w:rPr>
        <w:t>GasLog is an international owner, operator and manager of LNG carriers providing support to international energy companies as part of their LNG logistics chain. GasLog’s consolidated fleet consists of 35 LNG carriers. Of these vessels, 18 (14 on the water and four on order) are owned by GasLog, two have been sold to a subsidiary of Mitsui &amp; Co. Ltd. and to CMBFL, respectively, and leased back by GasLog under long-term bareboat charters and the remaining 15 LNG carriers are owned by the Company’s subsidiary, GasLog Partners. GasLog’s principal executive offices are at 69 Akti Miaouli, 18537 Piraeus, Greece. Visit GasLog’s website at http://www.gaslogltd.com.</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Forward-Looking Statements</w:t>
      </w:r>
    </w:p>
    <w:p>
      <w:pPr>
        <w:spacing w:after="0" w:line="237" w:lineRule="exact"/>
        <w:rPr>
          <w:sz w:val="20"/>
          <w:szCs w:val="20"/>
          <w:color w:val="auto"/>
        </w:rPr>
      </w:pPr>
    </w:p>
    <w:p>
      <w:pPr>
        <w:ind w:right="20"/>
        <w:spacing w:after="0" w:line="269" w:lineRule="auto"/>
        <w:rPr>
          <w:sz w:val="20"/>
          <w:szCs w:val="20"/>
          <w:color w:val="auto"/>
        </w:rPr>
      </w:pPr>
      <w:r>
        <w:rPr>
          <w:rFonts w:ascii="Times New Roman" w:cs="Times New Roman" w:eastAsia="Times New Roman" w:hAnsi="Times New Roman"/>
          <w:sz w:val="16"/>
          <w:szCs w:val="16"/>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20" w:hanging="328"/>
        <w:spacing w:after="0" w:line="269" w:lineRule="auto"/>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increased exposure to the spot market and fluctuations in spot charter rates;</w:t>
      </w:r>
    </w:p>
    <w:p>
      <w:pPr>
        <w:spacing w:after="0" w:line="18" w:lineRule="exact"/>
        <w:rPr>
          <w:rFonts w:ascii="Times New Roman" w:cs="Times New Roman" w:eastAsia="Times New Roman" w:hAnsi="Times New Roman"/>
          <w:sz w:val="16"/>
          <w:szCs w:val="16"/>
          <w:i w:val="1"/>
          <w:iCs w:val="1"/>
          <w:color w:val="auto"/>
        </w:rPr>
      </w:pPr>
    </w:p>
    <w:p>
      <w:pPr>
        <w:jc w:val="both"/>
        <w:ind w:left="660" w:hanging="328"/>
        <w:spacing w:after="0" w:line="264"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changes in our operating expenses, including crew wages, maintenance, dry-docking and insurance costs and bunker prices;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long-term relationships and enter into time charters with new and existing customers;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LNG, LNG shipping and financial markets caused by global shutdown as a result of the COVID-19 pandemic;</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prices for crude oil, petroleum products and natural gas;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future operating performance and expenses, financial condition, liquidity and cash available for dividends and distributions;</w:t>
      </w:r>
    </w:p>
    <w:p>
      <w:pPr>
        <w:spacing w:after="0" w:line="18" w:lineRule="exact"/>
        <w:rPr>
          <w:rFonts w:ascii="Times New Roman" w:cs="Times New Roman" w:eastAsia="Times New Roman" w:hAnsi="Times New Roman"/>
          <w:sz w:val="16"/>
          <w:szCs w:val="16"/>
          <w:i w:val="1"/>
          <w:iCs w:val="1"/>
          <w:color w:val="auto"/>
        </w:rPr>
      </w:pPr>
    </w:p>
    <w:p>
      <w:pPr>
        <w:ind w:left="660" w:right="280" w:hanging="328"/>
        <w:spacing w:after="0" w:line="264" w:lineRule="auto"/>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future, pending or recent acquisitions of or orders for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time that it may take to construct and deliver newbuildings and the useful lives of our ships;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currencies and interest rates;</w:t>
      </w:r>
    </w:p>
    <w:p>
      <w:pPr>
        <w:spacing w:after="0" w:line="18" w:lineRule="exact"/>
        <w:rPr>
          <w:rFonts w:ascii="Times New Roman" w:cs="Times New Roman" w:eastAsia="Times New Roman" w:hAnsi="Times New Roman"/>
          <w:sz w:val="16"/>
          <w:szCs w:val="16"/>
          <w:i w:val="1"/>
          <w:iCs w:val="1"/>
          <w:color w:val="auto"/>
        </w:rPr>
      </w:pPr>
    </w:p>
    <w:p>
      <w:pPr>
        <w:ind w:left="660" w:right="120" w:hanging="328"/>
        <w:spacing w:after="0" w:line="264"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impact of environmental liabilities on us and the shipping industry, including climate change;</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ability to retain key employees and the availability of skilled labour, ship crews and management;</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potential liability from future litigation;</w:t>
      </w:r>
    </w:p>
    <w:p>
      <w:pPr>
        <w:spacing w:after="0" w:line="200" w:lineRule="exact"/>
        <w:rPr>
          <w:sz w:val="20"/>
          <w:szCs w:val="20"/>
          <w:color w:val="auto"/>
        </w:rPr>
      </w:pPr>
    </w:p>
    <w:p>
      <w:pPr>
        <w:spacing w:after="0" w:line="2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7" w:name="page8"/>
    <w:bookmarkEnd w:id="7"/>
    <w:p>
      <w:pPr>
        <w:ind w:left="660" w:hanging="328"/>
        <w:spacing w:after="0"/>
        <w:tabs>
          <w:tab w:leader="none" w:pos="6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 and</w:t>
      </w:r>
    </w:p>
    <w:p>
      <w:pPr>
        <w:spacing w:after="0" w:line="26" w:lineRule="exact"/>
        <w:rPr>
          <w:rFonts w:ascii="Times New Roman" w:cs="Times New Roman" w:eastAsia="Times New Roman" w:hAnsi="Times New Roman"/>
          <w:sz w:val="16"/>
          <w:szCs w:val="16"/>
          <w:i w:val="1"/>
          <w:iCs w:val="1"/>
          <w:color w:val="auto"/>
        </w:rPr>
      </w:pPr>
    </w:p>
    <w:p>
      <w:pPr>
        <w:ind w:left="660" w:right="120" w:hanging="328"/>
        <w:spacing w:after="0" w:line="288" w:lineRule="auto"/>
        <w:tabs>
          <w:tab w:leader="none" w:pos="660" w:val="left"/>
        </w:tabs>
        <w:numPr>
          <w:ilvl w:val="0"/>
          <w:numId w:val="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 xml:space="preserve">other risks and uncertainties described in the Company’s Annual Report on Form 20-F filed with the SEC on March 6, 2020 and Quarterly Reports on Form 6-K filed with the SEC on May 7, 2020 and August 5, 2020, and available at </w:t>
      </w:r>
      <w:r>
        <w:rPr>
          <w:rFonts w:ascii="Times New Roman" w:cs="Times New Roman" w:eastAsia="Times New Roman" w:hAnsi="Times New Roman"/>
          <w:sz w:val="16"/>
          <w:szCs w:val="16"/>
          <w:u w:val="single" w:color="auto"/>
          <w:color w:val="auto"/>
        </w:rPr>
        <w:t>http://www.sec.gov</w:t>
      </w:r>
      <w:r>
        <w:rPr>
          <w:rFonts w:ascii="Times New Roman" w:cs="Times New Roman" w:eastAsia="Times New Roman" w:hAnsi="Times New Roman"/>
          <w:sz w:val="16"/>
          <w:szCs w:val="16"/>
          <w:color w:val="auto"/>
        </w:rPr>
        <w:t>.</w:t>
      </w:r>
    </w:p>
    <w:p>
      <w:pPr>
        <w:spacing w:after="0" w:line="172" w:lineRule="exact"/>
        <w:rPr>
          <w:sz w:val="20"/>
          <w:szCs w:val="20"/>
          <w:color w:val="auto"/>
        </w:rPr>
      </w:pPr>
    </w:p>
    <w:p>
      <w:pPr>
        <w:ind w:right="80"/>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The declaration and payment of dividends are at all times subject to the discretion of our board of directors and will depend on, amongst other things, risks and uncertainties described above, restrictions in our credit and sale-and-leaseback facilities, the provisions of Bermuda law and such other factors as our board of directors may deem relevant.</w:t>
      </w:r>
    </w:p>
    <w:p>
      <w:pPr>
        <w:spacing w:after="0" w:line="3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Contacts: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Joseph Nelson</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Head of Investor Relations</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Phone: +1 212-223-0643</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Email: </w:t>
      </w:r>
      <w:r>
        <w:rPr>
          <w:rFonts w:ascii="Times New Roman" w:cs="Times New Roman" w:eastAsia="Times New Roman" w:hAnsi="Times New Roman"/>
          <w:sz w:val="16"/>
          <w:szCs w:val="16"/>
          <w:u w:val="single" w:color="auto"/>
          <w:color w:val="auto"/>
        </w:rPr>
        <w:t>ir@gaslogltd.com</w:t>
      </w:r>
    </w:p>
    <w:p>
      <w:pPr>
        <w:spacing w:after="0" w:line="200" w:lineRule="exact"/>
        <w:rPr>
          <w:sz w:val="20"/>
          <w:szCs w:val="20"/>
          <w:color w:val="auto"/>
        </w:rPr>
      </w:pPr>
    </w:p>
    <w:p>
      <w:pPr>
        <w:spacing w:after="0" w:line="23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909" w:right="39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EXHIBIT I - Unaudited Interim Financial Information</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tc>
        <w:tc>
          <w:tcPr>
            <w:tcW w:w="1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As of December 31, 2019 and September 30, 2020</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5"/>
        </w:trPr>
        <w:tc>
          <w:tcPr>
            <w:tcW w:w="8000" w:type="dxa"/>
            <w:vAlign w:val="bottom"/>
          </w:tcPr>
          <w:p>
            <w:pPr>
              <w:spacing w:after="0"/>
              <w:rPr>
                <w:sz w:val="24"/>
                <w:szCs w:val="24"/>
                <w:color w:val="auto"/>
              </w:rPr>
            </w:pPr>
          </w:p>
        </w:tc>
        <w:tc>
          <w:tcPr>
            <w:tcW w:w="168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560" w:type="dxa"/>
            <w:vAlign w:val="bottom"/>
            <w:gridSpan w:val="3"/>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3"/>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8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4"/>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1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Goodwill</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9,511</w:t>
            </w: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9,511</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21,620</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21,921</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16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11,592</w:t>
            </w: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9,046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24,221</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24,653</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200" w:type="dxa"/>
            <w:vAlign w:val="bottom"/>
            <w:shd w:val="clear" w:color="auto" w:fill="CCEEFF"/>
          </w:tcPr>
          <w:p>
            <w:pPr>
              <w:spacing w:after="0"/>
              <w:rPr>
                <w:sz w:val="17"/>
                <w:szCs w:val="17"/>
                <w:color w:val="auto"/>
              </w:rPr>
            </w:pPr>
          </w:p>
        </w:tc>
        <w:tc>
          <w:tcPr>
            <w:tcW w:w="156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4,427,065</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4,881,775</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203,323</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140,791</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206,495</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205,126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4,907,399</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5,292,823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24,900</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21,662</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417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383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8,172</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10,408</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13,475</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35,457</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200" w:type="dxa"/>
            <w:vAlign w:val="bottom"/>
          </w:tcPr>
          <w:p>
            <w:pPr>
              <w:spacing w:after="0"/>
              <w:rPr>
                <w:sz w:val="17"/>
                <w:szCs w:val="17"/>
                <w:color w:val="auto"/>
              </w:rPr>
            </w:pPr>
          </w:p>
        </w:tc>
        <w:tc>
          <w:tcPr>
            <w:tcW w:w="15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263,747</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173,470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315,796</w:t>
            </w:r>
          </w:p>
        </w:tc>
        <w:tc>
          <w:tcPr>
            <w:tcW w:w="2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241,797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5,223,195</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5,534,620</w:t>
            </w:r>
          </w:p>
        </w:tc>
        <w:tc>
          <w:tcPr>
            <w:tcW w:w="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8000" w:type="dxa"/>
            <w:vAlign w:val="bottom"/>
            <w:vMerge w:val="continue"/>
          </w:tcPr>
          <w:p>
            <w:pPr>
              <w:spacing w:after="0"/>
              <w:rPr>
                <w:sz w:val="16"/>
                <w:szCs w:val="16"/>
                <w:color w:val="auto"/>
              </w:rPr>
            </w:pPr>
          </w:p>
        </w:tc>
        <w:tc>
          <w:tcPr>
            <w:tcW w:w="1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14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760,671</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767,100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Reserves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16,799</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17,054</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(2,159)</w:t>
            </w:r>
          </w:p>
        </w:tc>
        <w:tc>
          <w:tcPr>
            <w:tcW w:w="156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(87,832)</w:t>
            </w:r>
          </w:p>
        </w:tc>
        <w:tc>
          <w:tcPr>
            <w:tcW w:w="15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(161,013)</w:t>
            </w:r>
          </w:p>
        </w:tc>
        <w:tc>
          <w:tcPr>
            <w:tcW w:w="0" w:type="dxa"/>
            <w:vAlign w:val="bottom"/>
          </w:tcPr>
          <w:p>
            <w:pPr>
              <w:spacing w:after="0"/>
              <w:rPr>
                <w:sz w:val="1"/>
                <w:szCs w:val="1"/>
                <w:color w:val="auto"/>
              </w:rPr>
            </w:pPr>
          </w:p>
        </w:tc>
      </w:tr>
      <w:tr>
        <w:trPr>
          <w:trHeight w:val="196"/>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688,335</w:t>
            </w:r>
          </w:p>
        </w:tc>
        <w:tc>
          <w:tcPr>
            <w:tcW w:w="200" w:type="dxa"/>
            <w:vAlign w:val="bottom"/>
          </w:tcPr>
          <w:p>
            <w:pPr>
              <w:spacing w:after="0"/>
              <w:rPr>
                <w:sz w:val="17"/>
                <w:szCs w:val="17"/>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622,762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961,518</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941,952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1,649,853</w:t>
            </w:r>
          </w:p>
        </w:tc>
        <w:tc>
          <w:tcPr>
            <w:tcW w:w="2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1,564,714</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27,615</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27,047</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601</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36,803</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136,242</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129,772</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255,422</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221,670</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9,363</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9,732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437,538</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425,550</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41,837</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97,269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2,891,973</w:t>
            </w:r>
          </w:p>
        </w:tc>
        <w:tc>
          <w:tcPr>
            <w:tcW w:w="200" w:type="dxa"/>
            <w:vAlign w:val="bottom"/>
          </w:tcPr>
          <w:p>
            <w:pPr>
              <w:spacing w:after="0"/>
              <w:rPr>
                <w:sz w:val="17"/>
                <w:szCs w:val="17"/>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3,250,584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Lease liability, non-current portion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195,567</w:t>
            </w:r>
          </w:p>
        </w:tc>
        <w:tc>
          <w:tcPr>
            <w:tcW w:w="200" w:type="dxa"/>
            <w:vAlign w:val="bottom"/>
            <w:shd w:val="clear" w:color="auto" w:fill="CCEEFF"/>
          </w:tcPr>
          <w:p>
            <w:pPr>
              <w:spacing w:after="0"/>
              <w:rPr>
                <w:sz w:val="17"/>
                <w:szCs w:val="17"/>
                <w:color w:val="auto"/>
              </w:rPr>
            </w:pPr>
          </w:p>
        </w:tc>
        <w:tc>
          <w:tcPr>
            <w:tcW w:w="14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188,359</w:t>
            </w: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6,427</w:t>
            </w:r>
          </w:p>
        </w:tc>
        <w:tc>
          <w:tcPr>
            <w:tcW w:w="200" w:type="dxa"/>
            <w:vAlign w:val="bottom"/>
          </w:tcPr>
          <w:p>
            <w:pPr>
              <w:spacing w:after="0"/>
              <w:rPr>
                <w:sz w:val="18"/>
                <w:szCs w:val="18"/>
                <w:color w:val="auto"/>
              </w:rPr>
            </w:pPr>
          </w:p>
        </w:tc>
        <w:tc>
          <w:tcPr>
            <w:tcW w:w="148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3,135,804</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3,544,356</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5,223,195</w:t>
            </w:r>
          </w:p>
        </w:tc>
        <w:tc>
          <w:tcPr>
            <w:tcW w:w="200" w:type="dxa"/>
            <w:vAlign w:val="bottom"/>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5,534,620</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9"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 except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20" w:type="dxa"/>
            <w:vAlign w:val="bottom"/>
          </w:tcPr>
          <w:p>
            <w:pPr>
              <w:spacing w:after="0"/>
              <w:rPr>
                <w:sz w:val="13"/>
                <w:szCs w:val="13"/>
                <w:color w:val="auto"/>
              </w:rPr>
            </w:pPr>
          </w:p>
        </w:tc>
        <w:tc>
          <w:tcPr>
            <w:tcW w:w="2940" w:type="dxa"/>
            <w:vAlign w:val="bottom"/>
            <w:gridSpan w:val="4"/>
          </w:tcPr>
          <w:p>
            <w:pPr>
              <w:jc w:val="right"/>
              <w:ind w:right="648"/>
              <w:spacing w:after="0"/>
              <w:rPr>
                <w:sz w:val="20"/>
                <w:szCs w:val="20"/>
                <w:color w:val="auto"/>
              </w:rPr>
            </w:pPr>
            <w:r>
              <w:rPr>
                <w:rFonts w:ascii="Times New Roman" w:cs="Times New Roman" w:eastAsia="Times New Roman" w:hAnsi="Times New Roman"/>
                <w:sz w:val="14"/>
                <w:szCs w:val="14"/>
                <w:b w:val="1"/>
                <w:bCs w:val="1"/>
                <w:color w:val="auto"/>
              </w:rPr>
              <w:t>For the three months ended</w:t>
            </w:r>
          </w:p>
        </w:tc>
        <w:tc>
          <w:tcPr>
            <w:tcW w:w="2780" w:type="dxa"/>
            <w:vAlign w:val="bottom"/>
            <w:gridSpan w:val="4"/>
          </w:tcPr>
          <w:p>
            <w:pPr>
              <w:jc w:val="right"/>
              <w:ind w:right="579"/>
              <w:spacing w:after="0"/>
              <w:rPr>
                <w:sz w:val="20"/>
                <w:szCs w:val="20"/>
                <w:color w:val="auto"/>
              </w:rPr>
            </w:pPr>
            <w:r>
              <w:rPr>
                <w:rFonts w:ascii="Times New Roman" w:cs="Times New Roman" w:eastAsia="Times New Roman" w:hAnsi="Times New Roman"/>
                <w:sz w:val="14"/>
                <w:szCs w:val="14"/>
                <w:b w:val="1"/>
                <w:bCs w:val="1"/>
                <w:color w:val="auto"/>
              </w:rPr>
              <w:t>For the nine months ended</w:t>
            </w: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1500" w:type="dxa"/>
            <w:vAlign w:val="bottom"/>
            <w:gridSpan w:val="2"/>
          </w:tcPr>
          <w:p>
            <w:pPr>
              <w:jc w:val="right"/>
              <w:ind w:right="36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2"/>
          </w:tcPr>
          <w:p>
            <w:pPr>
              <w:jc w:val="right"/>
              <w:ind w:right="32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440" w:type="dxa"/>
            <w:vAlign w:val="bottom"/>
            <w:gridSpan w:val="2"/>
          </w:tcPr>
          <w:p>
            <w:pPr>
              <w:jc w:val="right"/>
              <w:ind w:right="308"/>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1340" w:type="dxa"/>
            <w:vAlign w:val="bottom"/>
            <w:gridSpan w:val="2"/>
          </w:tcPr>
          <w:p>
            <w:pPr>
              <w:jc w:val="right"/>
              <w:ind w:right="259"/>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73"/>
        </w:trPr>
        <w:tc>
          <w:tcPr>
            <w:tcW w:w="5520" w:type="dxa"/>
            <w:vAlign w:val="bottom"/>
            <w:tcBorders>
              <w:bottom w:val="single" w:sz="8" w:color="CCEEFF"/>
            </w:tcBorders>
          </w:tcPr>
          <w:p>
            <w:pPr>
              <w:spacing w:after="0"/>
              <w:rPr>
                <w:sz w:val="15"/>
                <w:szCs w:val="15"/>
                <w:color w:val="auto"/>
              </w:rPr>
            </w:pPr>
          </w:p>
        </w:tc>
        <w:tc>
          <w:tcPr>
            <w:tcW w:w="126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4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2020</w:t>
            </w:r>
          </w:p>
        </w:tc>
        <w:tc>
          <w:tcPr>
            <w:tcW w:w="220" w:type="dxa"/>
            <w:vAlign w:val="bottom"/>
            <w:tcBorders>
              <w:bottom w:val="single" w:sz="8" w:color="CCEEFF"/>
            </w:tcBorders>
          </w:tcPr>
          <w:p>
            <w:pPr>
              <w:spacing w:after="0"/>
              <w:rPr>
                <w:sz w:val="15"/>
                <w:szCs w:val="15"/>
                <w:color w:val="auto"/>
              </w:rPr>
            </w:pPr>
          </w:p>
        </w:tc>
        <w:tc>
          <w:tcPr>
            <w:tcW w:w="122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2019</w:t>
            </w:r>
          </w:p>
        </w:tc>
        <w:tc>
          <w:tcPr>
            <w:tcW w:w="220" w:type="dxa"/>
            <w:vAlign w:val="bottom"/>
            <w:tcBorders>
              <w:bottom w:val="single" w:sz="8" w:color="CCEEFF"/>
            </w:tcBorders>
          </w:tcPr>
          <w:p>
            <w:pPr>
              <w:spacing w:after="0"/>
              <w:rPr>
                <w:sz w:val="15"/>
                <w:szCs w:val="15"/>
                <w:color w:val="auto"/>
              </w:rPr>
            </w:pPr>
          </w:p>
        </w:tc>
        <w:tc>
          <w:tcPr>
            <w:tcW w:w="1240" w:type="dxa"/>
            <w:vAlign w:val="bottom"/>
            <w:tcBorders>
              <w:bottom w:val="single" w:sz="8" w:color="auto"/>
            </w:tcBorders>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2020</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55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Revenues</w:t>
            </w:r>
          </w:p>
        </w:tc>
        <w:tc>
          <w:tcPr>
            <w:tcW w:w="126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165,586</w:t>
            </w:r>
          </w:p>
        </w:tc>
        <w:tc>
          <w:tcPr>
            <w:tcW w:w="24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156,729</w:t>
            </w:r>
          </w:p>
        </w:tc>
        <w:tc>
          <w:tcPr>
            <w:tcW w:w="220" w:type="dxa"/>
            <w:vAlign w:val="bottom"/>
            <w:shd w:val="clear" w:color="auto" w:fill="CCEEFF"/>
          </w:tcPr>
          <w:p>
            <w:pPr>
              <w:spacing w:after="0"/>
              <w:rPr>
                <w:sz w:val="12"/>
                <w:szCs w:val="12"/>
                <w:color w:val="auto"/>
              </w:rPr>
            </w:pPr>
          </w:p>
        </w:tc>
        <w:tc>
          <w:tcPr>
            <w:tcW w:w="122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486,384</w:t>
            </w:r>
          </w:p>
        </w:tc>
        <w:tc>
          <w:tcPr>
            <w:tcW w:w="220" w:type="dxa"/>
            <w:vAlign w:val="bottom"/>
            <w:shd w:val="clear" w:color="auto" w:fill="CCEEFF"/>
          </w:tcPr>
          <w:p>
            <w:pPr>
              <w:spacing w:after="0"/>
              <w:rPr>
                <w:sz w:val="12"/>
                <w:szCs w:val="12"/>
                <w:color w:val="auto"/>
              </w:rPr>
            </w:pPr>
          </w:p>
        </w:tc>
        <w:tc>
          <w:tcPr>
            <w:tcW w:w="1240" w:type="dxa"/>
            <w:vAlign w:val="bottom"/>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481,487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pool allocation</w:t>
            </w:r>
          </w:p>
        </w:tc>
        <w:tc>
          <w:tcPr>
            <w:tcW w:w="1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440" w:type="dxa"/>
            <w:vAlign w:val="bottom"/>
            <w:gridSpan w:val="2"/>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(4,264)</w:t>
            </w:r>
          </w:p>
        </w:tc>
        <w:tc>
          <w:tcPr>
            <w:tcW w:w="1340" w:type="dxa"/>
            <w:vAlign w:val="bottom"/>
            <w:gridSpan w:val="2"/>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Voyage expenses and commissions</w:t>
            </w:r>
          </w:p>
        </w:tc>
        <w:tc>
          <w:tcPr>
            <w:tcW w:w="15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(6,656)</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(5,159)</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(19,440)</w:t>
            </w:r>
          </w:p>
        </w:tc>
        <w:tc>
          <w:tcPr>
            <w:tcW w:w="13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(18,074)</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Vessel operating and supervision costs</w:t>
            </w:r>
          </w:p>
        </w:tc>
        <w:tc>
          <w:tcPr>
            <w:tcW w:w="1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(33,796)</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(39,161)</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(100,124)</w:t>
            </w:r>
          </w:p>
        </w:tc>
        <w:tc>
          <w:tcPr>
            <w:tcW w:w="13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(106,818)</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Depreciation</w:t>
            </w:r>
          </w:p>
        </w:tc>
        <w:tc>
          <w:tcPr>
            <w:tcW w:w="15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(43,237)</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(45,106)</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(124,186)</w:t>
            </w:r>
          </w:p>
        </w:tc>
        <w:tc>
          <w:tcPr>
            <w:tcW w:w="13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(130,250)</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General and administrative expenses</w:t>
            </w:r>
          </w:p>
        </w:tc>
        <w:tc>
          <w:tcPr>
            <w:tcW w:w="1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(11,324)</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(14,677)</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(32,873)</w:t>
            </w:r>
          </w:p>
        </w:tc>
        <w:tc>
          <w:tcPr>
            <w:tcW w:w="13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(35,452)</w:t>
            </w: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Loss on disposal of non-current assets</w:t>
            </w:r>
          </w:p>
        </w:tc>
        <w:tc>
          <w:tcPr>
            <w:tcW w:w="1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(572)</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Impairment loss on vessels</w:t>
            </w:r>
          </w:p>
        </w:tc>
        <w:tc>
          <w:tcPr>
            <w:tcW w:w="15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9"/>
              <w:spacing w:after="0"/>
              <w:rPr>
                <w:sz w:val="20"/>
                <w:szCs w:val="20"/>
                <w:color w:val="auto"/>
              </w:rPr>
            </w:pPr>
            <w:r>
              <w:rPr>
                <w:rFonts w:ascii="Times New Roman" w:cs="Times New Roman" w:eastAsia="Times New Roman" w:hAnsi="Times New Roman"/>
                <w:sz w:val="14"/>
                <w:szCs w:val="14"/>
                <w:color w:val="auto"/>
              </w:rPr>
              <w:t>(22,454)</w:t>
            </w:r>
          </w:p>
        </w:tc>
        <w:tc>
          <w:tcPr>
            <w:tcW w:w="0" w:type="dxa"/>
            <w:vAlign w:val="bottom"/>
          </w:tcPr>
          <w:p>
            <w:pPr>
              <w:spacing w:after="0"/>
              <w:rPr>
                <w:sz w:val="1"/>
                <w:szCs w:val="1"/>
                <w:color w:val="auto"/>
              </w:rPr>
            </w:pPr>
          </w:p>
        </w:tc>
      </w:tr>
      <w:tr>
        <w:trPr>
          <w:trHeight w:val="142"/>
        </w:trPr>
        <w:tc>
          <w:tcPr>
            <w:tcW w:w="55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Profit from operations</w:t>
            </w:r>
          </w:p>
        </w:tc>
        <w:tc>
          <w:tcPr>
            <w:tcW w:w="12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70,389</w:t>
            </w:r>
          </w:p>
        </w:tc>
        <w:tc>
          <w:tcPr>
            <w:tcW w:w="24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52,626</w:t>
            </w:r>
          </w:p>
        </w:tc>
        <w:tc>
          <w:tcPr>
            <w:tcW w:w="22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205,497</w:t>
            </w:r>
          </w:p>
        </w:tc>
        <w:tc>
          <w:tcPr>
            <w:tcW w:w="220" w:type="dxa"/>
            <w:vAlign w:val="bottom"/>
            <w:tcBorders>
              <w:top w:val="single" w:sz="8" w:color="CCEEFF"/>
            </w:tcBorders>
            <w:shd w:val="clear" w:color="auto" w:fill="CCEEFF"/>
          </w:tcPr>
          <w:p>
            <w:pPr>
              <w:spacing w:after="0"/>
              <w:rPr>
                <w:sz w:val="12"/>
                <w:szCs w:val="12"/>
                <w:color w:val="auto"/>
              </w:rPr>
            </w:pPr>
          </w:p>
        </w:tc>
        <w:tc>
          <w:tcPr>
            <w:tcW w:w="12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167,867</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2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Financial costs</w:t>
            </w:r>
          </w:p>
        </w:tc>
        <w:tc>
          <w:tcPr>
            <w:tcW w:w="126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(46,461)</w:t>
            </w:r>
          </w:p>
        </w:tc>
        <w:tc>
          <w:tcPr>
            <w:tcW w:w="24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(41,103)</w:t>
            </w:r>
          </w:p>
        </w:tc>
        <w:tc>
          <w:tcPr>
            <w:tcW w:w="220" w:type="dxa"/>
            <w:vAlign w:val="bottom"/>
          </w:tcPr>
          <w:p>
            <w:pPr>
              <w:spacing w:after="0"/>
              <w:rPr>
                <w:sz w:val="12"/>
                <w:szCs w:val="12"/>
                <w:color w:val="auto"/>
              </w:rPr>
            </w:pPr>
          </w:p>
        </w:tc>
        <w:tc>
          <w:tcPr>
            <w:tcW w:w="122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(138,865)</w:t>
            </w:r>
          </w:p>
        </w:tc>
        <w:tc>
          <w:tcPr>
            <w:tcW w:w="220" w:type="dxa"/>
            <w:vAlign w:val="bottom"/>
          </w:tcPr>
          <w:p>
            <w:pPr>
              <w:spacing w:after="0"/>
              <w:rPr>
                <w:sz w:val="12"/>
                <w:szCs w:val="12"/>
                <w:color w:val="auto"/>
              </w:rPr>
            </w:pPr>
          </w:p>
        </w:tc>
        <w:tc>
          <w:tcPr>
            <w:tcW w:w="1240" w:type="dxa"/>
            <w:vAlign w:val="bottom"/>
          </w:tcPr>
          <w:p>
            <w:pPr>
              <w:jc w:val="right"/>
              <w:spacing w:after="0" w:line="142" w:lineRule="exact"/>
              <w:rPr>
                <w:sz w:val="20"/>
                <w:szCs w:val="20"/>
                <w:color w:val="auto"/>
              </w:rPr>
            </w:pPr>
            <w:r>
              <w:rPr>
                <w:rFonts w:ascii="Times New Roman" w:cs="Times New Roman" w:eastAsia="Times New Roman" w:hAnsi="Times New Roman"/>
                <w:sz w:val="14"/>
                <w:szCs w:val="14"/>
                <w:color w:val="auto"/>
              </w:rPr>
              <w:t>(126,101)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Financial income</w:t>
            </w:r>
          </w:p>
        </w:tc>
        <w:tc>
          <w:tcPr>
            <w:tcW w:w="1500" w:type="dxa"/>
            <w:vAlign w:val="bottom"/>
            <w:gridSpan w:val="2"/>
            <w:shd w:val="clear" w:color="auto" w:fill="CCEEFF"/>
          </w:tcPr>
          <w:p>
            <w:pPr>
              <w:jc w:val="right"/>
              <w:ind w:right="168"/>
              <w:spacing w:after="0" w:line="149" w:lineRule="exact"/>
              <w:rPr>
                <w:sz w:val="20"/>
                <w:szCs w:val="20"/>
                <w:color w:val="auto"/>
              </w:rPr>
            </w:pPr>
            <w:r>
              <w:rPr>
                <w:rFonts w:ascii="Times New Roman" w:cs="Times New Roman" w:eastAsia="Times New Roman" w:hAnsi="Times New Roman"/>
                <w:sz w:val="14"/>
                <w:szCs w:val="14"/>
                <w:color w:val="auto"/>
              </w:rPr>
              <w:t>1,189</w:t>
            </w:r>
          </w:p>
        </w:tc>
        <w:tc>
          <w:tcPr>
            <w:tcW w:w="14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440" w:type="dxa"/>
            <w:vAlign w:val="bottom"/>
            <w:gridSpan w:val="2"/>
            <w:shd w:val="clear" w:color="auto" w:fill="CCEEFF"/>
          </w:tcPr>
          <w:p>
            <w:pPr>
              <w:jc w:val="right"/>
              <w:ind w:right="148"/>
              <w:spacing w:after="0" w:line="149" w:lineRule="exact"/>
              <w:rPr>
                <w:sz w:val="20"/>
                <w:szCs w:val="20"/>
                <w:color w:val="auto"/>
              </w:rPr>
            </w:pPr>
            <w:r>
              <w:rPr>
                <w:rFonts w:ascii="Times New Roman" w:cs="Times New Roman" w:eastAsia="Times New Roman" w:hAnsi="Times New Roman"/>
                <w:sz w:val="14"/>
                <w:szCs w:val="14"/>
                <w:color w:val="auto"/>
              </w:rPr>
              <w:t>4,357</w:t>
            </w:r>
          </w:p>
        </w:tc>
        <w:tc>
          <w:tcPr>
            <w:tcW w:w="1340" w:type="dxa"/>
            <w:vAlign w:val="bottom"/>
            <w:gridSpan w:val="2"/>
            <w:shd w:val="clear" w:color="auto" w:fill="CCEEFF"/>
          </w:tcPr>
          <w:p>
            <w:pPr>
              <w:jc w:val="right"/>
              <w:ind w:right="59"/>
              <w:spacing w:after="0" w:line="149" w:lineRule="exact"/>
              <w:rPr>
                <w:sz w:val="20"/>
                <w:szCs w:val="20"/>
                <w:color w:val="auto"/>
              </w:rPr>
            </w:pPr>
            <w:r>
              <w:rPr>
                <w:rFonts w:ascii="Times New Roman" w:cs="Times New Roman" w:eastAsia="Times New Roman" w:hAnsi="Times New Roman"/>
                <w:sz w:val="14"/>
                <w:szCs w:val="14"/>
                <w:color w:val="auto"/>
              </w:rPr>
              <w:t>685</w:t>
            </w:r>
          </w:p>
        </w:tc>
        <w:tc>
          <w:tcPr>
            <w:tcW w:w="0" w:type="dxa"/>
            <w:vAlign w:val="bottom"/>
          </w:tcPr>
          <w:p>
            <w:pPr>
              <w:spacing w:after="0"/>
              <w:rPr>
                <w:sz w:val="1"/>
                <w:szCs w:val="1"/>
                <w:color w:val="auto"/>
              </w:rPr>
            </w:pPr>
          </w:p>
        </w:tc>
      </w:tr>
      <w:tr>
        <w:trPr>
          <w:trHeight w:val="148"/>
        </w:trPr>
        <w:tc>
          <w:tcPr>
            <w:tcW w:w="55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Loss on derivatives</w:t>
            </w:r>
          </w:p>
        </w:tc>
        <w:tc>
          <w:tcPr>
            <w:tcW w:w="1500" w:type="dxa"/>
            <w:vAlign w:val="bottom"/>
            <w:gridSpan w:val="2"/>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(16,758)</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(2,095)</w:t>
            </w:r>
          </w:p>
        </w:tc>
        <w:tc>
          <w:tcPr>
            <w:tcW w:w="1440" w:type="dxa"/>
            <w:vAlign w:val="bottom"/>
            <w:gridSpan w:val="2"/>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(67,801)</w:t>
            </w:r>
          </w:p>
        </w:tc>
        <w:tc>
          <w:tcPr>
            <w:tcW w:w="1340" w:type="dxa"/>
            <w:vAlign w:val="bottom"/>
            <w:gridSpan w:val="2"/>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(86,686)</w:t>
            </w:r>
          </w:p>
        </w:tc>
        <w:tc>
          <w:tcPr>
            <w:tcW w:w="0" w:type="dxa"/>
            <w:vAlign w:val="bottom"/>
          </w:tcPr>
          <w:p>
            <w:pPr>
              <w:spacing w:after="0"/>
              <w:rPr>
                <w:sz w:val="1"/>
                <w:szCs w:val="1"/>
                <w:color w:val="auto"/>
              </w:rPr>
            </w:pPr>
          </w:p>
        </w:tc>
      </w:tr>
      <w:tr>
        <w:trPr>
          <w:trHeight w:val="162"/>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Share of profit of associates</w:t>
            </w:r>
          </w:p>
        </w:tc>
        <w:tc>
          <w:tcPr>
            <w:tcW w:w="1500" w:type="dxa"/>
            <w:vAlign w:val="bottom"/>
            <w:gridSpan w:val="2"/>
            <w:shd w:val="clear" w:color="auto" w:fill="CCEEFF"/>
          </w:tcPr>
          <w:p>
            <w:pPr>
              <w:jc w:val="right"/>
              <w:ind w:right="168"/>
              <w:spacing w:after="0"/>
              <w:rPr>
                <w:sz w:val="20"/>
                <w:szCs w:val="20"/>
                <w:color w:val="auto"/>
              </w:rPr>
            </w:pPr>
            <w:r>
              <w:rPr>
                <w:rFonts w:ascii="Times New Roman" w:cs="Times New Roman" w:eastAsia="Times New Roman" w:hAnsi="Times New Roman"/>
                <w:sz w:val="14"/>
                <w:szCs w:val="14"/>
                <w:color w:val="auto"/>
              </w:rPr>
              <w:t>530</w:t>
            </w:r>
          </w:p>
        </w:tc>
        <w:tc>
          <w:tcPr>
            <w:tcW w:w="1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648</w:t>
            </w:r>
          </w:p>
        </w:tc>
        <w:tc>
          <w:tcPr>
            <w:tcW w:w="1440" w:type="dxa"/>
            <w:vAlign w:val="bottom"/>
            <w:gridSpan w:val="2"/>
            <w:shd w:val="clear" w:color="auto" w:fill="CCEEFF"/>
          </w:tcPr>
          <w:p>
            <w:pPr>
              <w:jc w:val="right"/>
              <w:ind w:right="148"/>
              <w:spacing w:after="0"/>
              <w:rPr>
                <w:sz w:val="20"/>
                <w:szCs w:val="20"/>
                <w:color w:val="auto"/>
              </w:rPr>
            </w:pPr>
            <w:r>
              <w:rPr>
                <w:rFonts w:ascii="Times New Roman" w:cs="Times New Roman" w:eastAsia="Times New Roman" w:hAnsi="Times New Roman"/>
                <w:sz w:val="14"/>
                <w:szCs w:val="14"/>
                <w:color w:val="auto"/>
              </w:rPr>
              <w:t>1,088</w:t>
            </w:r>
          </w:p>
        </w:tc>
        <w:tc>
          <w:tcPr>
            <w:tcW w:w="1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4"/>
                <w:szCs w:val="14"/>
                <w:color w:val="auto"/>
              </w:rPr>
              <w:t>1,576</w:t>
            </w:r>
          </w:p>
        </w:tc>
        <w:tc>
          <w:tcPr>
            <w:tcW w:w="0" w:type="dxa"/>
            <w:vAlign w:val="bottom"/>
          </w:tcPr>
          <w:p>
            <w:pPr>
              <w:spacing w:after="0"/>
              <w:rPr>
                <w:sz w:val="1"/>
                <w:szCs w:val="1"/>
                <w:color w:val="auto"/>
              </w:rPr>
            </w:pPr>
          </w:p>
        </w:tc>
      </w:tr>
      <w:tr>
        <w:trPr>
          <w:trHeight w:val="142"/>
        </w:trPr>
        <w:tc>
          <w:tcPr>
            <w:tcW w:w="55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other expenses, net</w:t>
            </w:r>
          </w:p>
        </w:tc>
        <w:tc>
          <w:tcPr>
            <w:tcW w:w="126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(61,500</w:t>
            </w:r>
          </w:p>
        </w:tc>
        <w:tc>
          <w:tcPr>
            <w:tcW w:w="240" w:type="dxa"/>
            <w:vAlign w:val="bottom"/>
            <w:tcBorders>
              <w:bottom w:val="single" w:sz="8" w:color="CCEEFF"/>
            </w:tcBorders>
          </w:tcPr>
          <w:p>
            <w:pPr>
              <w:jc w:val="right"/>
              <w:ind w:right="10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(42,510</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(201,221</w:t>
            </w:r>
          </w:p>
        </w:tc>
        <w:tc>
          <w:tcPr>
            <w:tcW w:w="220" w:type="dxa"/>
            <w:vAlign w:val="bottom"/>
            <w:tcBorders>
              <w:bottom w:val="single" w:sz="8" w:color="CCEEFF"/>
            </w:tcBorders>
          </w:tcPr>
          <w:p>
            <w:pPr>
              <w:jc w:val="right"/>
              <w:ind w:right="88"/>
              <w:spacing w:after="0" w:line="142" w:lineRule="exact"/>
              <w:rPr>
                <w:sz w:val="20"/>
                <w:szCs w:val="20"/>
                <w:color w:val="auto"/>
              </w:rPr>
            </w:pPr>
            <w:r>
              <w:rPr>
                <w:rFonts w:ascii="Times New Roman" w:cs="Times New Roman" w:eastAsia="Times New Roman" w:hAnsi="Times New Roman"/>
                <w:sz w:val="14"/>
                <w:szCs w:val="14"/>
                <w:b w:val="1"/>
                <w:bCs w:val="1"/>
                <w:color w:val="auto"/>
                <w:w w:val="84"/>
              </w:rPr>
              <w:t>)</w:t>
            </w:r>
          </w:p>
        </w:tc>
        <w:tc>
          <w:tcPr>
            <w:tcW w:w="124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b w:val="1"/>
                <w:bCs w:val="1"/>
                <w:color w:val="auto"/>
              </w:rPr>
              <w:t>(210,526</w:t>
            </w:r>
          </w:p>
        </w:tc>
        <w:tc>
          <w:tcPr>
            <w:tcW w:w="100" w:type="dxa"/>
            <w:vAlign w:val="bottom"/>
            <w:tcBorders>
              <w:bottom w:val="single" w:sz="8" w:color="CCEEFF"/>
            </w:tcBorders>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55"/>
        </w:trPr>
        <w:tc>
          <w:tcPr>
            <w:tcW w:w="55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Profit/(loss) for the period</w:t>
            </w:r>
          </w:p>
        </w:tc>
        <w:tc>
          <w:tcPr>
            <w:tcW w:w="126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8,889</w:t>
            </w:r>
          </w:p>
        </w:tc>
        <w:tc>
          <w:tcPr>
            <w:tcW w:w="24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10,116</w:t>
            </w:r>
          </w:p>
        </w:tc>
        <w:tc>
          <w:tcPr>
            <w:tcW w:w="220" w:type="dxa"/>
            <w:vAlign w:val="bottom"/>
            <w:tcBorders>
              <w:bottom w:val="single" w:sz="8" w:color="CCEEFF"/>
            </w:tcBorders>
            <w:shd w:val="clear" w:color="auto" w:fill="CCEEFF"/>
          </w:tcPr>
          <w:p>
            <w:pPr>
              <w:spacing w:after="0"/>
              <w:rPr>
                <w:sz w:val="13"/>
                <w:szCs w:val="13"/>
                <w:color w:val="auto"/>
              </w:rPr>
            </w:pPr>
          </w:p>
        </w:tc>
        <w:tc>
          <w:tcPr>
            <w:tcW w:w="12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4,276</w:t>
            </w:r>
          </w:p>
        </w:tc>
        <w:tc>
          <w:tcPr>
            <w:tcW w:w="220" w:type="dxa"/>
            <w:vAlign w:val="bottom"/>
            <w:tcBorders>
              <w:bottom w:val="single" w:sz="8" w:color="CCEEFF"/>
            </w:tcBorders>
            <w:shd w:val="clear" w:color="auto" w:fill="CCEEFF"/>
          </w:tcPr>
          <w:p>
            <w:pPr>
              <w:spacing w:after="0"/>
              <w:rPr>
                <w:sz w:val="13"/>
                <w:szCs w:val="13"/>
                <w:color w:val="auto"/>
              </w:rPr>
            </w:pPr>
          </w:p>
        </w:tc>
        <w:tc>
          <w:tcPr>
            <w:tcW w:w="124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(42,659</w:t>
            </w:r>
          </w:p>
        </w:tc>
        <w:tc>
          <w:tcPr>
            <w:tcW w:w="1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Attributable to:</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20" w:type="dxa"/>
            <w:vAlign w:val="bottom"/>
            <w:vMerge w:val="continue"/>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Owners of the Group</w:t>
            </w:r>
          </w:p>
        </w:tc>
        <w:tc>
          <w:tcPr>
            <w:tcW w:w="15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color w:val="auto"/>
              </w:rPr>
              <w:t>(13,545)</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(354)</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color w:val="auto"/>
              </w:rPr>
              <w:t>(50,490)</w:t>
            </w:r>
          </w:p>
        </w:tc>
        <w:tc>
          <w:tcPr>
            <w:tcW w:w="13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color w:val="auto"/>
              </w:rPr>
              <w:t>(73,181)</w:t>
            </w:r>
          </w:p>
        </w:tc>
        <w:tc>
          <w:tcPr>
            <w:tcW w:w="0" w:type="dxa"/>
            <w:vAlign w:val="bottom"/>
          </w:tcPr>
          <w:p>
            <w:pPr>
              <w:spacing w:after="0"/>
              <w:rPr>
                <w:sz w:val="1"/>
                <w:szCs w:val="1"/>
                <w:color w:val="auto"/>
              </w:rPr>
            </w:pPr>
          </w:p>
        </w:tc>
      </w:tr>
      <w:tr>
        <w:trPr>
          <w:trHeight w:val="162"/>
        </w:trPr>
        <w:tc>
          <w:tcPr>
            <w:tcW w:w="5520" w:type="dxa"/>
            <w:vAlign w:val="bottom"/>
          </w:tcPr>
          <w:p>
            <w:pPr>
              <w:spacing w:after="0"/>
              <w:rPr>
                <w:sz w:val="20"/>
                <w:szCs w:val="20"/>
                <w:color w:val="auto"/>
              </w:rPr>
            </w:pPr>
            <w:r>
              <w:rPr>
                <w:rFonts w:ascii="Times New Roman" w:cs="Times New Roman" w:eastAsia="Times New Roman" w:hAnsi="Times New Roman"/>
                <w:sz w:val="14"/>
                <w:szCs w:val="14"/>
                <w:color w:val="auto"/>
              </w:rPr>
              <w:t>Non-controlling interests</w:t>
            </w:r>
          </w:p>
        </w:tc>
        <w:tc>
          <w:tcPr>
            <w:tcW w:w="1500" w:type="dxa"/>
            <w:vAlign w:val="bottom"/>
            <w:gridSpan w:val="2"/>
          </w:tcPr>
          <w:p>
            <w:pPr>
              <w:jc w:val="right"/>
              <w:ind w:right="168"/>
              <w:spacing w:after="0"/>
              <w:rPr>
                <w:sz w:val="20"/>
                <w:szCs w:val="20"/>
                <w:color w:val="auto"/>
              </w:rPr>
            </w:pPr>
            <w:r>
              <w:rPr>
                <w:rFonts w:ascii="Times New Roman" w:cs="Times New Roman" w:eastAsia="Times New Roman" w:hAnsi="Times New Roman"/>
                <w:sz w:val="14"/>
                <w:szCs w:val="14"/>
                <w:color w:val="auto"/>
              </w:rPr>
              <w:t>22,434</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10,470</w:t>
            </w:r>
          </w:p>
        </w:tc>
        <w:tc>
          <w:tcPr>
            <w:tcW w:w="1440" w:type="dxa"/>
            <w:vAlign w:val="bottom"/>
            <w:gridSpan w:val="2"/>
          </w:tcPr>
          <w:p>
            <w:pPr>
              <w:jc w:val="right"/>
              <w:ind w:right="148"/>
              <w:spacing w:after="0"/>
              <w:rPr>
                <w:sz w:val="20"/>
                <w:szCs w:val="20"/>
                <w:color w:val="auto"/>
              </w:rPr>
            </w:pPr>
            <w:r>
              <w:rPr>
                <w:rFonts w:ascii="Times New Roman" w:cs="Times New Roman" w:eastAsia="Times New Roman" w:hAnsi="Times New Roman"/>
                <w:sz w:val="14"/>
                <w:szCs w:val="14"/>
                <w:color w:val="auto"/>
              </w:rPr>
              <w:t>54,766</w:t>
            </w:r>
          </w:p>
        </w:tc>
        <w:tc>
          <w:tcPr>
            <w:tcW w:w="1340" w:type="dxa"/>
            <w:vAlign w:val="bottom"/>
            <w:gridSpan w:val="2"/>
          </w:tcPr>
          <w:p>
            <w:pPr>
              <w:jc w:val="right"/>
              <w:ind w:right="59"/>
              <w:spacing w:after="0"/>
              <w:rPr>
                <w:sz w:val="20"/>
                <w:szCs w:val="20"/>
                <w:color w:val="auto"/>
              </w:rPr>
            </w:pPr>
            <w:r>
              <w:rPr>
                <w:rFonts w:ascii="Times New Roman" w:cs="Times New Roman" w:eastAsia="Times New Roman" w:hAnsi="Times New Roman"/>
                <w:sz w:val="14"/>
                <w:szCs w:val="14"/>
                <w:color w:val="auto"/>
              </w:rPr>
              <w:t>30,522</w:t>
            </w:r>
          </w:p>
        </w:tc>
        <w:tc>
          <w:tcPr>
            <w:tcW w:w="0" w:type="dxa"/>
            <w:vAlign w:val="bottom"/>
          </w:tcPr>
          <w:p>
            <w:pPr>
              <w:spacing w:after="0"/>
              <w:rPr>
                <w:sz w:val="1"/>
                <w:szCs w:val="1"/>
                <w:color w:val="auto"/>
              </w:rPr>
            </w:pPr>
          </w:p>
        </w:tc>
      </w:tr>
      <w:tr>
        <w:trPr>
          <w:trHeight w:val="155"/>
        </w:trPr>
        <w:tc>
          <w:tcPr>
            <w:tcW w:w="5520" w:type="dxa"/>
            <w:vAlign w:val="bottom"/>
            <w:tcBorders>
              <w:top w:val="single" w:sz="8" w:color="CCEEFF"/>
              <w:bottom w:val="single" w:sz="8" w:color="CCEEFF"/>
            </w:tcBorders>
            <w:shd w:val="clear" w:color="auto" w:fill="CCEEFF"/>
          </w:tcPr>
          <w:p>
            <w:pPr>
              <w:spacing w:after="0"/>
              <w:rPr>
                <w:sz w:val="13"/>
                <w:szCs w:val="13"/>
                <w:color w:val="auto"/>
              </w:rPr>
            </w:pPr>
          </w:p>
        </w:tc>
        <w:tc>
          <w:tcPr>
            <w:tcW w:w="126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8,889</w:t>
            </w: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10,116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4,276</w:t>
            </w:r>
          </w:p>
        </w:tc>
        <w:tc>
          <w:tcPr>
            <w:tcW w:w="220" w:type="dxa"/>
            <w:vAlign w:val="bottom"/>
            <w:tcBorders>
              <w:top w:val="single" w:sz="8" w:color="CCEEFF"/>
              <w:bottom w:val="single" w:sz="8" w:color="CCEEFF"/>
            </w:tcBorders>
            <w:shd w:val="clear" w:color="auto" w:fill="CCEEFF"/>
          </w:tcPr>
          <w:p>
            <w:pPr>
              <w:spacing w:after="0"/>
              <w:rPr>
                <w:sz w:val="13"/>
                <w:szCs w:val="13"/>
                <w:color w:val="auto"/>
              </w:rPr>
            </w:pPr>
          </w:p>
        </w:tc>
        <w:tc>
          <w:tcPr>
            <w:tcW w:w="124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b w:val="1"/>
                <w:bCs w:val="1"/>
                <w:color w:val="auto"/>
              </w:rPr>
              <w:t>(42,659</w:t>
            </w:r>
          </w:p>
        </w:tc>
        <w:tc>
          <w:tcPr>
            <w:tcW w:w="100" w:type="dxa"/>
            <w:vAlign w:val="bottom"/>
            <w:tcBorders>
              <w:top w:val="single" w:sz="8" w:color="CCEEFF"/>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52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5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Loss per share – basic and diluted</w:t>
            </w:r>
          </w:p>
        </w:tc>
        <w:tc>
          <w:tcPr>
            <w:tcW w:w="1500" w:type="dxa"/>
            <w:vAlign w:val="bottom"/>
            <w:gridSpan w:val="2"/>
            <w:shd w:val="clear" w:color="auto" w:fill="CCEEFF"/>
          </w:tcPr>
          <w:p>
            <w:pPr>
              <w:jc w:val="right"/>
              <w:ind w:right="108"/>
              <w:spacing w:after="0" w:line="149" w:lineRule="exact"/>
              <w:rPr>
                <w:sz w:val="20"/>
                <w:szCs w:val="20"/>
                <w:color w:val="auto"/>
              </w:rPr>
            </w:pPr>
            <w:r>
              <w:rPr>
                <w:rFonts w:ascii="Times New Roman" w:cs="Times New Roman" w:eastAsia="Times New Roman" w:hAnsi="Times New Roman"/>
                <w:sz w:val="14"/>
                <w:szCs w:val="14"/>
                <w:b w:val="1"/>
                <w:bCs w:val="1"/>
                <w:color w:val="auto"/>
              </w:rPr>
              <w:t>(0.20)</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(0.03)</w:t>
            </w:r>
          </w:p>
        </w:tc>
        <w:tc>
          <w:tcPr>
            <w:tcW w:w="1440" w:type="dxa"/>
            <w:vAlign w:val="bottom"/>
            <w:gridSpan w:val="2"/>
            <w:shd w:val="clear" w:color="auto" w:fill="CCEEFF"/>
          </w:tcPr>
          <w:p>
            <w:pPr>
              <w:jc w:val="right"/>
              <w:ind w:right="88"/>
              <w:spacing w:after="0" w:line="149" w:lineRule="exact"/>
              <w:rPr>
                <w:sz w:val="20"/>
                <w:szCs w:val="20"/>
                <w:color w:val="auto"/>
              </w:rPr>
            </w:pPr>
            <w:r>
              <w:rPr>
                <w:rFonts w:ascii="Times New Roman" w:cs="Times New Roman" w:eastAsia="Times New Roman" w:hAnsi="Times New Roman"/>
                <w:sz w:val="14"/>
                <w:szCs w:val="14"/>
                <w:b w:val="1"/>
                <w:bCs w:val="1"/>
                <w:color w:val="auto"/>
              </w:rPr>
              <w:t>(0.72)</w:t>
            </w:r>
          </w:p>
        </w:tc>
        <w:tc>
          <w:tcPr>
            <w:tcW w:w="1340" w:type="dxa"/>
            <w:vAlign w:val="bottom"/>
            <w:gridSpan w:val="2"/>
            <w:shd w:val="clear" w:color="auto" w:fill="CCEEFF"/>
          </w:tcPr>
          <w:p>
            <w:pPr>
              <w:jc w:val="right"/>
              <w:ind w:right="19"/>
              <w:spacing w:after="0" w:line="149" w:lineRule="exact"/>
              <w:rPr>
                <w:sz w:val="20"/>
                <w:szCs w:val="20"/>
                <w:color w:val="auto"/>
              </w:rPr>
            </w:pPr>
            <w:r>
              <w:rPr>
                <w:rFonts w:ascii="Times New Roman" w:cs="Times New Roman" w:eastAsia="Times New Roman" w:hAnsi="Times New Roman"/>
                <w:sz w:val="14"/>
                <w:szCs w:val="14"/>
                <w:b w:val="1"/>
                <w:bCs w:val="1"/>
                <w:color w:val="auto"/>
              </w:rPr>
              <w:t>(0.94)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000" w:type="dxa"/>
            <w:vAlign w:val="bottom"/>
          </w:tcPr>
          <w:p>
            <w:pPr>
              <w:spacing w:after="0"/>
              <w:rPr>
                <w:sz w:val="17"/>
                <w:szCs w:val="17"/>
                <w:color w:val="auto"/>
              </w:rPr>
            </w:pPr>
          </w:p>
        </w:tc>
        <w:tc>
          <w:tcPr>
            <w:tcW w:w="3240" w:type="dxa"/>
            <w:vAlign w:val="bottom"/>
            <w:gridSpan w:val="4"/>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8000" w:type="dxa"/>
            <w:vAlign w:val="bottom"/>
          </w:tcPr>
          <w:p>
            <w:pPr>
              <w:spacing w:after="0"/>
              <w:rPr>
                <w:sz w:val="17"/>
                <w:szCs w:val="17"/>
                <w:color w:val="auto"/>
              </w:rPr>
            </w:pPr>
          </w:p>
        </w:tc>
        <w:tc>
          <w:tcPr>
            <w:tcW w:w="16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5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800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0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21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Profit/(loss) for the period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200" w:type="dxa"/>
            <w:vAlign w:val="bottom"/>
          </w:tcPr>
          <w:p>
            <w:pPr>
              <w:spacing w:after="0"/>
              <w:rPr>
                <w:sz w:val="17"/>
                <w:szCs w:val="17"/>
                <w:color w:val="auto"/>
              </w:rPr>
            </w:pP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(42,659)</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w:t>
            </w:r>
          </w:p>
        </w:tc>
        <w:tc>
          <w:tcPr>
            <w:tcW w:w="2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130,250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22,454</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(1,088)</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(1,576)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(4,357)</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(685)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138,865</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126,101</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exchange losses on cash and cash equivalents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Realized foreign exchange losses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 held for trading including ineffective portion of cash flow hedges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2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74,638</w:t>
            </w:r>
          </w:p>
        </w:tc>
      </w:tr>
      <w:tr>
        <w:trPr>
          <w:trHeight w:val="21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20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4,983</w:t>
            </w:r>
          </w:p>
        </w:tc>
      </w:tr>
      <w:tr>
        <w:trPr>
          <w:trHeight w:val="207"/>
        </w:trPr>
        <w:tc>
          <w:tcPr>
            <w:tcW w:w="8000" w:type="dxa"/>
            <w:vAlign w:val="bottom"/>
            <w:tcBorders>
              <w:bottom w:val="single" w:sz="8" w:color="CCEEFF"/>
            </w:tcBorders>
          </w:tcPr>
          <w:p>
            <w:pPr>
              <w:spacing w:after="0"/>
              <w:rPr>
                <w:sz w:val="17"/>
                <w:szCs w:val="17"/>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334,399</w:t>
            </w:r>
          </w:p>
        </w:tc>
        <w:tc>
          <w:tcPr>
            <w:tcW w:w="200" w:type="dxa"/>
            <w:vAlign w:val="bottom"/>
            <w:tcBorders>
              <w:bottom w:val="single" w:sz="8" w:color="CCEEFF"/>
            </w:tcBorders>
          </w:tcPr>
          <w:p>
            <w:pPr>
              <w:spacing w:after="0"/>
              <w:rPr>
                <w:sz w:val="17"/>
                <w:szCs w:val="17"/>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314,078</w:t>
            </w:r>
          </w:p>
        </w:tc>
        <w:tc>
          <w:tcPr>
            <w:tcW w:w="100" w:type="dxa"/>
            <w:vAlign w:val="bottom"/>
            <w:tcBorders>
              <w:bottom w:val="single" w:sz="8" w:color="CCEEFF"/>
            </w:tcBorders>
          </w:tcPr>
          <w:p>
            <w:pPr>
              <w:spacing w:after="0"/>
              <w:rPr>
                <w:sz w:val="17"/>
                <w:szCs w:val="17"/>
                <w:color w:val="auto"/>
              </w:rPr>
            </w:pPr>
          </w:p>
        </w:tc>
      </w:tr>
      <w:tr>
        <w:trPr>
          <w:trHeight w:val="19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(41,514</w:t>
            </w: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(13,041</w:t>
            </w: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292,885</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301,037</w:t>
            </w:r>
          </w:p>
        </w:tc>
        <w:tc>
          <w:tcPr>
            <w:tcW w:w="100" w:type="dxa"/>
            <w:vAlign w:val="bottom"/>
            <w:tcBorders>
              <w:bottom w:val="single" w:sz="8" w:color="CCEEFF"/>
            </w:tcBorders>
          </w:tcPr>
          <w:p>
            <w:pPr>
              <w:spacing w:after="0"/>
              <w:rPr>
                <w:sz w:val="17"/>
                <w:szCs w:val="17"/>
                <w:color w:val="auto"/>
              </w:rPr>
            </w:pP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(134,712</w:t>
            </w: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147,819</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166,325</w:t>
            </w:r>
          </w:p>
        </w:tc>
        <w:tc>
          <w:tcPr>
            <w:tcW w:w="100" w:type="dxa"/>
            <w:vAlign w:val="bottom"/>
            <w:tcBorders>
              <w:bottom w:val="single" w:sz="8" w:color="CCEEFF"/>
            </w:tcBorders>
          </w:tcPr>
          <w:p>
            <w:pPr>
              <w:spacing w:after="0"/>
              <w:rPr>
                <w:sz w:val="17"/>
                <w:szCs w:val="17"/>
                <w:color w:val="auto"/>
              </w:rPr>
            </w:pPr>
          </w:p>
        </w:tc>
      </w:tr>
      <w:tr>
        <w:trPr>
          <w:trHeight w:val="209"/>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4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(446,529)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(540,337)</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disposal of tangible fixed assets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2,322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Return of capital expenditures</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200" w:type="dxa"/>
            <w:vAlign w:val="bottom"/>
          </w:tcPr>
          <w:p>
            <w:pPr>
              <w:spacing w:after="0"/>
              <w:rPr>
                <w:sz w:val="17"/>
                <w:szCs w:val="17"/>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(488)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(5,815)</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1,325</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(78,000)</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79,000</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4,500</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200" w:type="dxa"/>
            <w:vAlign w:val="bottom"/>
          </w:tcPr>
          <w:p>
            <w:pPr>
              <w:spacing w:after="0"/>
              <w:rPr>
                <w:sz w:val="18"/>
                <w:szCs w:val="18"/>
                <w:color w:val="auto"/>
              </w:rPr>
            </w:pP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803</w:t>
            </w: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(430,263</w:t>
            </w:r>
          </w:p>
        </w:tc>
        <w:tc>
          <w:tcPr>
            <w:tcW w:w="200" w:type="dxa"/>
            <w:vAlign w:val="bottom"/>
            <w:tcBorders>
              <w:top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(537,202</w:t>
            </w:r>
          </w:p>
        </w:tc>
        <w:tc>
          <w:tcPr>
            <w:tcW w:w="100" w:type="dxa"/>
            <w:vAlign w:val="bottom"/>
            <w:tcBorders>
              <w:top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6"/>
        </w:trPr>
        <w:tc>
          <w:tcPr>
            <w:tcW w:w="80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bank loans and bonds</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807,180</w:t>
            </w:r>
          </w:p>
        </w:tc>
        <w:tc>
          <w:tcPr>
            <w:tcW w:w="200" w:type="dxa"/>
            <w:vAlign w:val="bottom"/>
            <w:shd w:val="clear" w:color="auto" w:fill="CCEEFF"/>
          </w:tcPr>
          <w:p>
            <w:pPr>
              <w:spacing w:after="0"/>
              <w:rPr>
                <w:sz w:val="17"/>
                <w:szCs w:val="17"/>
                <w:color w:val="auto"/>
              </w:rPr>
            </w:pP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1,678,938</w:t>
            </w:r>
          </w:p>
        </w:tc>
      </w:tr>
      <w:tr>
        <w:trPr>
          <w:trHeight w:val="202"/>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Bank loan and bond repayments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(519,379)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(1,318,416)</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for bond repurchase at a premium</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(1,937)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for interest rate swaps termination</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(26,867)</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31,622</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(11,269)</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(25,657)</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(1,584)</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(816)</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private placement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36,000</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(119,993)</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(74,857)</w:t>
            </w:r>
          </w:p>
        </w:tc>
      </w:tr>
      <w:tr>
        <w:trPr>
          <w:trHeight w:val="20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 for cross currency swaps’ termination</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(4,051)</w:t>
            </w:r>
          </w:p>
        </w:tc>
      </w:tr>
      <w:tr>
        <w:trPr>
          <w:trHeight w:val="203"/>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Purchase of treasury shares or GasLog Partners’ common units</w:t>
            </w:r>
          </w:p>
        </w:tc>
        <w:tc>
          <w:tcPr>
            <w:tcW w:w="1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(23,782)</w:t>
            </w:r>
          </w:p>
        </w:tc>
        <w:tc>
          <w:tcPr>
            <w:tcW w:w="15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(2,996)</w:t>
            </w:r>
          </w:p>
        </w:tc>
      </w:tr>
      <w:tr>
        <w:trPr>
          <w:trHeight w:val="213"/>
        </w:trPr>
        <w:tc>
          <w:tcPr>
            <w:tcW w:w="8000" w:type="dxa"/>
            <w:vAlign w:val="bottom"/>
          </w:tcPr>
          <w:p>
            <w:pPr>
              <w:spacing w:after="0"/>
              <w:rPr>
                <w:sz w:val="20"/>
                <w:szCs w:val="20"/>
                <w:color w:val="auto"/>
              </w:rPr>
            </w:pPr>
            <w:r>
              <w:rPr>
                <w:rFonts w:ascii="Times New Roman" w:cs="Times New Roman" w:eastAsia="Times New Roman" w:hAnsi="Times New Roman"/>
                <w:sz w:val="16"/>
                <w:szCs w:val="16"/>
                <w:color w:val="auto"/>
              </w:rPr>
              <w:t>Payments for lease liability</w:t>
            </w:r>
          </w:p>
        </w:tc>
        <w:tc>
          <w:tcPr>
            <w:tcW w:w="168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(7,368)</w:t>
            </w:r>
          </w:p>
        </w:tc>
        <w:tc>
          <w:tcPr>
            <w:tcW w:w="15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(8,225)</w:t>
            </w:r>
          </w:p>
        </w:tc>
      </w:tr>
      <w:tr>
        <w:trPr>
          <w:trHeight w:val="199"/>
        </w:trPr>
        <w:tc>
          <w:tcPr>
            <w:tcW w:w="80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123,805</w:t>
            </w:r>
          </w:p>
        </w:tc>
        <w:tc>
          <w:tcPr>
            <w:tcW w:w="200" w:type="dxa"/>
            <w:vAlign w:val="bottom"/>
            <w:tcBorders>
              <w:top w:val="single" w:sz="8" w:color="CCEEFF"/>
            </w:tcBorders>
            <w:shd w:val="clear" w:color="auto" w:fill="CCEEFF"/>
          </w:tcPr>
          <w:p>
            <w:pPr>
              <w:spacing w:after="0"/>
              <w:rPr>
                <w:sz w:val="17"/>
                <w:szCs w:val="17"/>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282,738</w:t>
            </w:r>
          </w:p>
        </w:tc>
        <w:tc>
          <w:tcPr>
            <w:tcW w:w="100" w:type="dxa"/>
            <w:vAlign w:val="bottom"/>
            <w:tcBorders>
              <w:top w:val="single" w:sz="8" w:color="CCEEFF"/>
            </w:tcBorders>
            <w:shd w:val="clear" w:color="auto" w:fill="CCEEFF"/>
          </w:tcPr>
          <w:p>
            <w:pPr>
              <w:spacing w:after="0"/>
              <w:rPr>
                <w:sz w:val="17"/>
                <w:szCs w:val="17"/>
                <w:color w:val="auto"/>
              </w:rPr>
            </w:pP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00" w:type="dxa"/>
            <w:vAlign w:val="bottom"/>
            <w:tcBorders>
              <w:bottom w:val="single" w:sz="8" w:color="CCEEFF"/>
            </w:tcBorders>
          </w:tcPr>
          <w:p>
            <w:pPr>
              <w:jc w:val="right"/>
              <w:ind w:right="120"/>
              <w:spacing w:after="0"/>
              <w:rPr>
                <w:sz w:val="20"/>
                <w:szCs w:val="20"/>
                <w:color w:val="auto"/>
              </w:rPr>
            </w:pPr>
            <w:r>
              <w:rPr>
                <w:rFonts w:ascii="Times New Roman" w:cs="Times New Roman" w:eastAsia="Times New Roman" w:hAnsi="Times New Roman"/>
                <w:sz w:val="8"/>
                <w:szCs w:val="8"/>
                <w:color w:val="auto"/>
                <w:w w:val="73"/>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(2,138</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196"/>
        </w:trPr>
        <w:tc>
          <w:tcPr>
            <w:tcW w:w="80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(159,012</w:t>
            </w:r>
          </w:p>
        </w:tc>
        <w:tc>
          <w:tcPr>
            <w:tcW w:w="2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(90,277</w:t>
            </w:r>
          </w:p>
        </w:tc>
        <w:tc>
          <w:tcPr>
            <w:tcW w:w="100" w:type="dxa"/>
            <w:vAlign w:val="bottom"/>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96"/>
        </w:trPr>
        <w:tc>
          <w:tcPr>
            <w:tcW w:w="80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342,594</w:t>
            </w:r>
          </w:p>
        </w:tc>
        <w:tc>
          <w:tcPr>
            <w:tcW w:w="200" w:type="dxa"/>
            <w:vAlign w:val="bottom"/>
            <w:tcBorders>
              <w:bottom w:val="single" w:sz="8" w:color="CCEEFF"/>
            </w:tcBorders>
          </w:tcPr>
          <w:p>
            <w:pPr>
              <w:spacing w:after="0"/>
              <w:rPr>
                <w:sz w:val="17"/>
                <w:szCs w:val="17"/>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263,747</w:t>
            </w:r>
          </w:p>
        </w:tc>
        <w:tc>
          <w:tcPr>
            <w:tcW w:w="100" w:type="dxa"/>
            <w:vAlign w:val="bottom"/>
            <w:tcBorders>
              <w:bottom w:val="single" w:sz="8" w:color="CCEEFF"/>
            </w:tcBorders>
          </w:tcPr>
          <w:p>
            <w:pPr>
              <w:spacing w:after="0"/>
              <w:rPr>
                <w:sz w:val="17"/>
                <w:szCs w:val="17"/>
                <w:color w:val="auto"/>
              </w:rPr>
            </w:pPr>
          </w:p>
        </w:tc>
      </w:tr>
      <w:tr>
        <w:trPr>
          <w:trHeight w:val="208"/>
        </w:trPr>
        <w:tc>
          <w:tcPr>
            <w:tcW w:w="8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183,582</w:t>
            </w:r>
          </w:p>
        </w:tc>
        <w:tc>
          <w:tcPr>
            <w:tcW w:w="20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173,470</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80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b w:val="1"/>
          <w:bCs w:val="1"/>
          <w:color w:val="auto"/>
        </w:rPr>
        <w:t>EXHIBIT II</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Non-GAAP Financial Measures: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EBITDA, Adjusted EBITDA, Adjusted Profit and Adjusted EPS</w:t>
      </w:r>
    </w:p>
    <w:p>
      <w:pPr>
        <w:spacing w:after="0" w:line="2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6"/>
          <w:szCs w:val="16"/>
          <w:color w:val="auto"/>
        </w:rPr>
        <w:t>EBITDA is defined as earnings before depreciation, amortization, financial income and costs, gain/loss on derivatives and taxes. Adjusted EBITDA is defined as EBITDA before foreign exchange gains/losses, impairment loss on vessels, gain/loss on disposal of non-current assets and restructuring costs. Adjusted Profit represents earnings before write-off and accelerated amortization of unamortized loan fees/bond fees and premium, foreign exchange gains/losses, unrealized foreign exchange losses on cash and bond, impairment loss on vessels, gain/loss on disposal of non-current assets, restructuring costs and non-cash gain/loss on derivatives that includes (if any)</w:t>
      </w:r>
    </w:p>
    <w:p>
      <w:pPr>
        <w:spacing w:after="0" w:line="2" w:lineRule="exact"/>
        <w:rPr>
          <w:sz w:val="20"/>
          <w:szCs w:val="20"/>
          <w:color w:val="auto"/>
        </w:rPr>
      </w:pPr>
    </w:p>
    <w:p>
      <w:pPr>
        <w:ind w:right="20" w:firstLine="8"/>
        <w:spacing w:after="0" w:line="265" w:lineRule="auto"/>
        <w:tabs>
          <w:tab w:leader="none" w:pos="22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gain/loss on derivative financial instruments held for trading, (b) recycled loss of cash flow hedges reclassified to profit or loss and (c) ineffective portion of cash flow hedges. Adjusted EPS represents earnings attributable to owners of the Group before write-off and accelerated amortization of unamortized loan/bond fees and premium, foreign exchange gains/losses, unrealized foreign exchange losses on cash and bond, impairment loss on vessels attributable to the owners of the Group, the swap optimization costs (with respect to cash collateral amendments), gain/loss on disposal of non-current assets, restructuring costs and non-cash gain/loss on derivatives as defined above, divided by the weighted average number of shares outstanding. EBITDA, Adjusted EBITDA, Adjusted Profit and Adjusted EPS are non-GAAP financial measures that are used as supplemental financial measures by management and external users of financial statements, such as investors, to assess our financial and operating performance. We believe that these non-GAAP financial measures assist our management and investors by increasing the comparability of our performance from period to period. We believe that including EBITDA, Adjusted EBITDA, Adjusted Profit and Adjusted EPS assists our management and investors in (i) understanding and analyzing the results of our operating and business performance, (ii) selecting between investing in us and other investment alternatives and (iii) monitoring our ongoing financial and operational strength in assessing whether to purchase and/or to continue to hold our common shares. This is achieved by excluding the potentially disparate effects between periods of, in the case of EBITDA and Adjusted EBITDA, financial costs, gain/loss on derivatives, taxes, depreciation and amortization; in the case of Adjusted EBITDA, foreign exchange gains/losses, impairment loss on vessels, gain/loss on disposal of non-current assets and restructuring costs; and in the case of Adjusted Profit and Adjusted EPS, write-off and accelerated amortization of unamortized loan/bond fees and premium, foreign exchange gains/losses, unrealized foreign exchange losses on cash and bond, impairment loss on vessels, swap optimization costs (with respect to cash collateral amendments), gain/loss on disposal of non-current assets, restructuring costs and non-cash gain/loss on derivatives, which items are affected by various and possibly changing financing methods, financial market conditions, capital structure and historical cost basis, and which items may significantly affect results of operations between periods. In the current period, impairment loss on vessels, gain/loss on disposal of non-current assets, swap optimization costs (with respect to cash collateral amendments) and restructuring costs in particular are excluded from Adjusted EBITDA, Adjusted Profit and Adjusted EPS because impairment of long-lived assets and gain/loss on disposal of non-current assets, which represent the excess of their carrying amount over the amount that is expected to be recovered from them in the future, and swap optimization costs (with respect to cash collateral amendments) and restructuring costs, which reflect specific actions taken by management to improve the Group’s future liquidity and profitability, are charges and items not considered to be reflective of the ongoing operations of the company, respectively, that we believe reduce the comparability of our operating and business performance across periods. In addition, unrealized foreign exchange losses on cash and bond, are separately adjusted in the current period, while in the past foreign exchange losses on cash were included in foreign exchange gains/losses and unrealized foreign exchange losses on bond did not exist.</w:t>
      </w:r>
    </w:p>
    <w:p>
      <w:pPr>
        <w:spacing w:after="0" w:line="19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color w:val="auto"/>
        </w:rPr>
        <w:t>EBITDA, Adjusted EBITDA, Adjusted Profit and Adjusted EPS have limitations as analytical tools and should not be considered as alternatives to, or as substitutes for, or superior to, profit, profit from operations, earnings per share or any other measure of operating performance presented in accordance with IFRS. Some of these limitations include the fact that they do not reflect (i) our cash expenditures or future requirements for capital expenditures or contractual commitments, (ii) changes in, or cash requirements for, our working capital needs and (iii) the cash requirements necessary to service interest or principal payments on our debt. Although depreciation and amortization are non-cash charges, the assets being depreciated and amortized will have to be replaced in the future, and EBITDA and Adjusted EBITDA do not reflect any cash requirements for such replacements. EBITDA, Adjusted EBITDA, Adjusted Profit and Adjusted EPS are not adjusted for all non-cash income or expense items that are reflected in our statements of cash flows and other companies in our industry may calculate these measures differently than we do, limiting their usefulness as a comparative measure.</w:t>
      </w:r>
    </w:p>
    <w:p>
      <w:pPr>
        <w:spacing w:after="0" w:line="186" w:lineRule="exact"/>
        <w:rPr>
          <w:sz w:val="20"/>
          <w:szCs w:val="20"/>
          <w:color w:val="auto"/>
        </w:rPr>
      </w:pPr>
    </w:p>
    <w:p>
      <w:pPr>
        <w:ind w:right="140"/>
        <w:spacing w:after="0" w:line="275" w:lineRule="auto"/>
        <w:rPr>
          <w:sz w:val="20"/>
          <w:szCs w:val="20"/>
          <w:color w:val="auto"/>
        </w:rPr>
      </w:pPr>
      <w:r>
        <w:rPr>
          <w:rFonts w:ascii="Times New Roman" w:cs="Times New Roman" w:eastAsia="Times New Roman" w:hAnsi="Times New Roman"/>
          <w:sz w:val="16"/>
          <w:szCs w:val="16"/>
          <w:color w:val="auto"/>
        </w:rPr>
        <w:t>In evaluating Adjusted EBITDA, Adjusted Profit and Adjusted EPS, you should be aware that in the future we may incur expenses that are the same as, or similar to, some of the adjustments in this presentation. Our presentation of Adjusted EBITDA, Adjusted Profit and Adjusted EPS should not be construed as an inference that our future results will be unaffected by the excluded items. Therefore, the non-GAAP financial measures as presented below may not be comparable to similarly titled measures of other companies in the shipping or other industries.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Reconciliation of Profit/(Loss) to EBITDA and Adjusted EBITDA:</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2940" w:type="dxa"/>
            <w:vAlign w:val="bottom"/>
            <w:gridSpan w:val="4"/>
          </w:tcPr>
          <w:p>
            <w:pPr>
              <w:jc w:val="right"/>
              <w:ind w:right="62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2"/>
        </w:trPr>
        <w:tc>
          <w:tcPr>
            <w:tcW w:w="5520" w:type="dxa"/>
            <w:vAlign w:val="bottom"/>
          </w:tcPr>
          <w:p>
            <w:pPr>
              <w:spacing w:after="0"/>
              <w:rPr>
                <w:sz w:val="17"/>
                <w:szCs w:val="17"/>
                <w:color w:val="auto"/>
              </w:rPr>
            </w:pPr>
          </w:p>
        </w:tc>
        <w:tc>
          <w:tcPr>
            <w:tcW w:w="1500" w:type="dxa"/>
            <w:vAlign w:val="bottom"/>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Borders>
              <w:bottom w:val="single" w:sz="8" w:color="CCEEFF"/>
            </w:tcBorders>
          </w:tcPr>
          <w:p>
            <w:pPr>
              <w:spacing w:after="0"/>
              <w:rPr>
                <w:sz w:val="18"/>
                <w:szCs w:val="18"/>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Profit/(loss)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(42,659)</w:t>
            </w:r>
          </w:p>
        </w:tc>
        <w:tc>
          <w:tcPr>
            <w:tcW w:w="100" w:type="dxa"/>
            <w:vAlign w:val="bottom"/>
            <w:shd w:val="clear" w:color="auto" w:fill="CCEEFF"/>
          </w:tcPr>
          <w:p>
            <w:pPr>
              <w:spacing w:after="0"/>
              <w:rPr>
                <w:sz w:val="17"/>
                <w:szCs w:val="17"/>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43,237</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45,106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124,186</w:t>
            </w:r>
          </w:p>
        </w:tc>
        <w:tc>
          <w:tcPr>
            <w:tcW w:w="220" w:type="dxa"/>
            <w:vAlign w:val="bottom"/>
          </w:tcPr>
          <w:p>
            <w:pPr>
              <w:spacing w:after="0"/>
              <w:rPr>
                <w:sz w:val="17"/>
                <w:szCs w:val="17"/>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130,250</w:t>
            </w: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46,461</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41,103</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138,865</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126,101</w:t>
            </w:r>
          </w:p>
        </w:tc>
      </w:tr>
      <w:tr>
        <w:trPr>
          <w:trHeight w:val="202"/>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5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(1,189)</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(4,357)</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(685)</w:t>
            </w: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5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16,758</w:t>
            </w:r>
          </w:p>
        </w:tc>
        <w:tc>
          <w:tcPr>
            <w:tcW w:w="14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2,095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67,801</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86,686</w:t>
            </w:r>
          </w:p>
        </w:tc>
      </w:tr>
      <w:tr>
        <w:trPr>
          <w:trHeight w:val="19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EBITDA</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114,156</w:t>
            </w:r>
          </w:p>
        </w:tc>
        <w:tc>
          <w:tcPr>
            <w:tcW w:w="24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98,380</w:t>
            </w:r>
          </w:p>
        </w:tc>
        <w:tc>
          <w:tcPr>
            <w:tcW w:w="220" w:type="dxa"/>
            <w:vAlign w:val="bottom"/>
            <w:tcBorders>
              <w:bottom w:val="single" w:sz="8" w:color="CCEE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330,771</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299,693</w:t>
            </w:r>
          </w:p>
        </w:tc>
        <w:tc>
          <w:tcPr>
            <w:tcW w:w="100" w:type="dxa"/>
            <w:vAlign w:val="bottom"/>
            <w:tcBorders>
              <w:bottom w:val="single" w:sz="8" w:color="CCEEFF"/>
            </w:tcBorders>
          </w:tcPr>
          <w:p>
            <w:pPr>
              <w:spacing w:after="0"/>
              <w:rPr>
                <w:sz w:val="17"/>
                <w:szCs w:val="17"/>
                <w:color w:val="auto"/>
              </w:rPr>
            </w:pPr>
          </w:p>
        </w:tc>
      </w:tr>
      <w:tr>
        <w:trPr>
          <w:trHeight w:val="19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Foreign exchange losses, net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878</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1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3,147</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5,107</w:t>
            </w: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22,454</w:t>
            </w:r>
          </w:p>
        </w:tc>
        <w:tc>
          <w:tcPr>
            <w:tcW w:w="0" w:type="dxa"/>
            <w:vAlign w:val="bottom"/>
          </w:tcPr>
          <w:p>
            <w:pPr>
              <w:spacing w:after="0"/>
              <w:rPr>
                <w:sz w:val="1"/>
                <w:szCs w:val="1"/>
                <w:color w:val="auto"/>
              </w:rPr>
            </w:pPr>
          </w:p>
        </w:tc>
      </w:tr>
      <w:tr>
        <w:trPr>
          <w:trHeight w:val="211"/>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EBITDA</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115,034</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102,111</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332,017</w:t>
            </w:r>
          </w:p>
        </w:tc>
        <w:tc>
          <w:tcPr>
            <w:tcW w:w="220" w:type="dxa"/>
            <w:vAlign w:val="bottom"/>
            <w:tcBorders>
              <w:top w:val="single" w:sz="8" w:color="CCEEFF"/>
              <w:bottom w:val="single" w:sz="8" w:color="CCEEFF"/>
            </w:tcBorders>
            <w:shd w:val="clear" w:color="auto" w:fill="CCEEFF"/>
          </w:tcPr>
          <w:p>
            <w:pPr>
              <w:spacing w:after="0"/>
              <w:rPr>
                <w:sz w:val="18"/>
                <w:szCs w:val="18"/>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328,180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Profit/(loss) to Adjusted Profit:</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7"/>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Profit/(loss) for the period</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8,889</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10,116</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Non-cash loss/(gains) on derivatives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15,761</w:t>
            </w:r>
          </w:p>
        </w:tc>
        <w:tc>
          <w:tcPr>
            <w:tcW w:w="14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(5,616)</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74,638</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loan/bond fees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4,774</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5,090</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 net</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878</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584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3,147</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5,107</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Unrealized foreign exchange losses/(gains), net on cash and bonds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(4,036)</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Swap optimization costs (with respect to cash collateral amendments)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22,454</w:t>
            </w:r>
          </w:p>
        </w:tc>
        <w:tc>
          <w:tcPr>
            <w:tcW w:w="0" w:type="dxa"/>
            <w:vAlign w:val="bottom"/>
          </w:tcPr>
          <w:p>
            <w:pPr>
              <w:spacing w:after="0"/>
              <w:rPr>
                <w:sz w:val="1"/>
                <w:szCs w:val="1"/>
                <w:color w:val="auto"/>
              </w:rPr>
            </w:pPr>
          </w:p>
        </w:tc>
      </w:tr>
      <w:tr>
        <w:trPr>
          <w:trHeight w:val="206"/>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Adjusted Profit</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25,528</w:t>
            </w:r>
          </w:p>
        </w:tc>
        <w:tc>
          <w:tcPr>
            <w:tcW w:w="24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13,019</w:t>
            </w:r>
          </w:p>
        </w:tc>
        <w:tc>
          <w:tcPr>
            <w:tcW w:w="220" w:type="dxa"/>
            <w:vAlign w:val="bottom"/>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74,153</w:t>
            </w:r>
          </w:p>
        </w:tc>
        <w:tc>
          <w:tcPr>
            <w:tcW w:w="220" w:type="dxa"/>
            <w:vAlign w:val="bottom"/>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64,839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Reconciliation of Loss Per Share to Adjusted Earnings/(Loss) Per Share:</w:t>
            </w: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552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702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 except shares and per share data)</w:t>
            </w: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2"/>
        </w:trPr>
        <w:tc>
          <w:tcPr>
            <w:tcW w:w="5520" w:type="dxa"/>
            <w:vAlign w:val="bottom"/>
          </w:tcPr>
          <w:p>
            <w:pPr>
              <w:spacing w:after="0"/>
              <w:rPr>
                <w:sz w:val="24"/>
                <w:szCs w:val="24"/>
                <w:color w:val="auto"/>
              </w:rPr>
            </w:pPr>
          </w:p>
        </w:tc>
        <w:tc>
          <w:tcPr>
            <w:tcW w:w="29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17"/>
                <w:szCs w:val="17"/>
                <w:color w:val="auto"/>
              </w:rPr>
            </w:pPr>
          </w:p>
        </w:tc>
        <w:tc>
          <w:tcPr>
            <w:tcW w:w="150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5"/>
        </w:trPr>
        <w:tc>
          <w:tcPr>
            <w:tcW w:w="5520" w:type="dxa"/>
            <w:vAlign w:val="bottom"/>
            <w:tcBorders>
              <w:bottom w:val="single" w:sz="8" w:color="CCEE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4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220" w:type="dxa"/>
            <w:vAlign w:val="bottom"/>
            <w:tcBorders>
              <w:bottom w:val="single" w:sz="8" w:color="CCEE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(13,545)</w:t>
            </w:r>
          </w:p>
        </w:tc>
        <w:tc>
          <w:tcPr>
            <w:tcW w:w="24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220" w:type="dxa"/>
            <w:vAlign w:val="bottom"/>
            <w:shd w:val="clear" w:color="auto" w:fill="CCEEFF"/>
          </w:tcPr>
          <w:p>
            <w:pPr>
              <w:spacing w:after="0"/>
              <w:rPr>
                <w:sz w:val="17"/>
                <w:szCs w:val="17"/>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(50,490)</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(73,181)</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Plus: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Dividend on preference shares</w:t>
            </w:r>
          </w:p>
        </w:tc>
        <w:tc>
          <w:tcPr>
            <w:tcW w:w="1500" w:type="dxa"/>
            <w:vAlign w:val="bottom"/>
            <w:gridSpan w:val="2"/>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rPr>
              <w:t>(2,516)</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(2,516)</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(7,547)</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(7,547)</w:t>
            </w: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 used in EPS calculation</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(16,061</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(58,037</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(80,728</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196"/>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basic</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80,861,350</w:t>
            </w:r>
          </w:p>
        </w:tc>
        <w:tc>
          <w:tcPr>
            <w:tcW w:w="24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95,157,140</w:t>
            </w:r>
          </w:p>
        </w:tc>
        <w:tc>
          <w:tcPr>
            <w:tcW w:w="220" w:type="dxa"/>
            <w:vAlign w:val="bottom"/>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80,844,836</w:t>
            </w:r>
          </w:p>
        </w:tc>
        <w:tc>
          <w:tcPr>
            <w:tcW w:w="220" w:type="dxa"/>
            <w:vAlign w:val="bottom"/>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85,605,475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Loss per share</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240" w:type="dxa"/>
            <w:vAlign w:val="bottom"/>
            <w:tcBorders>
              <w:bottom w:val="single" w:sz="8" w:color="CCEEFF"/>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(0.72</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(0.94</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185"/>
        </w:trPr>
        <w:tc>
          <w:tcPr>
            <w:tcW w:w="5520" w:type="dxa"/>
            <w:vAlign w:val="bottom"/>
            <w:shd w:val="clear" w:color="auto" w:fill="CCEEFF"/>
          </w:tcPr>
          <w:p>
            <w:pPr>
              <w:spacing w:after="0" w:line="179" w:lineRule="exact"/>
              <w:rPr>
                <w:sz w:val="20"/>
                <w:szCs w:val="20"/>
                <w:color w:val="auto"/>
              </w:rPr>
            </w:pPr>
            <w:r>
              <w:rPr>
                <w:rFonts w:ascii="Times New Roman" w:cs="Times New Roman" w:eastAsia="Times New Roman" w:hAnsi="Times New Roman"/>
                <w:sz w:val="16"/>
                <w:szCs w:val="16"/>
                <w:color w:val="auto"/>
              </w:rPr>
              <w:t>Loss for the period attributable to owners of the Group used in EPS calculation</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(16,061)</w:t>
            </w:r>
          </w:p>
        </w:tc>
        <w:tc>
          <w:tcPr>
            <w:tcW w:w="24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220" w:type="dxa"/>
            <w:vAlign w:val="bottom"/>
            <w:shd w:val="clear" w:color="auto" w:fill="CCEEFF"/>
          </w:tcPr>
          <w:p>
            <w:pPr>
              <w:spacing w:after="0"/>
              <w:rPr>
                <w:sz w:val="16"/>
                <w:szCs w:val="16"/>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(58,037)</w:t>
            </w:r>
          </w:p>
        </w:tc>
        <w:tc>
          <w:tcPr>
            <w:tcW w:w="22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(80,728)</w:t>
            </w: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Plus: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Non-cash loss/(gains) on derivatives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15,761</w:t>
            </w:r>
          </w:p>
        </w:tc>
        <w:tc>
          <w:tcPr>
            <w:tcW w:w="144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(5,616)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74,638</w:t>
            </w:r>
          </w:p>
        </w:tc>
        <w:tc>
          <w:tcPr>
            <w:tcW w:w="0" w:type="dxa"/>
            <w:vAlign w:val="bottom"/>
          </w:tcPr>
          <w:p>
            <w:pPr>
              <w:spacing w:after="0"/>
              <w:rPr>
                <w:sz w:val="1"/>
                <w:szCs w:val="1"/>
                <w:color w:val="auto"/>
              </w:rPr>
            </w:pPr>
          </w:p>
        </w:tc>
      </w:tr>
      <w:tr>
        <w:trPr>
          <w:trHeight w:val="189"/>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Write-off and accelerated amortization of unamortized loan fees/bond fees</w:t>
            </w:r>
          </w:p>
        </w:tc>
        <w:tc>
          <w:tcPr>
            <w:tcW w:w="1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55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attributable to the owners of the Group</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3,481</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988</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3,797</w:t>
            </w:r>
          </w:p>
        </w:tc>
        <w:tc>
          <w:tcPr>
            <w:tcW w:w="0" w:type="dxa"/>
            <w:vAlign w:val="bottom"/>
          </w:tcPr>
          <w:p>
            <w:pPr>
              <w:spacing w:after="0"/>
              <w:rPr>
                <w:sz w:val="1"/>
                <w:szCs w:val="1"/>
                <w:color w:val="auto"/>
              </w:rPr>
            </w:pPr>
          </w:p>
        </w:tc>
      </w:tr>
      <w:tr>
        <w:trPr>
          <w:trHeight w:val="205"/>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vessels attributable to the owners of the Group</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9,688</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Swap optimization costs (with respect to cash collateral amendments)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3,319</w:t>
            </w:r>
          </w:p>
        </w:tc>
        <w:tc>
          <w:tcPr>
            <w:tcW w:w="0" w:type="dxa"/>
            <w:vAlign w:val="bottom"/>
          </w:tcPr>
          <w:p>
            <w:pPr>
              <w:spacing w:after="0"/>
              <w:rPr>
                <w:sz w:val="1"/>
                <w:szCs w:val="1"/>
                <w:color w:val="auto"/>
              </w:rPr>
            </w:pPr>
          </w:p>
        </w:tc>
      </w:tr>
      <w:tr>
        <w:trPr>
          <w:trHeight w:val="20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Foreign exchange losses/(gains), net</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878</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584</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1,246</w:t>
            </w:r>
          </w:p>
        </w:tc>
        <w:tc>
          <w:tcPr>
            <w:tcW w:w="220" w:type="dxa"/>
            <w:vAlign w:val="bottom"/>
          </w:tcPr>
          <w:p>
            <w:pPr>
              <w:spacing w:after="0"/>
              <w:rPr>
                <w:sz w:val="17"/>
                <w:szCs w:val="17"/>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354</w:t>
            </w:r>
          </w:p>
        </w:tc>
        <w:tc>
          <w:tcPr>
            <w:tcW w:w="0" w:type="dxa"/>
            <w:vAlign w:val="bottom"/>
          </w:tcPr>
          <w:p>
            <w:pPr>
              <w:spacing w:after="0"/>
              <w:rPr>
                <w:sz w:val="1"/>
                <w:szCs w:val="1"/>
                <w:color w:val="auto"/>
              </w:rPr>
            </w:pPr>
          </w:p>
        </w:tc>
      </w:tr>
      <w:tr>
        <w:trPr>
          <w:trHeight w:val="203"/>
        </w:trPr>
        <w:tc>
          <w:tcPr>
            <w:tcW w:w="55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Unrealized foreign exchange losses/(gains), net on cash and bonds</w:t>
            </w:r>
          </w:p>
        </w:tc>
        <w:tc>
          <w:tcPr>
            <w:tcW w:w="150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14</w:t>
            </w:r>
          </w:p>
        </w:tc>
        <w:tc>
          <w:tcPr>
            <w:tcW w:w="144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(4,036)</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20"/>
                <w:szCs w:val="20"/>
                <w:color w:val="auto"/>
              </w:rPr>
            </w:pPr>
            <w:r>
              <w:rPr>
                <w:rFonts w:ascii="Times New Roman" w:cs="Times New Roman" w:eastAsia="Times New Roman" w:hAnsi="Times New Roman"/>
                <w:sz w:val="16"/>
                <w:szCs w:val="16"/>
                <w:color w:val="auto"/>
              </w:rPr>
              <w:t>Restructuring costs</w:t>
            </w:r>
          </w:p>
        </w:tc>
        <w:tc>
          <w:tcPr>
            <w:tcW w:w="150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3,147</w:t>
            </w:r>
          </w:p>
        </w:tc>
        <w:tc>
          <w:tcPr>
            <w:tcW w:w="14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5,107</w:t>
            </w: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Adjusted profit/(loss) attributable to owners of the Group</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24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(1,260</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11,840</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12,711</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5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basic</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80,861,350</w:t>
            </w:r>
          </w:p>
        </w:tc>
        <w:tc>
          <w:tcPr>
            <w:tcW w:w="24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95,157,140</w:t>
            </w:r>
          </w:p>
        </w:tc>
        <w:tc>
          <w:tcPr>
            <w:tcW w:w="22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80,844,836</w:t>
            </w:r>
          </w:p>
        </w:tc>
        <w:tc>
          <w:tcPr>
            <w:tcW w:w="22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85,605,475</w:t>
            </w:r>
          </w:p>
        </w:tc>
        <w:tc>
          <w:tcPr>
            <w:tcW w:w="10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5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Adjusted earnings/(loss) per share</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240" w:type="dxa"/>
            <w:vAlign w:val="bottom"/>
            <w:tcBorders>
              <w:bottom w:val="single" w:sz="8" w:color="CCEEFF"/>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(0.01</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0.15</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0.15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6"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6"/>
          <w:szCs w:val="16"/>
          <w:b w:val="1"/>
          <w:bCs w:val="1"/>
          <w:color w:val="auto"/>
        </w:rPr>
        <w:t>Exhibit 99.2</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u w:val="single" w:color="auto"/>
          <w:color w:val="auto"/>
        </w:rPr>
        <w:t>Financial Report for the Three and Nine Months Ended September 30, 2020</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Management’s Discussion and Analysis of Financial Condition and Results of Operation</w:t>
      </w:r>
    </w:p>
    <w:p>
      <w:pPr>
        <w:spacing w:after="0" w:line="237"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The following is a discussion of our financial condition and results of operations for the three and nine-month periods ended September 30, 2019 and September 30, 2020. Unless otherwise specified herein, references to “GasLog”, the “Company”, the “Group”, “we”, “our” or “us” shall include GasLog Ltd. and its subsidiaries. You should read this section in conjunction with our unaudited condensed consolidated financial statements and related notes included elsewhere in this report. For additional information relating to our management’s discussion and analysis of financial condition and results of operations, please see our Annual Report on Form 20-F filed with the U.S. Securities and Exchange Commission (the “SEC”) on March 6, 2020. This discussion includes forward-looking statements which, although based on assumptions that we consider reasonable, are subject to risks and uncertainties which could cause actual events or conditions to differ materially from those currently anticipated and expressed or implied by such forward-looking statements. See also discussion in the section entitled “Forward-Looking Statements” below.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Forward-Looking Statements</w:t>
      </w:r>
    </w:p>
    <w:p>
      <w:pPr>
        <w:spacing w:after="0" w:line="23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All statements in this report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 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Factors that might cause future results and outcomes to differ include, but are not limited to, the following:</w:t>
      </w:r>
    </w:p>
    <w:p>
      <w:pPr>
        <w:spacing w:after="0" w:line="235" w:lineRule="exact"/>
        <w:rPr>
          <w:sz w:val="20"/>
          <w:szCs w:val="20"/>
          <w:color w:val="auto"/>
        </w:rPr>
      </w:pPr>
    </w:p>
    <w:p>
      <w:pPr>
        <w:ind w:left="660" w:right="320" w:hanging="328"/>
        <w:spacing w:after="0" w:line="269" w:lineRule="auto"/>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general LNG shipping market conditions and trends, including spot and multi-year charter rates, ship values, factors affecting supply and demand of LNG and LNG shipping, including geopolitical events, technological advancements and opportunities for the profitable operations of LNG carriers;</w:t>
      </w: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charter hire rates, vessel utilization and vessel values;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increased exposure to the spot market and fluctuations in spot charter rates;</w:t>
      </w:r>
    </w:p>
    <w:p>
      <w:pPr>
        <w:spacing w:after="0" w:line="18" w:lineRule="exact"/>
        <w:rPr>
          <w:rFonts w:ascii="Times New Roman" w:cs="Times New Roman" w:eastAsia="Times New Roman" w:hAnsi="Times New Roman"/>
          <w:sz w:val="16"/>
          <w:szCs w:val="16"/>
          <w:i w:val="1"/>
          <w:iCs w:val="1"/>
          <w:color w:val="auto"/>
        </w:rPr>
      </w:pPr>
    </w:p>
    <w:p>
      <w:pPr>
        <w:jc w:val="both"/>
        <w:ind w:left="660" w:hanging="328"/>
        <w:spacing w:after="0" w:line="264"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our ability to secure employment for such vessels as well as the rate at which we can charter such vessels;</w:t>
      </w: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changes in our operating expenses, including crew wages, maintenance, dry-docking and insurance costs and bunker prices;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number of off-hire days and dry-docking requirements, including our ability to complete scheduled dry-dockings on time and within budget;</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planned capital expenditures and availability of capital resources to fund capital expenditures;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maintain long-term relationships and enter into time charters with new and existing customers;</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disruption to the LNG, LNG shipping and financial markets caused by global shutdown as a result of the COVID-19 pandemic;</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prices for crude oil, petroleum products and natural gas;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changes in the ownership of our charterers;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customers’ performance of their obligations under our time charters and other contracts;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future operating performance and expenses, financial condition, liquidity and cash available for dividends and distributions;</w:t>
      </w:r>
    </w:p>
    <w:p>
      <w:pPr>
        <w:spacing w:after="0" w:line="18" w:lineRule="exact"/>
        <w:rPr>
          <w:rFonts w:ascii="Times New Roman" w:cs="Times New Roman" w:eastAsia="Times New Roman" w:hAnsi="Times New Roman"/>
          <w:sz w:val="16"/>
          <w:szCs w:val="16"/>
          <w:i w:val="1"/>
          <w:iCs w:val="1"/>
          <w:color w:val="auto"/>
        </w:rPr>
      </w:pPr>
    </w:p>
    <w:p>
      <w:pPr>
        <w:ind w:left="660" w:right="280" w:hanging="328"/>
        <w:spacing w:after="0" w:line="264" w:lineRule="auto"/>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ability to obtain debt and equity financing on acceptable terms to fund capital expenditures, acquisitions and other corporate activities, funding by banks of their financial commitments, and our ability to meet our restrictive covenants and other obligations under our credit facilities;</w:t>
      </w: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future, pending or recent acquisitions of or orders for ships or other assets, business strategy, areas of possible expansion and expected capital spending;</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time that it may take to construct and deliver newbuildings and the useful lives of our ships;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fluctuations in currencies and interest rates;</w:t>
      </w:r>
    </w:p>
    <w:p>
      <w:pPr>
        <w:spacing w:after="0" w:line="18" w:lineRule="exact"/>
        <w:rPr>
          <w:rFonts w:ascii="Times New Roman" w:cs="Times New Roman" w:eastAsia="Times New Roman" w:hAnsi="Times New Roman"/>
          <w:sz w:val="16"/>
          <w:szCs w:val="16"/>
          <w:i w:val="1"/>
          <w:iCs w:val="1"/>
          <w:color w:val="auto"/>
        </w:rPr>
      </w:pPr>
    </w:p>
    <w:p>
      <w:pPr>
        <w:ind w:left="660" w:right="120" w:hanging="328"/>
        <w:spacing w:after="0" w:line="264" w:lineRule="auto"/>
        <w:tabs>
          <w:tab w:leader="none" w:pos="66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cost of and our ability to comply with environmental and regulatory conditions, including with respect to emissions of air pollutants and greenhouse gases, as well as future changes in such requirements or other actions taken by regulatory authorities, governmental organizations, classification societies and standards imposed by our charterers applicable to our business;</w:t>
      </w: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risks inherent in ship operation, including the discharge of pollutants;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the impact of environmental liabilities on us and the shipping industry, including climate change;</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our ability to retain key employees and the availability of skilled labour, ship crews and management;</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potential disruption of shipping routes due to accidents, diseases, pandemics, political events, piracy or acts by terrorists;</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potential liability from future litigation;</w:t>
      </w:r>
    </w:p>
    <w:p>
      <w:pPr>
        <w:spacing w:after="0" w:line="18" w:lineRule="exact"/>
        <w:rPr>
          <w:rFonts w:ascii="Times New Roman" w:cs="Times New Roman" w:eastAsia="Times New Roman" w:hAnsi="Times New Roman"/>
          <w:sz w:val="16"/>
          <w:szCs w:val="16"/>
          <w:i w:val="1"/>
          <w:iCs w:val="1"/>
          <w:color w:val="auto"/>
        </w:rPr>
      </w:pPr>
    </w:p>
    <w:p>
      <w:pPr>
        <w:ind w:left="660" w:hanging="328"/>
        <w:spacing w:after="0"/>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any malfunction or disruption of information technology systems and networks that our operations rely on or any impact of a possible cybersecurity event; and</w:t>
      </w:r>
    </w:p>
    <w:p>
      <w:pPr>
        <w:spacing w:after="0" w:line="18" w:lineRule="exact"/>
        <w:rPr>
          <w:rFonts w:ascii="Times New Roman" w:cs="Times New Roman" w:eastAsia="Times New Roman" w:hAnsi="Times New Roman"/>
          <w:sz w:val="16"/>
          <w:szCs w:val="16"/>
          <w:i w:val="1"/>
          <w:iCs w:val="1"/>
          <w:color w:val="auto"/>
        </w:rPr>
      </w:pPr>
    </w:p>
    <w:p>
      <w:pPr>
        <w:ind w:left="660" w:right="180" w:hanging="328"/>
        <w:spacing w:after="0" w:line="288" w:lineRule="auto"/>
        <w:tabs>
          <w:tab w:leader="none" w:pos="660" w:val="left"/>
        </w:tabs>
        <w:numPr>
          <w:ilvl w:val="0"/>
          <w:numId w:val="8"/>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color w:val="auto"/>
        </w:rPr>
        <w:t>other risks and uncertainties described in the Company’s Annual Report on Form 20-F filed with the SEC on March 6, 2020 and Quarterly Reports on Form 6-K filed with the SEC on May 7, 2020 and August 5, 2020 and available at http://www.sec.gov.</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declaration and payment of dividends are at all times subject to the discretion of our board of directors and will depend on, amongst other</w:t>
      </w:r>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26" w:right="339" w:bottom="1440" w:gutter="0" w:footer="0" w:header="0"/>
        </w:sectPr>
      </w:pPr>
    </w:p>
    <w:bookmarkStart w:id="14" w:name="page15"/>
    <w:bookmarkEnd w:id="14"/>
    <w:p>
      <w:pPr>
        <w:ind w:right="60"/>
        <w:spacing w:after="0" w:line="298" w:lineRule="auto"/>
        <w:rPr>
          <w:sz w:val="20"/>
          <w:szCs w:val="20"/>
          <w:color w:val="auto"/>
        </w:rPr>
      </w:pPr>
      <w:r>
        <w:rPr>
          <w:rFonts w:ascii="Times New Roman" w:cs="Times New Roman" w:eastAsia="Times New Roman" w:hAnsi="Times New Roman"/>
          <w:sz w:val="16"/>
          <w:szCs w:val="16"/>
          <w:color w:val="auto"/>
        </w:rPr>
        <w:t>things, risks and uncertainties described above, restrictions in our credit and sale-and-leaseback facilities, the provisions of Bermuda law and such other factors as our board of directors may deem relevant.</w:t>
      </w:r>
    </w:p>
    <w:p>
      <w:pPr>
        <w:spacing w:after="0" w:line="164" w:lineRule="exact"/>
        <w:rPr>
          <w:sz w:val="20"/>
          <w:szCs w:val="20"/>
          <w:color w:val="auto"/>
        </w:rPr>
      </w:pPr>
    </w:p>
    <w:p>
      <w:pPr>
        <w:ind w:right="80" w:firstLine="324"/>
        <w:spacing w:after="0" w:line="275" w:lineRule="auto"/>
        <w:rPr>
          <w:sz w:val="20"/>
          <w:szCs w:val="20"/>
          <w:color w:val="auto"/>
        </w:rPr>
      </w:pPr>
      <w:r>
        <w:rPr>
          <w:rFonts w:ascii="Times New Roman" w:cs="Times New Roman" w:eastAsia="Times New Roman" w:hAnsi="Times New Roman"/>
          <w:sz w:val="16"/>
          <w:szCs w:val="16"/>
          <w:color w:val="auto"/>
        </w:rPr>
        <w:t>We undertake no obligation to update or revise any forward-looking statements contained in this report,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83"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6"/>
          <w:szCs w:val="16"/>
          <w:color w:val="auto"/>
        </w:rPr>
        <w:t>However, given the current uncertainty in relation to COVID-19 and in an effort to facilitate robust disclosure, we have identified the following risks and uncertainties or updated the risk factors described in the Company’s Annual Report on Form 20-F filed with the SEC on March 6, 2020 and the Quarterly Reports on Form 6-K filed with the SEC on May 7, 2020 and August 5, 2020.</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Failure to control the outbreak of the COVID-19 virus is negatively affecting the global economy, energy demand and our business.</w:t>
      </w:r>
    </w:p>
    <w:p>
      <w:pPr>
        <w:spacing w:after="0" w:line="239" w:lineRule="exact"/>
        <w:rPr>
          <w:sz w:val="20"/>
          <w:szCs w:val="20"/>
          <w:color w:val="auto"/>
        </w:rPr>
      </w:pPr>
    </w:p>
    <w:p>
      <w:pPr>
        <w:ind w:right="20" w:firstLine="324"/>
        <w:spacing w:after="0" w:line="265" w:lineRule="auto"/>
        <w:rPr>
          <w:sz w:val="20"/>
          <w:szCs w:val="20"/>
          <w:color w:val="auto"/>
        </w:rPr>
      </w:pPr>
      <w:r>
        <w:rPr>
          <w:rFonts w:ascii="Times New Roman" w:cs="Times New Roman" w:eastAsia="Times New Roman" w:hAnsi="Times New Roman"/>
          <w:sz w:val="16"/>
          <w:szCs w:val="16"/>
          <w:color w:val="auto"/>
        </w:rPr>
        <w:t xml:space="preserve">The COVID-19 virus outbreak has introduced uncertainty in a number of areas of our business, including operational, commercial, administrative and financial activities. It has also negatively impacted, and may continue to impact negatively, global economic activity and demand for energy including LNG. As a result of significantly lower demand for oil and refined products and the failure of the principal producers of oil to reduce production in line with the fall in demand, oil prices have fallen by approximately 40% since the end of 2019. Natural gas prices in the primary European and Asian markets for LNG have fallen to an even greater extent, although they have recently partially recovered. Together with reduced economic activity as a result of the COVID-19 virus, the decline in oil and gas prices disincentivized trading of LNG and reduced the demand for LNG carriers in the first half of 2020. Although the LNG market has recently improved and remains on a positive trend, this improvement may not be sustainable in the long term. In the financial markets, the virus, and the responses of governments around the world to manage the impact of the virus, have led to lower interest rates and extreme volatility in the prices of equities, bonds, commodities and their respective derivatives. Our share price has declined significantly this year, due in part to the impact of the COVID-19 virus. Record low interest rates and exchange rates, especially the U.S. dollar/Norwegian Kroner exchange rate, have required us to post $48.3 million of cash collateral against our current marked-to-market derivative liabilities. The ongoing spread of the COVID-19 virus may negatively affect our business and operations, including our newbuildings under construction in South Korea, the health of our crews and the availability of our fleet, particularly if crew members contract COVID-19, as well as our financial position and prospects. A future reduction in LNG demand and new closure of, or restricted access to, ports and terminals in regions affected by the virus may lead to reduced future chartering activity and, in the extreme, an inability of our charterers to meet their obligations under the terms of their term charters. Furthermore, we may be unable to secure charters for our vessels at rates that are sufficient to meet our financial obligations, particularly for the vessels that are coming off charter in the next twelve months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xml:space="preserve"> in March 2021 for GasLog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in December 2020,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in June 2021 for GasLog Partners LP (“GasLog Partners” or the “Partnership”)). We have eight vessels in the spot market, and these vessels are currently experiencing reduced spot charter rates and demand compared to their initial long-term charters. Continued exposure to the spot market or extended periods of idle time between charters could adversely affect our future liquidity, results of operations and cash flows. Failure to control the spread of the virus could significantly impact economic activity and demand for LNG and LNG shipping which could further negatively affect our business, financial condition and results of operations. Should the COVID-19 pandemic continue to negatively impact market rates in the long-term, there would be a significant negative impact on our liquidity and financial condition, as well as the future carrying values of our vessels could be further affected due to a potential unfavorable permanent impact in the key assumptions, such as the estimates of future charter rates for non-contracted revenue days and the discount rate in our future impairment assessments.</w:t>
      </w:r>
    </w:p>
    <w:p>
      <w:pPr>
        <w:spacing w:after="0" w:line="202" w:lineRule="exact"/>
        <w:rPr>
          <w:sz w:val="20"/>
          <w:szCs w:val="20"/>
          <w:color w:val="auto"/>
        </w:rPr>
      </w:pPr>
    </w:p>
    <w:p>
      <w:pPr>
        <w:ind w:right="400" w:firstLine="324"/>
        <w:spacing w:after="0" w:line="281" w:lineRule="auto"/>
        <w:rPr>
          <w:sz w:val="20"/>
          <w:szCs w:val="20"/>
          <w:color w:val="auto"/>
        </w:rPr>
      </w:pPr>
      <w:r>
        <w:rPr>
          <w:rFonts w:ascii="Times New Roman" w:cs="Times New Roman" w:eastAsia="Times New Roman" w:hAnsi="Times New Roman"/>
          <w:sz w:val="16"/>
          <w:szCs w:val="16"/>
          <w:color w:val="auto"/>
        </w:rPr>
        <w:t>Although we have taken extensive measures to limit the impact of COVID-19 on business continuity, including implementation of a “work from home” policy for shore-based employees, as required depending on each location and the commencement of select rotations of offshore personnel where possible, giving effect to local restrictions on the movement of offshore staff, these may not be sufficient to protect our business against the impact of COVID-19.</w:t>
      </w:r>
    </w:p>
    <w:p>
      <w:pPr>
        <w:spacing w:after="0" w:line="173" w:lineRule="exact"/>
        <w:rPr>
          <w:sz w:val="20"/>
          <w:szCs w:val="20"/>
          <w:color w:val="auto"/>
        </w:rPr>
      </w:pPr>
    </w:p>
    <w:p>
      <w:pPr>
        <w:spacing w:after="0" w:line="283" w:lineRule="auto"/>
        <w:rPr>
          <w:sz w:val="20"/>
          <w:szCs w:val="20"/>
          <w:color w:val="auto"/>
        </w:rPr>
      </w:pPr>
      <w:r>
        <w:rPr>
          <w:rFonts w:ascii="Times New Roman" w:cs="Times New Roman" w:eastAsia="Times New Roman" w:hAnsi="Times New Roman"/>
          <w:sz w:val="16"/>
          <w:szCs w:val="16"/>
          <w:b w:val="1"/>
          <w:bCs w:val="1"/>
          <w:i w:val="1"/>
          <w:iCs w:val="1"/>
          <w:color w:val="auto"/>
        </w:rPr>
        <w:t>In 2021, six of our vessels are scheduled to be dry-docked. The dry-dockings for two of these vessels will be longer and more costly than normal as a result of the need to install ballast water treatment systems (“BWTS”) on each vessel in order to comply with regulatory requirements. Any delay or cost overrun of the dry-docking could have a material adverse effect on our business, results of operations and financial condition.</w:t>
      </w:r>
    </w:p>
    <w:p>
      <w:pPr>
        <w:spacing w:after="0" w:line="172" w:lineRule="exact"/>
        <w:rPr>
          <w:sz w:val="20"/>
          <w:szCs w:val="20"/>
          <w:color w:val="auto"/>
        </w:rPr>
      </w:pPr>
    </w:p>
    <w:p>
      <w:pPr>
        <w:ind w:right="20" w:firstLine="405"/>
        <w:spacing w:after="0" w:line="254" w:lineRule="auto"/>
        <w:rPr>
          <w:sz w:val="20"/>
          <w:szCs w:val="20"/>
          <w:color w:val="auto"/>
        </w:rPr>
      </w:pPr>
      <w:r>
        <w:rPr>
          <w:rFonts w:ascii="Times New Roman" w:cs="Times New Roman" w:eastAsia="Times New Roman" w:hAnsi="Times New Roman"/>
          <w:sz w:val="18"/>
          <w:szCs w:val="18"/>
          <w:color w:val="auto"/>
        </w:rPr>
        <w:t>Dry-dockings of our vessels require significant expenditures and result in loss of revenue as our vessels are off-hire during such period. Any significant increase in either the number of off-hire days or in the costs of any repairs or investments carried out during the dry-docking period could have a material adverse effect on our profitability and our cash flows. Given the potential for unforeseen issues arising during dry-docking, we may not be able to predict accurately the time required to dry-dock any of our vessels. In 2021, two of the dry-dockings will be longer and more costly than normal as a result of the need to install BWTS on each vessel in order to comply with regulatory requirements. Furthermore, the COVID-19 virus, and implementation of additional “stop work” orders in Singapore, may impact the availability of dry-dock yard slots and our ability to source the required personnel and equipment. If more than one of our ships is required to be out of service at the same time, or if a ship is dry-docked longer than expected or if the cost of repairs is greater than budgeted, our results of operations and cash flows could be adversely affected. The upcoming dry-dockings of our vessels are expected to be carried out in 2021 (six vessels) and 2023 (eight vessels).</w:t>
      </w:r>
    </w:p>
    <w:p>
      <w:pPr>
        <w:spacing w:after="0" w:line="189"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6"/>
          <w:szCs w:val="16"/>
          <w:b w:val="1"/>
          <w:bCs w:val="1"/>
          <w:i w:val="1"/>
          <w:iCs w:val="1"/>
          <w:color w:val="auto"/>
        </w:rPr>
        <w:t>Our ability to raise capital to repay or refinance our debt obligations or to fund our maintenance or growth capital expenditures will depend on certain financial, business and other factors, many of which are beyond our control. The COVID-19 virus has had a significant impact on all financial markets, including the prices and the volatility of equities, bonds, commodities, interest rates and foreign exchange rates and their associated derivatives, and the availability and cost of liquidity in the bank credit markets. The recent significant fall in the value of our common shares may make it difficult or impossible for us to access the equity or equity-linked capital markets. The recent fall in U.S. interest rates and the depreciation of the Norwegian Kroner against the U.S. dollar, has required us to post significant cash collateral against our current marked-to-market derivative liabilities. To the extent that we are unable to finance these obligations and expenditures with cash from operations or incremental bank loans or by issuing debt or equity securities, our liquidity will be reduced and our financial leverage may increase. Our business may be adversely affected if we need to access sources of funding which are more expensive and/or more restrictive.</w:t>
      </w:r>
    </w:p>
    <w:p>
      <w:pPr>
        <w:spacing w:after="0" w:line="200" w:lineRule="exact"/>
        <w:rPr>
          <w:sz w:val="20"/>
          <w:szCs w:val="20"/>
          <w:color w:val="auto"/>
        </w:rPr>
      </w:pPr>
    </w:p>
    <w:p>
      <w:pPr>
        <w:spacing w:after="0" w:line="2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1440" w:gutter="0" w:footer="0" w:header="0"/>
        </w:sectPr>
      </w:pPr>
    </w:p>
    <w:bookmarkStart w:id="15" w:name="page16"/>
    <w:bookmarkEnd w:id="15"/>
    <w:p>
      <w:pPr>
        <w:ind w:right="180" w:firstLine="324"/>
        <w:spacing w:after="0" w:line="272" w:lineRule="auto"/>
        <w:rPr>
          <w:sz w:val="20"/>
          <w:szCs w:val="20"/>
          <w:color w:val="auto"/>
        </w:rPr>
      </w:pPr>
      <w:r>
        <w:rPr>
          <w:rFonts w:ascii="Times New Roman" w:cs="Times New Roman" w:eastAsia="Times New Roman" w:hAnsi="Times New Roman"/>
          <w:sz w:val="16"/>
          <w:szCs w:val="16"/>
          <w:color w:val="auto"/>
        </w:rPr>
        <w:t>To fund our existing and future debt obligations and capital expenditures and any future growth, we will be required to use cash from operations, incur borrowings, and/or seek to access other financing sources including the capital markets. Our access to potential funding sources and future financial and operating performance will be affected by prevailing economic conditions and financial, business, regulatory and other factors, many of which are beyond our control. The COVID-19 virus is having a significant negative impact on global financial markets. If we are unable to access the capital markets or raise additional bank financing or generate sufficient cash flow to meet our debt, capital expenditure, minimum liquidity and other business requirements, we may be forced to take actions such as:</w:t>
      </w:r>
    </w:p>
    <w:p>
      <w:pPr>
        <w:spacing w:after="0" w:line="186" w:lineRule="exact"/>
        <w:rPr>
          <w:sz w:val="20"/>
          <w:szCs w:val="20"/>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waivers or consents from our creditors;</w:t>
      </w:r>
    </w:p>
    <w:p>
      <w:pPr>
        <w:spacing w:after="0" w:line="23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restructuring our debt</w:t>
      </w:r>
    </w:p>
    <w:p>
      <w:pPr>
        <w:spacing w:after="0" w:line="23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additional debt or equity capital;</w:t>
      </w:r>
    </w:p>
    <w:p>
      <w:pPr>
        <w:spacing w:after="0" w:line="23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selling assets;</w:t>
      </w:r>
    </w:p>
    <w:p>
      <w:pPr>
        <w:spacing w:after="0" w:line="23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reducing, delaying or cancelling business activities, acquisitions, investments or capital expenditures; or</w:t>
      </w:r>
    </w:p>
    <w:p>
      <w:pPr>
        <w:spacing w:after="0" w:line="234"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seeking bankruptcy protection.</w:t>
      </w:r>
    </w:p>
    <w:p>
      <w:pPr>
        <w:spacing w:after="0" w:line="235" w:lineRule="exact"/>
        <w:rPr>
          <w:sz w:val="20"/>
          <w:szCs w:val="20"/>
          <w:color w:val="auto"/>
        </w:rPr>
      </w:pPr>
    </w:p>
    <w:p>
      <w:pPr>
        <w:ind w:right="100" w:firstLine="324"/>
        <w:spacing w:after="0" w:line="269" w:lineRule="auto"/>
        <w:rPr>
          <w:sz w:val="20"/>
          <w:szCs w:val="20"/>
          <w:color w:val="auto"/>
        </w:rPr>
      </w:pPr>
      <w:r>
        <w:rPr>
          <w:rFonts w:ascii="Times New Roman" w:cs="Times New Roman" w:eastAsia="Times New Roman" w:hAnsi="Times New Roman"/>
          <w:sz w:val="16"/>
          <w:szCs w:val="16"/>
          <w:color w:val="auto"/>
        </w:rPr>
        <w:t>Such measures might not be successful, available on acceptable terms or enable us to meet our debt, capital expenditure and other obligations. Some of these measures may adversely affect our business and reputation. In addition, our financing agreements may restrict our ability to implement some of these measures. Our ability to obtain bank financing or to access the capital markets may be limited by our financial condition at the time of any such financing or offering as well as by adverse market conditions. Following the recent significant fall in the value of our common shares, we may not be able to access the equity or equity-linked capital markets. Even if we are successful in obtaining the necessary funds, the terms of such financings could limit our ability to operate our business as currently conducted. In addition, incurring additional debt may significantly increase our interest expense and financial leverage. Despite the recent refinancing of the Group's debt maturities due in 2021, the $36.0 million private placement as well as the sale and leaseback transaction we concluded in October 2020, our liquidity position could be challenged in the future, and we may need to raise additional equity in order to remain in compliance with the financial covenants within our loan and bond facilities.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Recent Developments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COVID-19 Update</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Operational update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GasLog’s focus continues to be on ensuring the health and safety of our employees while providing safe and reliable operations for our customers.</w:t>
      </w:r>
    </w:p>
    <w:p>
      <w:pPr>
        <w:spacing w:after="0" w:line="235"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onshore locations have returned to a “work from home” policy in accordance with local guidelines and regulations;</w:t>
      </w:r>
    </w:p>
    <w:p>
      <w:pPr>
        <w:spacing w:after="0" w:line="26" w:lineRule="exact"/>
        <w:rPr>
          <w:rFonts w:ascii="Times New Roman" w:cs="Times New Roman" w:eastAsia="Times New Roman" w:hAnsi="Times New Roman"/>
          <w:sz w:val="16"/>
          <w:szCs w:val="16"/>
          <w:color w:val="auto"/>
        </w:rPr>
      </w:pPr>
    </w:p>
    <w:p>
      <w:pPr>
        <w:ind w:left="660" w:hanging="328"/>
        <w:spacing w:after="0" w:line="264" w:lineRule="auto"/>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Crew changes continue to be planned at every opportunity. During the third quarter of 2020 nearly 1,000 crew members rotated compared with approximately 300 during the second quarter of 2020; and</w:t>
      </w:r>
    </w:p>
    <w:p>
      <w:pPr>
        <w:ind w:left="660" w:hanging="328"/>
        <w:spacing w:after="0"/>
        <w:tabs>
          <w:tab w:leader="none" w:pos="660" w:val="left"/>
        </w:tabs>
        <w:numPr>
          <w:ilvl w:val="0"/>
          <w:numId w:val="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result of these measures, and the dedication of employees onshore and aboard our vessels, 100% of our fleet continues to be available for commercial use.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Commercial update</w:t>
      </w:r>
    </w:p>
    <w:p>
      <w:pPr>
        <w:spacing w:after="0" w:line="237" w:lineRule="exact"/>
        <w:rPr>
          <w:sz w:val="20"/>
          <w:szCs w:val="20"/>
          <w:color w:val="auto"/>
        </w:rPr>
      </w:pPr>
    </w:p>
    <w:p>
      <w:pPr>
        <w:spacing w:after="0" w:line="298" w:lineRule="auto"/>
        <w:rPr>
          <w:sz w:val="20"/>
          <w:szCs w:val="20"/>
          <w:color w:val="auto"/>
        </w:rPr>
      </w:pPr>
      <w:r>
        <w:rPr>
          <w:rFonts w:ascii="Times New Roman" w:cs="Times New Roman" w:eastAsia="Times New Roman" w:hAnsi="Times New Roman"/>
          <w:sz w:val="16"/>
          <w:szCs w:val="16"/>
          <w:color w:val="auto"/>
        </w:rPr>
        <w:t>COVID-19 placed downward pressure on economic activity and energy demand during the third quarter and there remains significant uncertainty regarding near-term future LNG demand and, therefore, LNG shipping requirements.</w:t>
      </w:r>
    </w:p>
    <w:p>
      <w:pPr>
        <w:spacing w:after="0" w:line="164"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Group’s charter coverage for the fourth quarter of 2020 is 95%, based on signed contracts as of November 10, 2020;</w:t>
      </w:r>
    </w:p>
    <w:p>
      <w:pPr>
        <w:spacing w:after="0" w:line="2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combined impact of COVID-19 and normal seasonality has led to greater volatility in spot rates; and</w:t>
      </w:r>
    </w:p>
    <w:p>
      <w:pPr>
        <w:spacing w:after="0" w:line="18"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1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utilization and earnings of our vessels trading in the spot market are currently materially lower than their earnings under their initial multi-year charters.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update</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COVID-19 has had a sustained impact on global capital and bank credit markets, affecting access, timing and cost of capital.</w:t>
      </w:r>
    </w:p>
    <w:p>
      <w:pPr>
        <w:spacing w:after="0" w:line="235" w:lineRule="exact"/>
        <w:rPr>
          <w:sz w:val="20"/>
          <w:szCs w:val="20"/>
          <w:color w:val="auto"/>
        </w:rPr>
      </w:pPr>
    </w:p>
    <w:p>
      <w:pPr>
        <w:ind w:left="660" w:right="20" w:hanging="328"/>
        <w:spacing w:after="0" w:line="269"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Notwithstanding COVID-19, we have refinanced the Group’s debt maturities due in 2021 with four new credit facilities representing a total of approximately $1.1 billion, strengthening the balance sheet and delivering $30.2 million of incremental liquidity to the Group.;</w:t>
      </w:r>
    </w:p>
    <w:p>
      <w:pPr>
        <w:ind w:left="660" w:right="20" w:hanging="328"/>
        <w:spacing w:after="0" w:line="264"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We have completed the sale-and-leaseback of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with CMB Financial Leasing Co. Ltd. (“CMBFL”), releasing $26.4 million of incremental liquidity to GasLog; and</w:t>
      </w:r>
    </w:p>
    <w:p>
      <w:pPr>
        <w:jc w:val="both"/>
        <w:ind w:left="660" w:right="20" w:hanging="328"/>
        <w:spacing w:after="0" w:line="276" w:lineRule="auto"/>
        <w:tabs>
          <w:tab w:leader="none" w:pos="660"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Following recent amendments with several counterparties to our interest rate swap agreements as well as strengthening of the Norwegian Kroner versus the U.S Dollar since late March, our cash collateral with respect to our interest rate and cross-currency swap agreements was $48.3 million as of September 30, 2020, and $33.5 million as of November 6, 2020, down from $71.1 million as of June 30, 2020 and $81.2 million as of March 31, 2020;</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16" w:name="page17"/>
    <w:bookmarkEnd w:id="16"/>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 xml:space="preserve">Delivery of the </w:t>
      </w:r>
      <w:r>
        <w:rPr>
          <w:rFonts w:ascii="Times New Roman" w:cs="Times New Roman" w:eastAsia="Times New Roman" w:hAnsi="Times New Roman"/>
          <w:sz w:val="16"/>
          <w:szCs w:val="16"/>
          <w:b w:val="1"/>
          <w:bCs w:val="1"/>
          <w:i w:val="1"/>
          <w:iCs w:val="1"/>
          <w:u w:val="single" w:color="auto"/>
          <w:color w:val="auto"/>
        </w:rPr>
        <w:t>GasLog Westminster</w:t>
      </w:r>
    </w:p>
    <w:p>
      <w:pPr>
        <w:spacing w:after="0" w:line="232" w:lineRule="exact"/>
        <w:rPr>
          <w:sz w:val="20"/>
          <w:szCs w:val="20"/>
          <w:color w:val="auto"/>
        </w:rPr>
      </w:pPr>
    </w:p>
    <w:p>
      <w:pPr>
        <w:jc w:val="both"/>
        <w:ind w:firstLine="383"/>
        <w:spacing w:after="0" w:line="267" w:lineRule="auto"/>
        <w:rPr>
          <w:sz w:val="20"/>
          <w:szCs w:val="20"/>
          <w:color w:val="auto"/>
        </w:rPr>
      </w:pPr>
      <w:r>
        <w:rPr>
          <w:rFonts w:ascii="Times New Roman" w:cs="Times New Roman" w:eastAsia="Times New Roman" w:hAnsi="Times New Roman"/>
          <w:sz w:val="18"/>
          <w:szCs w:val="18"/>
          <w:color w:val="auto"/>
        </w:rPr>
        <w:t xml:space="preserve">On July 15, 2020, GasLog took delivery of the </w:t>
      </w:r>
      <w:r>
        <w:rPr>
          <w:rFonts w:ascii="Times New Roman" w:cs="Times New Roman" w:eastAsia="Times New Roman" w:hAnsi="Times New Roman"/>
          <w:sz w:val="18"/>
          <w:szCs w:val="18"/>
          <w:i w:val="1"/>
          <w:iCs w:val="1"/>
          <w:color w:val="auto"/>
        </w:rPr>
        <w:t>GasLog Westminster</w:t>
      </w:r>
      <w:r>
        <w:rPr>
          <w:rFonts w:ascii="Times New Roman" w:cs="Times New Roman" w:eastAsia="Times New Roman" w:hAnsi="Times New Roman"/>
          <w:sz w:val="18"/>
          <w:szCs w:val="18"/>
          <w:color w:val="auto"/>
        </w:rPr>
        <w:t>, a 180,000 cubic meter (“cbm”) LNG carrier with dual fuel medium speed propulsion (“X-DF”) constructed by Samsung. Despite the disruption in South Korea caused by the COVID-19 outbreak, the vessel was delivered on time and on budget. Upon delivery, the vessel immediately commenced its seven-year charter with a wholly-owned subsidiary of Centrica plc. (“Centrica”).</w:t>
      </w:r>
    </w:p>
    <w:p>
      <w:pPr>
        <w:spacing w:after="0" w:line="3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Dividend Declarations</w:t>
      </w:r>
    </w:p>
    <w:p>
      <w:pPr>
        <w:spacing w:after="0" w:line="237" w:lineRule="exact"/>
        <w:rPr>
          <w:sz w:val="20"/>
          <w:szCs w:val="20"/>
          <w:color w:val="auto"/>
        </w:rPr>
      </w:pPr>
    </w:p>
    <w:p>
      <w:pPr>
        <w:ind w:right="120" w:firstLine="324"/>
        <w:spacing w:after="0" w:line="298" w:lineRule="auto"/>
        <w:rPr>
          <w:sz w:val="20"/>
          <w:szCs w:val="20"/>
          <w:color w:val="auto"/>
        </w:rPr>
      </w:pPr>
      <w:r>
        <w:rPr>
          <w:rFonts w:ascii="Times New Roman" w:cs="Times New Roman" w:eastAsia="Times New Roman" w:hAnsi="Times New Roman"/>
          <w:sz w:val="16"/>
          <w:szCs w:val="16"/>
          <w:color w:val="auto"/>
        </w:rPr>
        <w:t>On September 16, 2020, the board of directors declared a dividend on the Series A Preference Shares of $0.546875 per share, or $2.5 million in the aggregate, payable on October 1, 2020 to holders of record as of September 30, 2020. GasLog paid the declared dividend to the transfer agent on October 1, 2020.</w:t>
      </w:r>
    </w:p>
    <w:p>
      <w:pPr>
        <w:spacing w:after="0" w:line="164" w:lineRule="exact"/>
        <w:rPr>
          <w:sz w:val="20"/>
          <w:szCs w:val="20"/>
          <w:color w:val="auto"/>
        </w:rPr>
      </w:pPr>
    </w:p>
    <w:p>
      <w:pPr>
        <w:ind w:right="20" w:firstLine="324"/>
        <w:spacing w:after="0" w:line="298" w:lineRule="auto"/>
        <w:rPr>
          <w:sz w:val="20"/>
          <w:szCs w:val="20"/>
          <w:color w:val="auto"/>
        </w:rPr>
      </w:pPr>
      <w:r>
        <w:rPr>
          <w:rFonts w:ascii="Times New Roman" w:cs="Times New Roman" w:eastAsia="Times New Roman" w:hAnsi="Times New Roman"/>
          <w:sz w:val="16"/>
          <w:szCs w:val="16"/>
          <w:color w:val="auto"/>
        </w:rPr>
        <w:t>On November 9, 2020, the board of directors declared a quarterly cash dividend of $0.05 per common share, or $4.0 million in the aggregate, payable on November 30, 2020 to shareholders of record as of November 20, 2020.</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Share/Unit Repurchase Programme</w:t>
      </w:r>
    </w:p>
    <w:p>
      <w:pPr>
        <w:spacing w:after="0" w:line="237" w:lineRule="exact"/>
        <w:rPr>
          <w:sz w:val="20"/>
          <w:szCs w:val="20"/>
          <w:color w:val="auto"/>
        </w:rPr>
      </w:pPr>
    </w:p>
    <w:p>
      <w:pPr>
        <w:ind w:right="300" w:firstLine="324"/>
        <w:spacing w:after="0" w:line="281" w:lineRule="auto"/>
        <w:rPr>
          <w:sz w:val="20"/>
          <w:szCs w:val="20"/>
          <w:color w:val="auto"/>
        </w:rPr>
      </w:pPr>
      <w:r>
        <w:rPr>
          <w:rFonts w:ascii="Times New Roman" w:cs="Times New Roman" w:eastAsia="Times New Roman" w:hAnsi="Times New Roman"/>
          <w:sz w:val="16"/>
          <w:szCs w:val="16"/>
          <w:color w:val="auto"/>
        </w:rPr>
        <w:t>On November 28, 2018, the Company announced that its board of directors had approved a share repurchase programme of up to $50.0 million of the Company’s common shares, covering the period from January 1, 2019 to December 31, 2021. In the nine months ended September 30, 2020, 323,919 shares have been acquired at a total cost of $2.0 million and are included in treasury shares. The average cost of the repurchase was $6.17 per share inclusive of all fees and commissions.</w:t>
      </w:r>
    </w:p>
    <w:p>
      <w:pPr>
        <w:spacing w:after="0" w:line="177" w:lineRule="exact"/>
        <w:rPr>
          <w:sz w:val="20"/>
          <w:szCs w:val="20"/>
          <w:color w:val="auto"/>
        </w:rPr>
      </w:pPr>
    </w:p>
    <w:p>
      <w:pPr>
        <w:ind w:right="320" w:firstLine="324"/>
        <w:spacing w:after="0" w:line="275" w:lineRule="auto"/>
        <w:rPr>
          <w:sz w:val="20"/>
          <w:szCs w:val="20"/>
          <w:color w:val="auto"/>
        </w:rPr>
      </w:pPr>
      <w:r>
        <w:rPr>
          <w:rFonts w:ascii="Times New Roman" w:cs="Times New Roman" w:eastAsia="Times New Roman" w:hAnsi="Times New Roman"/>
          <w:sz w:val="16"/>
          <w:szCs w:val="16"/>
          <w:color w:val="auto"/>
        </w:rPr>
        <w:t>On February 5, 2020, the board of directors of GasLog Partners authorized a renewal of the Partnership’s unit repurchase programme, taking the total authority outstanding under the programme to $25.0 million which may be utilized from February 10, 2020 to December 31, 2021. In the nine months ended September 30, 2020, GasLog Partners repurchased and cancelled 191,490 of the Partnership’s common units at a weighted average price of $5.18 per common unit for a total amount of $1.0 million, including commissions.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Alexandroupolis Project Update</w:t>
      </w:r>
    </w:p>
    <w:p>
      <w:pPr>
        <w:spacing w:after="0" w:line="232" w:lineRule="exact"/>
        <w:rPr>
          <w:sz w:val="20"/>
          <w:szCs w:val="20"/>
          <w:color w:val="auto"/>
        </w:rPr>
      </w:pPr>
    </w:p>
    <w:p>
      <w:pPr>
        <w:jc w:val="both"/>
        <w:ind w:right="180" w:firstLine="383"/>
        <w:spacing w:after="0" w:line="281" w:lineRule="auto"/>
        <w:rPr>
          <w:sz w:val="20"/>
          <w:szCs w:val="20"/>
          <w:color w:val="auto"/>
        </w:rPr>
      </w:pPr>
      <w:r>
        <w:rPr>
          <w:rFonts w:ascii="Times New Roman" w:cs="Times New Roman" w:eastAsia="Times New Roman" w:hAnsi="Times New Roman"/>
          <w:sz w:val="17"/>
          <w:szCs w:val="17"/>
          <w:color w:val="auto"/>
        </w:rPr>
        <w:t>On November 4, 2020, Gastrade S.A. (“Gastrade”) announced the signing of the agreement of the acquisition of 20% of its share capital by DESFA S.A. (“DESFA”), the operator of the National Natural Gas Transmission System in Greece. Through this participation Gastrade expects to gain additional expertise in managing and operating gas infrastructure and to maximize the synergies between the existing DESFA assets and the Alexandroupolis LNG Terminal, which together will strengthen the gas supply and offer energy independence in Greece and the Southeast European region.</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37" w:lineRule="exact"/>
        <w:rPr>
          <w:sz w:val="20"/>
          <w:szCs w:val="20"/>
          <w:color w:val="auto"/>
        </w:rPr>
      </w:pPr>
    </w:p>
    <w:p>
      <w:pPr>
        <w:ind w:right="100" w:firstLine="324"/>
        <w:spacing w:after="0" w:line="268" w:lineRule="auto"/>
        <w:rPr>
          <w:sz w:val="20"/>
          <w:szCs w:val="20"/>
          <w:color w:val="auto"/>
        </w:rPr>
      </w:pPr>
      <w:r>
        <w:rPr>
          <w:rFonts w:ascii="Times New Roman" w:cs="Times New Roman" w:eastAsia="Times New Roman" w:hAnsi="Times New Roman"/>
          <w:sz w:val="16"/>
          <w:szCs w:val="16"/>
          <w:color w:val="auto"/>
        </w:rPr>
        <w:t xml:space="preserve">We are an international owner, operator and manager of LNG carriers. Our wholly-owned fleet as of November 10, 2020, consists of 18 LNG carriers, including 14 ships in operation and four LNG carriers on order at Samsung. GasLog is also the general and controlling partner in GasLog Partners, a publicly traded master limited partnership, which owns 15 LNG carriers. In addition, GasLog has leased back under a bareboat charter one vessel sold to Lepta Shipping Co., Ltd. (“Lepta Shipping”), a subsidiary of Mitsui &amp; Co., Ltd. (“Mitsui”) in February 2016, for a period of up to 20 years. In addition, on October 21, 2020, GasLog leased back under a bareboat charter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xml:space="preserve"> which was sold to Sea 190 Leasing Co. Limited., (“Sea 190 Leasing”) an indirectly owned subsidiary of CMBFL, for a period of twelve years. GasLog has the option to repurchase the vessel on pre-agreed terms no earlier than the end of year ten and no later than the end of year 17 of the bareboat charter. We currently manage and operate 31 LNG carriers including our 14 wholly-owned ships in operation, 14 of the 15 ships contributed or sold to the Partnership (the other one is managed by a subsidiary of Royal Dutch Shell plc (“Shell”)), the two bareboat vessels and one LNG carrier owned by an entity in which we have a 25% interest. We are also supervising the construction of our newbuildings.</w:t>
      </w:r>
    </w:p>
    <w:p>
      <w:pPr>
        <w:spacing w:after="0" w:line="187" w:lineRule="exact"/>
        <w:rPr>
          <w:sz w:val="20"/>
          <w:szCs w:val="20"/>
          <w:color w:val="auto"/>
        </w:rPr>
      </w:pPr>
    </w:p>
    <w:p>
      <w:pPr>
        <w:ind w:right="40" w:firstLine="324"/>
        <w:spacing w:after="0" w:line="301" w:lineRule="auto"/>
        <w:rPr>
          <w:sz w:val="20"/>
          <w:szCs w:val="20"/>
          <w:color w:val="auto"/>
        </w:rPr>
      </w:pPr>
      <w:r>
        <w:rPr>
          <w:rFonts w:ascii="Times New Roman" w:cs="Times New Roman" w:eastAsia="Times New Roman" w:hAnsi="Times New Roman"/>
          <w:sz w:val="16"/>
          <w:szCs w:val="16"/>
          <w:color w:val="auto"/>
        </w:rPr>
        <w:t xml:space="preserve">We have a 25% interest in a vessel, the </w:t>
      </w:r>
      <w:r>
        <w:rPr>
          <w:rFonts w:ascii="Times New Roman" w:cs="Times New Roman" w:eastAsia="Times New Roman" w:hAnsi="Times New Roman"/>
          <w:sz w:val="16"/>
          <w:szCs w:val="16"/>
          <w:i w:val="1"/>
          <w:iCs w:val="1"/>
          <w:color w:val="auto"/>
        </w:rPr>
        <w:t>Methane Nile Eagle</w:t>
      </w:r>
      <w:r>
        <w:rPr>
          <w:rFonts w:ascii="Times New Roman" w:cs="Times New Roman" w:eastAsia="Times New Roman" w:hAnsi="Times New Roman"/>
          <w:sz w:val="16"/>
          <w:szCs w:val="16"/>
          <w:color w:val="auto"/>
        </w:rPr>
        <w:t>, a 2007-built LNG carrier owned by Egypt LNG Shipping Ltd. (“Egypt LNG”) and technically managed by us. It is currently operating under a 20-year time charter to a subsidiary of Shell.</w:t>
      </w:r>
    </w:p>
    <w:p>
      <w:pPr>
        <w:spacing w:after="0" w:line="162" w:lineRule="exact"/>
        <w:rPr>
          <w:sz w:val="20"/>
          <w:szCs w:val="20"/>
          <w:color w:val="auto"/>
        </w:rPr>
      </w:pPr>
    </w:p>
    <w:p>
      <w:pPr>
        <w:jc w:val="both"/>
        <w:ind w:right="420" w:firstLine="324"/>
        <w:spacing w:after="0" w:line="281" w:lineRule="auto"/>
        <w:rPr>
          <w:sz w:val="20"/>
          <w:szCs w:val="20"/>
          <w:color w:val="auto"/>
        </w:rPr>
      </w:pPr>
      <w:r>
        <w:rPr>
          <w:rFonts w:ascii="Times New Roman" w:cs="Times New Roman" w:eastAsia="Times New Roman" w:hAnsi="Times New Roman"/>
          <w:sz w:val="16"/>
          <w:szCs w:val="16"/>
          <w:color w:val="auto"/>
        </w:rPr>
        <w:t>We generate revenues by chartering our ships to customers on multi-year time charters and spot/short-term charters and by providing technical ship management services, including crewing, training, maintenance, regulatory and classification compliance and health, safety, security and environmental (“HSSE”) management and reporting through our wholly-owned subsidiary GasLog LNG Services Ltd.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u w:val="single" w:color="auto"/>
          <w:color w:val="auto"/>
        </w:rPr>
        <w:t>Fleet Update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Owned Fleet</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As of November 10, 2020, our wholly-owned fleet consisted of the following vessels: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Cargo</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42"/>
        </w:trPr>
        <w:tc>
          <w:tcPr>
            <w:tcW w:w="8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880" w:type="dxa"/>
            <w:vAlign w:val="bottom"/>
            <w:gridSpan w:val="2"/>
          </w:tcPr>
          <w:p>
            <w:pPr>
              <w:ind w:left="220"/>
              <w:spacing w:after="0" w:line="143" w:lineRule="exact"/>
              <w:rPr>
                <w:sz w:val="20"/>
                <w:szCs w:val="20"/>
                <w:color w:val="auto"/>
              </w:rPr>
            </w:pPr>
            <w:r>
              <w:rPr>
                <w:rFonts w:ascii="Times New Roman" w:cs="Times New Roman" w:eastAsia="Times New Roman" w:hAnsi="Times New Roman"/>
                <w:sz w:val="13"/>
                <w:szCs w:val="13"/>
                <w:b w:val="1"/>
                <w:bCs w:val="1"/>
                <w:color w:val="auto"/>
              </w:rPr>
              <w:t>Year</w:t>
            </w:r>
          </w:p>
        </w:tc>
        <w:tc>
          <w:tcPr>
            <w:tcW w:w="88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3"/>
                <w:szCs w:val="13"/>
                <w:b w:val="1"/>
                <w:bCs w:val="1"/>
                <w:color w:val="auto"/>
                <w:w w:val="96"/>
              </w:rPr>
              <w:t>Capacity</w:t>
            </w: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180"/>
              <w:spacing w:after="0" w:line="143" w:lineRule="exact"/>
              <w:rPr>
                <w:sz w:val="20"/>
                <w:szCs w:val="20"/>
                <w:color w:val="auto"/>
              </w:rPr>
            </w:pPr>
            <w:r>
              <w:rPr>
                <w:rFonts w:ascii="Times New Roman" w:cs="Times New Roman" w:eastAsia="Times New Roman" w:hAnsi="Times New Roman"/>
                <w:sz w:val="13"/>
                <w:szCs w:val="13"/>
                <w:b w:val="1"/>
                <w:bCs w:val="1"/>
                <w:color w:val="auto"/>
              </w:rPr>
              <w:t>Charter</w:t>
            </w:r>
          </w:p>
        </w:tc>
        <w:tc>
          <w:tcPr>
            <w:tcW w:w="76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b w:val="1"/>
                <w:bCs w:val="1"/>
                <w:color w:val="auto"/>
              </w:rPr>
              <w:t>Optional</w:t>
            </w:r>
          </w:p>
        </w:tc>
      </w:tr>
      <w:tr>
        <w:trPr>
          <w:trHeight w:val="188"/>
        </w:trPr>
        <w:tc>
          <w:tcPr>
            <w:tcW w:w="88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5020" w:type="dxa"/>
            <w:vAlign w:val="bottom"/>
          </w:tcPr>
          <w:p>
            <w:pPr>
              <w:spacing w:after="0"/>
              <w:rPr>
                <w:sz w:val="16"/>
                <w:szCs w:val="16"/>
                <w:color w:val="auto"/>
              </w:rPr>
            </w:pP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Built</w:t>
            </w:r>
          </w:p>
        </w:tc>
        <w:tc>
          <w:tcPr>
            <w:tcW w:w="880" w:type="dxa"/>
            <w:vAlign w:val="bottom"/>
            <w:gridSpan w:val="2"/>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8"/>
              </w:rPr>
              <w:t>(cbm)</w:t>
            </w:r>
          </w:p>
        </w:tc>
        <w:tc>
          <w:tcPr>
            <w:tcW w:w="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5"/>
              </w:rPr>
              <w:t>Charterer</w:t>
            </w:r>
          </w:p>
        </w:tc>
        <w:tc>
          <w:tcPr>
            <w:tcW w:w="88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Propulsion</w:t>
            </w:r>
          </w:p>
        </w:tc>
        <w:tc>
          <w:tcPr>
            <w:tcW w:w="104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3"/>
                <w:szCs w:val="13"/>
                <w:b w:val="1"/>
                <w:bCs w:val="1"/>
                <w:color w:val="auto"/>
              </w:rPr>
              <w:t>Expiration</w:t>
            </w:r>
            <w:r>
              <w:rPr>
                <w:rFonts w:ascii="Times New Roman" w:cs="Times New Roman" w:eastAsia="Times New Roman" w:hAnsi="Times New Roman"/>
                <w:sz w:val="20"/>
                <w:szCs w:val="20"/>
                <w:b w:val="1"/>
                <w:bCs w:val="1"/>
                <w:color w:val="auto"/>
                <w:vertAlign w:val="superscript"/>
              </w:rPr>
              <w:t>(1)</w:t>
            </w:r>
          </w:p>
        </w:tc>
        <w:tc>
          <w:tcPr>
            <w:tcW w:w="7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3"/>
                <w:szCs w:val="13"/>
                <w:b w:val="1"/>
                <w:bCs w:val="1"/>
                <w:color w:val="auto"/>
              </w:rPr>
              <w:t>Period</w:t>
            </w:r>
            <w:r>
              <w:rPr>
                <w:rFonts w:ascii="Times New Roman" w:cs="Times New Roman" w:eastAsia="Times New Roman" w:hAnsi="Times New Roman"/>
                <w:sz w:val="20"/>
                <w:szCs w:val="20"/>
                <w:b w:val="1"/>
                <w:bCs w:val="1"/>
                <w:color w:val="auto"/>
                <w:vertAlign w:val="superscript"/>
              </w:rPr>
              <w:t>(2)</w:t>
            </w:r>
          </w:p>
        </w:tc>
      </w:tr>
      <w:tr>
        <w:trPr>
          <w:trHeight w:val="129"/>
        </w:trPr>
        <w:tc>
          <w:tcPr>
            <w:tcW w:w="880" w:type="dxa"/>
            <w:vAlign w:val="bottom"/>
            <w:tcBorders>
              <w:top w:val="single" w:sz="8" w:color="auto"/>
            </w:tcBorders>
            <w:shd w:val="clear" w:color="auto" w:fill="CCEEFF"/>
          </w:tcPr>
          <w:p>
            <w:pPr>
              <w:jc w:val="right"/>
              <w:ind w:right="157"/>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5020" w:type="dxa"/>
            <w:vAlign w:val="bottom"/>
            <w:tcBorders>
              <w:top w:val="single" w:sz="8" w:color="CCEEFF"/>
            </w:tcBorders>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Methane Lydon Volney</w:t>
            </w:r>
          </w:p>
        </w:tc>
        <w:tc>
          <w:tcPr>
            <w:tcW w:w="660" w:type="dxa"/>
            <w:vAlign w:val="bottom"/>
            <w:tcBorders>
              <w:top w:val="single" w:sz="8" w:color="auto"/>
            </w:tcBorders>
            <w:shd w:val="clear" w:color="auto" w:fill="CCEEFF"/>
          </w:tcPr>
          <w:p>
            <w:pPr>
              <w:ind w:left="420"/>
              <w:spacing w:after="0" w:line="129" w:lineRule="exact"/>
              <w:rPr>
                <w:sz w:val="20"/>
                <w:szCs w:val="20"/>
                <w:color w:val="auto"/>
              </w:rPr>
            </w:pPr>
            <w:r>
              <w:rPr>
                <w:rFonts w:ascii="Times New Roman" w:cs="Times New Roman" w:eastAsia="Times New Roman" w:hAnsi="Times New Roman"/>
                <w:sz w:val="13"/>
                <w:szCs w:val="13"/>
                <w:color w:val="auto"/>
                <w:w w:val="84"/>
              </w:rPr>
              <w:t>2006</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145,000</w:t>
            </w:r>
          </w:p>
        </w:tc>
        <w:tc>
          <w:tcPr>
            <w:tcW w:w="22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Spot Market</w:t>
            </w: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Steam</w:t>
            </w:r>
          </w:p>
        </w:tc>
        <w:tc>
          <w:tcPr>
            <w:tcW w:w="220" w:type="dxa"/>
            <w:vAlign w:val="bottom"/>
            <w:tcBorders>
              <w:top w:val="single" w:sz="8" w:color="CCEEFF"/>
            </w:tcBorders>
            <w:shd w:val="clear" w:color="auto" w:fill="CCEEFF"/>
          </w:tcPr>
          <w:p>
            <w:pPr>
              <w:spacing w:after="0"/>
              <w:rPr>
                <w:sz w:val="11"/>
                <w:szCs w:val="11"/>
                <w:color w:val="auto"/>
              </w:rPr>
            </w:pPr>
          </w:p>
        </w:tc>
        <w:tc>
          <w:tcPr>
            <w:tcW w:w="82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r>
      <w:tr>
        <w:trPr>
          <w:trHeight w:val="135"/>
        </w:trPr>
        <w:tc>
          <w:tcPr>
            <w:tcW w:w="8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Chelsea</w:t>
            </w:r>
          </w:p>
        </w:tc>
        <w:tc>
          <w:tcPr>
            <w:tcW w:w="88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2010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153,600</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Spot Market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3</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Savannah</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2010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Spot Market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4</w:t>
            </w: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Skagen</w:t>
            </w:r>
          </w:p>
        </w:tc>
        <w:tc>
          <w:tcPr>
            <w:tcW w:w="88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Spot Market</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5</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Saratoga</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Spot Market</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r>
      <w:tr>
        <w:trPr>
          <w:trHeight w:val="175"/>
        </w:trPr>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6</w:t>
            </w:r>
          </w:p>
        </w:tc>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GasLog Salem</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2015</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155,000</w:t>
            </w:r>
          </w:p>
        </w:tc>
        <w:tc>
          <w:tcPr>
            <w:tcW w:w="90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3"/>
                <w:szCs w:val="13"/>
                <w:color w:val="auto"/>
                <w:w w:val="90"/>
              </w:rPr>
              <w:t>Gunvor</w:t>
            </w:r>
            <w:r>
              <w:rPr>
                <w:rFonts w:ascii="Times New Roman" w:cs="Times New Roman" w:eastAsia="Times New Roman" w:hAnsi="Times New Roman"/>
                <w:sz w:val="20"/>
                <w:szCs w:val="20"/>
                <w:color w:val="auto"/>
                <w:w w:val="90"/>
                <w:vertAlign w:val="superscript"/>
              </w:rPr>
              <w:t>(3)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auto"/>
              </w:rPr>
              <w:t>March 2021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89"/>
        </w:trPr>
        <w:tc>
          <w:tcPr>
            <w:tcW w:w="880" w:type="dxa"/>
            <w:vAlign w:val="bottom"/>
            <w:shd w:val="clear" w:color="auto" w:fill="CCEEFF"/>
          </w:tcPr>
          <w:p>
            <w:pPr>
              <w:spacing w:after="0"/>
              <w:rPr>
                <w:sz w:val="16"/>
                <w:szCs w:val="16"/>
                <w:color w:val="auto"/>
              </w:rPr>
            </w:pPr>
          </w:p>
        </w:tc>
        <w:tc>
          <w:tcPr>
            <w:tcW w:w="50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gridSpan w:val="2"/>
            <w:shd w:val="clear" w:color="auto" w:fill="CCEEFF"/>
          </w:tcPr>
          <w:p>
            <w:pPr>
              <w:jc w:val="center"/>
              <w:ind w:right="120"/>
              <w:spacing w:after="0" w:line="189" w:lineRule="exact"/>
              <w:rPr>
                <w:sz w:val="20"/>
                <w:szCs w:val="20"/>
                <w:color w:val="auto"/>
              </w:rPr>
            </w:pPr>
            <w:r>
              <w:rPr>
                <w:rFonts w:ascii="Times New Roman" w:cs="Times New Roman" w:eastAsia="Times New Roman" w:hAnsi="Times New Roman"/>
                <w:sz w:val="13"/>
                <w:szCs w:val="13"/>
                <w:color w:val="auto"/>
                <w:w w:val="92"/>
              </w:rPr>
              <w:t>Cheniere</w:t>
            </w:r>
            <w:r>
              <w:rPr>
                <w:rFonts w:ascii="Times New Roman" w:cs="Times New Roman" w:eastAsia="Times New Roman" w:hAnsi="Times New Roman"/>
                <w:sz w:val="20"/>
                <w:szCs w:val="20"/>
                <w:color w:val="auto"/>
                <w:w w:val="92"/>
                <w:vertAlign w:val="superscript"/>
              </w:rPr>
              <w:t>(4)</w:t>
            </w:r>
          </w:p>
        </w:tc>
        <w:tc>
          <w:tcPr>
            <w:tcW w:w="6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May 2021</w:t>
            </w:r>
          </w:p>
        </w:tc>
        <w:tc>
          <w:tcPr>
            <w:tcW w:w="6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162"/>
        </w:trPr>
        <w:tc>
          <w:tcPr>
            <w:tcW w:w="880" w:type="dxa"/>
            <w:vAlign w:val="bottom"/>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7</w:t>
            </w:r>
          </w:p>
        </w:tc>
        <w:tc>
          <w:tcPr>
            <w:tcW w:w="5020" w:type="dxa"/>
            <w:vAlign w:val="bottom"/>
            <w:shd w:val="clear" w:color="auto" w:fill="CCEEFF"/>
          </w:tcPr>
          <w:p>
            <w:pPr>
              <w:spacing w:after="0"/>
              <w:rPr>
                <w:sz w:val="20"/>
                <w:szCs w:val="20"/>
                <w:color w:val="auto"/>
              </w:rPr>
            </w:pPr>
            <w:r>
              <w:rPr>
                <w:rFonts w:ascii="Times New Roman" w:cs="Times New Roman" w:eastAsia="Times New Roman" w:hAnsi="Times New Roman"/>
                <w:sz w:val="13"/>
                <w:szCs w:val="13"/>
                <w:i w:val="1"/>
                <w:iCs w:val="1"/>
                <w:color w:val="auto"/>
              </w:rPr>
              <w:t>GasLog Warsaw</w:t>
            </w:r>
          </w:p>
        </w:tc>
        <w:tc>
          <w:tcPr>
            <w:tcW w:w="880" w:type="dxa"/>
            <w:vAlign w:val="bottom"/>
            <w:gridSpan w:val="2"/>
            <w:shd w:val="clear" w:color="auto" w:fill="CCEEFF"/>
          </w:tcPr>
          <w:p>
            <w:pPr>
              <w:ind w:left="420"/>
              <w:spacing w:after="0"/>
              <w:rPr>
                <w:sz w:val="20"/>
                <w:szCs w:val="20"/>
                <w:color w:val="auto"/>
              </w:rPr>
            </w:pPr>
            <w:r>
              <w:rPr>
                <w:rFonts w:ascii="Times New Roman" w:cs="Times New Roman" w:eastAsia="Times New Roman" w:hAnsi="Times New Roman"/>
                <w:sz w:val="13"/>
                <w:szCs w:val="13"/>
                <w:color w:val="auto"/>
              </w:rPr>
              <w:t>2019</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180,000</w:t>
            </w:r>
          </w:p>
        </w:tc>
        <w:tc>
          <w:tcPr>
            <w:tcW w:w="900" w:type="dxa"/>
            <w:vAlign w:val="bottom"/>
            <w:gridSpan w:val="2"/>
            <w:shd w:val="clear" w:color="auto" w:fill="CCEEFF"/>
          </w:tcPr>
          <w:p>
            <w:pPr>
              <w:jc w:val="center"/>
              <w:ind w:right="100"/>
              <w:spacing w:after="0" w:line="162" w:lineRule="exact"/>
              <w:rPr>
                <w:sz w:val="20"/>
                <w:szCs w:val="20"/>
                <w:color w:val="auto"/>
              </w:rPr>
            </w:pPr>
            <w:r>
              <w:rPr>
                <w:rFonts w:ascii="Times New Roman" w:cs="Times New Roman" w:eastAsia="Times New Roman" w:hAnsi="Times New Roman"/>
                <w:sz w:val="12"/>
                <w:szCs w:val="12"/>
                <w:color w:val="auto"/>
                <w:w w:val="98"/>
              </w:rPr>
              <w:t>Endesa</w:t>
            </w:r>
            <w:r>
              <w:rPr>
                <w:rFonts w:ascii="Times New Roman" w:cs="Times New Roman" w:eastAsia="Times New Roman" w:hAnsi="Times New Roman"/>
                <w:sz w:val="18"/>
                <w:szCs w:val="18"/>
                <w:color w:val="auto"/>
                <w:w w:val="98"/>
                <w:vertAlign w:val="superscript"/>
              </w:rPr>
              <w:t>(5)</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3"/>
                <w:szCs w:val="13"/>
                <w:color w:val="auto"/>
              </w:rPr>
              <w:t>May 2029</w:t>
            </w: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2035-2041</w:t>
            </w:r>
          </w:p>
        </w:tc>
      </w:tr>
      <w:tr>
        <w:trPr>
          <w:trHeight w:val="135"/>
        </w:trPr>
        <w:tc>
          <w:tcPr>
            <w:tcW w:w="880" w:type="dxa"/>
            <w:vAlign w:val="bottom"/>
          </w:tcPr>
          <w:p>
            <w:pPr>
              <w:spacing w:after="0"/>
              <w:rPr>
                <w:sz w:val="11"/>
                <w:szCs w:val="11"/>
                <w:color w:val="auto"/>
              </w:rPr>
            </w:pPr>
          </w:p>
        </w:tc>
        <w:tc>
          <w:tcPr>
            <w:tcW w:w="50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8</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Genoa</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2018</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shd w:val="clear" w:color="auto" w:fill="CCEEFF"/>
          </w:tcPr>
          <w:p>
            <w:pPr>
              <w:ind w:left="200"/>
              <w:spacing w:after="0" w:line="135" w:lineRule="exact"/>
              <w:rPr>
                <w:sz w:val="20"/>
                <w:szCs w:val="20"/>
                <w:color w:val="auto"/>
              </w:rPr>
            </w:pPr>
            <w:r>
              <w:rPr>
                <w:rFonts w:ascii="Times New Roman" w:cs="Times New Roman" w:eastAsia="Times New Roman" w:hAnsi="Times New Roman"/>
                <w:sz w:val="13"/>
                <w:szCs w:val="13"/>
                <w:color w:val="auto"/>
              </w:rPr>
              <w:t>March 2027</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2030-2033</w:t>
            </w:r>
          </w:p>
        </w:tc>
      </w:tr>
      <w:tr>
        <w:trPr>
          <w:trHeight w:val="135"/>
        </w:trPr>
        <w:tc>
          <w:tcPr>
            <w:tcW w:w="8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9</w:t>
            </w: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Windsor</w:t>
            </w:r>
          </w:p>
        </w:tc>
        <w:tc>
          <w:tcPr>
            <w:tcW w:w="88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180,000</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Centrica</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April 2027</w:t>
            </w: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2029-2033</w:t>
            </w: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10</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Westminster</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180,000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5"/>
              </w:rPr>
              <w:t>Centrica</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July 2027</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2029-2033</w:t>
            </w:r>
          </w:p>
        </w:tc>
      </w:tr>
      <w:tr>
        <w:trPr>
          <w:trHeight w:val="135"/>
        </w:trPr>
        <w:tc>
          <w:tcPr>
            <w:tcW w:w="880" w:type="dxa"/>
            <w:vAlign w:val="bottom"/>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11</w:t>
            </w:r>
          </w:p>
        </w:tc>
        <w:tc>
          <w:tcPr>
            <w:tcW w:w="5020" w:type="dxa"/>
            <w:vAlign w:val="bottom"/>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Houston</w:t>
            </w:r>
          </w:p>
        </w:tc>
        <w:tc>
          <w:tcPr>
            <w:tcW w:w="880" w:type="dxa"/>
            <w:vAlign w:val="bottom"/>
            <w:gridSpan w:val="2"/>
          </w:tcPr>
          <w:p>
            <w:pPr>
              <w:ind w:left="420"/>
              <w:spacing w:after="0" w:line="135" w:lineRule="exact"/>
              <w:rPr>
                <w:sz w:val="20"/>
                <w:szCs w:val="20"/>
                <w:color w:val="auto"/>
              </w:rPr>
            </w:pPr>
            <w:r>
              <w:rPr>
                <w:rFonts w:ascii="Times New Roman" w:cs="Times New Roman" w:eastAsia="Times New Roman" w:hAnsi="Times New Roman"/>
                <w:sz w:val="13"/>
                <w:szCs w:val="13"/>
                <w:color w:val="auto"/>
              </w:rPr>
              <w:t>2018</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900" w:type="dxa"/>
            <w:vAlign w:val="bottom"/>
            <w:gridSpan w:val="2"/>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88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May 2028</w:t>
            </w: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2031-2034</w:t>
            </w: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12</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Gladstone</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2019</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January 2029</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2032-2035</w:t>
            </w:r>
          </w:p>
        </w:tc>
      </w:tr>
      <w:tr>
        <w:trPr>
          <w:trHeight w:val="117"/>
        </w:trPr>
        <w:tc>
          <w:tcPr>
            <w:tcW w:w="880" w:type="dxa"/>
            <w:vAlign w:val="bottom"/>
          </w:tcPr>
          <w:p>
            <w:pPr>
              <w:spacing w:after="0"/>
              <w:rPr>
                <w:sz w:val="10"/>
                <w:szCs w:val="10"/>
                <w:color w:val="auto"/>
              </w:rPr>
            </w:pPr>
          </w:p>
        </w:tc>
        <w:tc>
          <w:tcPr>
            <w:tcW w:w="50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00" w:type="dxa"/>
            <w:vAlign w:val="bottom"/>
            <w:gridSpan w:val="2"/>
          </w:tcPr>
          <w:p>
            <w:pPr>
              <w:jc w:val="center"/>
              <w:ind w:right="120"/>
              <w:spacing w:after="0" w:line="117" w:lineRule="exact"/>
              <w:rPr>
                <w:sz w:val="20"/>
                <w:szCs w:val="20"/>
                <w:color w:val="auto"/>
              </w:rPr>
            </w:pPr>
            <w:r>
              <w:rPr>
                <w:rFonts w:ascii="Times New Roman" w:cs="Times New Roman" w:eastAsia="Times New Roman" w:hAnsi="Times New Roman"/>
                <w:sz w:val="13"/>
                <w:szCs w:val="13"/>
                <w:color w:val="auto"/>
                <w:w w:val="95"/>
              </w:rPr>
              <w:t>Spot Market</w:t>
            </w: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2"/>
        </w:trPr>
        <w:tc>
          <w:tcPr>
            <w:tcW w:w="880" w:type="dxa"/>
            <w:vAlign w:val="bottom"/>
          </w:tcPr>
          <w:p>
            <w:pPr>
              <w:spacing w:after="0"/>
              <w:rPr>
                <w:sz w:val="12"/>
                <w:szCs w:val="12"/>
                <w:color w:val="auto"/>
              </w:rPr>
            </w:pPr>
          </w:p>
        </w:tc>
        <w:tc>
          <w:tcPr>
            <w:tcW w:w="50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gridSpan w:val="2"/>
          </w:tcPr>
          <w:p>
            <w:pPr>
              <w:jc w:val="center"/>
              <w:ind w:right="120"/>
              <w:spacing w:after="0" w:line="143" w:lineRule="exact"/>
              <w:rPr>
                <w:sz w:val="20"/>
                <w:szCs w:val="20"/>
                <w:color w:val="auto"/>
              </w:rPr>
            </w:pPr>
            <w:r>
              <w:rPr>
                <w:rFonts w:ascii="Times New Roman" w:cs="Times New Roman" w:eastAsia="Times New Roman" w:hAnsi="Times New Roman"/>
                <w:sz w:val="13"/>
                <w:szCs w:val="13"/>
                <w:color w:val="auto"/>
                <w:w w:val="95"/>
              </w:rPr>
              <w:t>Sinolam LNG</w:t>
            </w:r>
          </w:p>
        </w:tc>
        <w:tc>
          <w:tcPr>
            <w:tcW w:w="6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2"/>
          </w:tcPr>
          <w:p>
            <w:pPr>
              <w:ind w:left="400"/>
              <w:spacing w:after="0" w:line="143" w:lineRule="exact"/>
              <w:rPr>
                <w:sz w:val="20"/>
                <w:szCs w:val="20"/>
                <w:color w:val="auto"/>
              </w:rPr>
            </w:pPr>
            <w:r>
              <w:rPr>
                <w:rFonts w:ascii="Times New Roman" w:cs="Times New Roman" w:eastAsia="Times New Roman" w:hAnsi="Times New Roman"/>
                <w:sz w:val="13"/>
                <w:szCs w:val="13"/>
                <w:color w:val="auto"/>
              </w:rPr>
              <w:t>—</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159"/>
        </w:trPr>
        <w:tc>
          <w:tcPr>
            <w:tcW w:w="88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13</w:t>
            </w:r>
          </w:p>
        </w:tc>
        <w:tc>
          <w:tcPr>
            <w:tcW w:w="5020" w:type="dxa"/>
            <w:vAlign w:val="bottom"/>
          </w:tcPr>
          <w:p>
            <w:pPr>
              <w:spacing w:after="0"/>
              <w:rPr>
                <w:sz w:val="20"/>
                <w:szCs w:val="20"/>
                <w:color w:val="auto"/>
              </w:rPr>
            </w:pPr>
            <w:r>
              <w:rPr>
                <w:rFonts w:ascii="Times New Roman" w:cs="Times New Roman" w:eastAsia="Times New Roman" w:hAnsi="Times New Roman"/>
                <w:sz w:val="13"/>
                <w:szCs w:val="13"/>
                <w:i w:val="1"/>
                <w:iCs w:val="1"/>
                <w:color w:val="auto"/>
              </w:rPr>
              <w:t>GasLog Singapore</w:t>
            </w:r>
          </w:p>
        </w:tc>
        <w:tc>
          <w:tcPr>
            <w:tcW w:w="880" w:type="dxa"/>
            <w:vAlign w:val="bottom"/>
            <w:gridSpan w:val="2"/>
          </w:tcPr>
          <w:p>
            <w:pPr>
              <w:ind w:left="420"/>
              <w:spacing w:after="0"/>
              <w:rPr>
                <w:sz w:val="20"/>
                <w:szCs w:val="20"/>
                <w:color w:val="auto"/>
              </w:rPr>
            </w:pPr>
            <w:r>
              <w:rPr>
                <w:rFonts w:ascii="Times New Roman" w:cs="Times New Roman" w:eastAsia="Times New Roman" w:hAnsi="Times New Roman"/>
                <w:sz w:val="13"/>
                <w:szCs w:val="13"/>
                <w:color w:val="auto"/>
              </w:rPr>
              <w:t>2010</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155,000</w:t>
            </w:r>
          </w:p>
        </w:tc>
        <w:tc>
          <w:tcPr>
            <w:tcW w:w="780" w:type="dxa"/>
            <w:vAlign w:val="bottom"/>
          </w:tcPr>
          <w:p>
            <w:pPr>
              <w:jc w:val="center"/>
              <w:spacing w:after="0"/>
              <w:rPr>
                <w:sz w:val="20"/>
                <w:szCs w:val="20"/>
                <w:color w:val="auto"/>
              </w:rPr>
            </w:pPr>
            <w:r>
              <w:rPr>
                <w:rFonts w:ascii="Times New Roman" w:cs="Times New Roman" w:eastAsia="Times New Roman" w:hAnsi="Times New Roman"/>
                <w:sz w:val="10"/>
                <w:szCs w:val="10"/>
                <w:color w:val="auto"/>
              </w:rPr>
              <w:t>(6)</w:t>
            </w:r>
          </w:p>
        </w:tc>
        <w:tc>
          <w:tcPr>
            <w:tcW w:w="120" w:type="dxa"/>
            <w:vAlign w:val="bottom"/>
          </w:tcPr>
          <w:p>
            <w:pPr>
              <w:spacing w:after="0"/>
              <w:rPr>
                <w:sz w:val="13"/>
                <w:szCs w:val="13"/>
                <w:color w:val="auto"/>
              </w:rPr>
            </w:pP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color w:val="auto"/>
              </w:rPr>
              <w:t>TFDE</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color w:val="auto"/>
              </w:rPr>
              <w:t>April 2031</w:t>
            </w: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r>
      <w:tr>
        <w:trPr>
          <w:trHeight w:val="135"/>
        </w:trPr>
        <w:tc>
          <w:tcPr>
            <w:tcW w:w="880" w:type="dxa"/>
            <w:vAlign w:val="bottom"/>
            <w:shd w:val="clear" w:color="auto" w:fill="CCEEFF"/>
          </w:tcPr>
          <w:p>
            <w:pPr>
              <w:jc w:val="right"/>
              <w:ind w:right="157"/>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5020" w:type="dxa"/>
            <w:vAlign w:val="bottom"/>
            <w:shd w:val="clear" w:color="auto" w:fill="CCEEFF"/>
          </w:tcPr>
          <w:p>
            <w:pPr>
              <w:spacing w:after="0" w:line="135" w:lineRule="exact"/>
              <w:rPr>
                <w:sz w:val="20"/>
                <w:szCs w:val="20"/>
                <w:color w:val="auto"/>
              </w:rPr>
            </w:pPr>
            <w:r>
              <w:rPr>
                <w:rFonts w:ascii="Times New Roman" w:cs="Times New Roman" w:eastAsia="Times New Roman" w:hAnsi="Times New Roman"/>
                <w:sz w:val="13"/>
                <w:szCs w:val="13"/>
                <w:i w:val="1"/>
                <w:iCs w:val="1"/>
                <w:color w:val="auto"/>
              </w:rPr>
              <w:t>GasLog Wales</w:t>
            </w:r>
          </w:p>
        </w:tc>
        <w:tc>
          <w:tcPr>
            <w:tcW w:w="880" w:type="dxa"/>
            <w:vAlign w:val="bottom"/>
            <w:gridSpan w:val="2"/>
            <w:shd w:val="clear" w:color="auto" w:fill="CCEEFF"/>
          </w:tcPr>
          <w:p>
            <w:pPr>
              <w:ind w:left="420"/>
              <w:spacing w:after="0" w:line="135" w:lineRule="exact"/>
              <w:rPr>
                <w:sz w:val="20"/>
                <w:szCs w:val="20"/>
                <w:color w:val="auto"/>
              </w:rPr>
            </w:pPr>
            <w:r>
              <w:rPr>
                <w:rFonts w:ascii="Times New Roman" w:cs="Times New Roman" w:eastAsia="Times New Roman" w:hAnsi="Times New Roman"/>
                <w:sz w:val="13"/>
                <w:szCs w:val="13"/>
                <w:color w:val="auto"/>
              </w:rPr>
              <w:t>2020</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180,000</w:t>
            </w:r>
          </w:p>
        </w:tc>
        <w:tc>
          <w:tcPr>
            <w:tcW w:w="900" w:type="dxa"/>
            <w:vAlign w:val="bottom"/>
            <w:gridSpan w:val="2"/>
            <w:shd w:val="clear" w:color="auto" w:fill="CCEEFF"/>
          </w:tcPr>
          <w:p>
            <w:pPr>
              <w:jc w:val="center"/>
              <w:ind w:right="120"/>
              <w:spacing w:after="0" w:line="135" w:lineRule="exact"/>
              <w:rPr>
                <w:sz w:val="20"/>
                <w:szCs w:val="20"/>
                <w:color w:val="auto"/>
              </w:rPr>
            </w:pPr>
            <w:r>
              <w:rPr>
                <w:rFonts w:ascii="Times New Roman" w:cs="Times New Roman" w:eastAsia="Times New Roman" w:hAnsi="Times New Roman"/>
                <w:sz w:val="13"/>
                <w:szCs w:val="13"/>
                <w:color w:val="auto"/>
                <w:w w:val="96"/>
              </w:rPr>
              <w:t>JERA</w:t>
            </w:r>
          </w:p>
        </w:tc>
        <w:tc>
          <w:tcPr>
            <w:tcW w:w="88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X-DF</w:t>
            </w:r>
          </w:p>
        </w:tc>
        <w:tc>
          <w:tcPr>
            <w:tcW w:w="1040" w:type="dxa"/>
            <w:vAlign w:val="bottom"/>
            <w:gridSpan w:val="2"/>
            <w:shd w:val="clear" w:color="auto" w:fill="CCEEFF"/>
          </w:tcPr>
          <w:p>
            <w:pPr>
              <w:jc w:val="right"/>
              <w:ind w:right="220"/>
              <w:spacing w:after="0" w:line="135" w:lineRule="exact"/>
              <w:rPr>
                <w:sz w:val="20"/>
                <w:szCs w:val="20"/>
                <w:color w:val="auto"/>
              </w:rPr>
            </w:pPr>
            <w:r>
              <w:rPr>
                <w:rFonts w:ascii="Times New Roman" w:cs="Times New Roman" w:eastAsia="Times New Roman" w:hAnsi="Times New Roman"/>
                <w:sz w:val="13"/>
                <w:szCs w:val="13"/>
                <w:color w:val="auto"/>
              </w:rPr>
              <w:t>March 2032</w:t>
            </w: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2035-2038</w:t>
            </w: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50" w:orient="portrait"/>
          <w:cols w:equalWidth="0" w:num="1">
            <w:col w:w="11240"/>
          </w:cols>
          <w:pgMar w:left="320" w:top="905" w:right="339" w:bottom="0" w:gutter="0" w:footer="0" w:header="0"/>
        </w:sectPr>
      </w:pPr>
    </w:p>
    <w:bookmarkStart w:id="17" w:name="page18"/>
    <w:bookmarkEnd w:id="17"/>
    <w:p>
      <w:pPr>
        <w:ind w:left="340"/>
        <w:spacing w:after="0"/>
        <w:rPr>
          <w:sz w:val="20"/>
          <w:szCs w:val="20"/>
          <w:color w:val="auto"/>
        </w:rPr>
      </w:pPr>
      <w:r>
        <w:rPr>
          <w:rFonts w:ascii="Times New Roman" w:cs="Times New Roman" w:eastAsia="Times New Roman" w:hAnsi="Times New Roman"/>
          <w:sz w:val="16"/>
          <w:szCs w:val="16"/>
          <w:color w:val="auto"/>
        </w:rPr>
        <w:t>As of November 10, 2020, the Partnership’s fleet consisted of the following vessels: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7"/>
              </w:rPr>
              <w:t>Cargo</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40" w:type="dxa"/>
            <w:vAlign w:val="bottom"/>
            <w:gridSpan w:val="4"/>
          </w:tcPr>
          <w:p>
            <w:pPr>
              <w:ind w:left="180"/>
              <w:spacing w:after="0" w:line="143" w:lineRule="exact"/>
              <w:rPr>
                <w:sz w:val="20"/>
                <w:szCs w:val="20"/>
                <w:color w:val="auto"/>
              </w:rPr>
            </w:pPr>
            <w:r>
              <w:rPr>
                <w:rFonts w:ascii="Times New Roman" w:cs="Times New Roman" w:eastAsia="Times New Roman" w:hAnsi="Times New Roman"/>
                <w:sz w:val="13"/>
                <w:szCs w:val="13"/>
                <w:b w:val="1"/>
                <w:bCs w:val="1"/>
                <w:color w:val="auto"/>
              </w:rPr>
              <w:t>Year</w:t>
            </w:r>
          </w:p>
        </w:tc>
        <w:tc>
          <w:tcPr>
            <w:tcW w:w="640" w:type="dxa"/>
            <w:vAlign w:val="bottom"/>
            <w:gridSpan w:val="4"/>
          </w:tcPr>
          <w:p>
            <w:pPr>
              <w:jc w:val="center"/>
              <w:ind w:right="160"/>
              <w:spacing w:after="0" w:line="143" w:lineRule="exact"/>
              <w:rPr>
                <w:sz w:val="20"/>
                <w:szCs w:val="20"/>
                <w:color w:val="auto"/>
              </w:rPr>
            </w:pPr>
            <w:r>
              <w:rPr>
                <w:rFonts w:ascii="Times New Roman" w:cs="Times New Roman" w:eastAsia="Times New Roman" w:hAnsi="Times New Roman"/>
                <w:sz w:val="13"/>
                <w:szCs w:val="13"/>
                <w:b w:val="1"/>
                <w:bCs w:val="1"/>
                <w:color w:val="auto"/>
                <w:w w:val="96"/>
              </w:rPr>
              <w:t>Capacity</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40" w:type="dxa"/>
            <w:vAlign w:val="bottom"/>
            <w:gridSpan w:val="3"/>
          </w:tcPr>
          <w:p>
            <w:pPr>
              <w:ind w:left="260"/>
              <w:spacing w:after="0" w:line="143" w:lineRule="exact"/>
              <w:rPr>
                <w:sz w:val="20"/>
                <w:szCs w:val="20"/>
                <w:color w:val="auto"/>
              </w:rPr>
            </w:pPr>
            <w:r>
              <w:rPr>
                <w:rFonts w:ascii="Times New Roman" w:cs="Times New Roman" w:eastAsia="Times New Roman" w:hAnsi="Times New Roman"/>
                <w:sz w:val="13"/>
                <w:szCs w:val="13"/>
                <w:b w:val="1"/>
                <w:bCs w:val="1"/>
                <w:color w:val="auto"/>
              </w:rPr>
              <w:t>Charter</w:t>
            </w:r>
          </w:p>
        </w:tc>
        <w:tc>
          <w:tcPr>
            <w:tcW w:w="120" w:type="dxa"/>
            <w:vAlign w:val="bottom"/>
          </w:tcPr>
          <w:p>
            <w:pPr>
              <w:spacing w:after="0"/>
              <w:rPr>
                <w:sz w:val="12"/>
                <w:szCs w:val="12"/>
                <w:color w:val="auto"/>
              </w:rPr>
            </w:pPr>
          </w:p>
        </w:tc>
        <w:tc>
          <w:tcPr>
            <w:tcW w:w="760" w:type="dxa"/>
            <w:vAlign w:val="bottom"/>
            <w:gridSpan w:val="2"/>
          </w:tcPr>
          <w:p>
            <w:pPr>
              <w:ind w:left="80"/>
              <w:spacing w:after="0" w:line="143" w:lineRule="exact"/>
              <w:rPr>
                <w:sz w:val="20"/>
                <w:szCs w:val="20"/>
                <w:color w:val="auto"/>
              </w:rPr>
            </w:pPr>
            <w:r>
              <w:rPr>
                <w:rFonts w:ascii="Times New Roman" w:cs="Times New Roman" w:eastAsia="Times New Roman" w:hAnsi="Times New Roman"/>
                <w:sz w:val="13"/>
                <w:szCs w:val="13"/>
                <w:b w:val="1"/>
                <w:bCs w:val="1"/>
                <w:color w:val="auto"/>
              </w:rPr>
              <w:t>Optional</w:t>
            </w:r>
          </w:p>
        </w:tc>
        <w:tc>
          <w:tcPr>
            <w:tcW w:w="0" w:type="dxa"/>
            <w:vAlign w:val="bottom"/>
          </w:tcPr>
          <w:p>
            <w:pPr>
              <w:spacing w:after="0"/>
              <w:rPr>
                <w:sz w:val="1"/>
                <w:szCs w:val="1"/>
                <w:color w:val="auto"/>
              </w:rPr>
            </w:pPr>
          </w:p>
        </w:tc>
      </w:tr>
      <w:tr>
        <w:trPr>
          <w:trHeight w:val="188"/>
        </w:trPr>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Vessel Name</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1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gridSpan w:val="4"/>
          </w:tcPr>
          <w:p>
            <w:pPr>
              <w:ind w:left="180"/>
              <w:spacing w:after="0"/>
              <w:rPr>
                <w:sz w:val="20"/>
                <w:szCs w:val="20"/>
                <w:color w:val="auto"/>
              </w:rPr>
            </w:pPr>
            <w:r>
              <w:rPr>
                <w:rFonts w:ascii="Times New Roman" w:cs="Times New Roman" w:eastAsia="Times New Roman" w:hAnsi="Times New Roman"/>
                <w:sz w:val="13"/>
                <w:szCs w:val="13"/>
                <w:b w:val="1"/>
                <w:bCs w:val="1"/>
                <w:color w:val="auto"/>
              </w:rPr>
              <w:t>Built</w:t>
            </w:r>
          </w:p>
        </w:tc>
        <w:tc>
          <w:tcPr>
            <w:tcW w:w="60" w:type="dxa"/>
            <w:vAlign w:val="bottom"/>
          </w:tcPr>
          <w:p>
            <w:pPr>
              <w:spacing w:after="0"/>
              <w:rPr>
                <w:sz w:val="16"/>
                <w:szCs w:val="16"/>
                <w:color w:val="auto"/>
              </w:rPr>
            </w:pPr>
          </w:p>
        </w:tc>
        <w:tc>
          <w:tcPr>
            <w:tcW w:w="580" w:type="dxa"/>
            <w:vAlign w:val="bottom"/>
            <w:gridSpan w:val="3"/>
          </w:tcPr>
          <w:p>
            <w:pPr>
              <w:jc w:val="center"/>
              <w:ind w:right="200"/>
              <w:spacing w:after="0"/>
              <w:rPr>
                <w:sz w:val="20"/>
                <w:szCs w:val="20"/>
                <w:color w:val="auto"/>
              </w:rPr>
            </w:pPr>
            <w:r>
              <w:rPr>
                <w:rFonts w:ascii="Times New Roman" w:cs="Times New Roman" w:eastAsia="Times New Roman" w:hAnsi="Times New Roman"/>
                <w:sz w:val="13"/>
                <w:szCs w:val="13"/>
                <w:b w:val="1"/>
                <w:bCs w:val="1"/>
                <w:color w:val="auto"/>
                <w:w w:val="92"/>
              </w:rPr>
              <w:t>(cbm)</w:t>
            </w:r>
          </w:p>
        </w:tc>
        <w:tc>
          <w:tcPr>
            <w:tcW w:w="160" w:type="dxa"/>
            <w:vAlign w:val="bottom"/>
          </w:tcPr>
          <w:p>
            <w:pPr>
              <w:spacing w:after="0"/>
              <w:rPr>
                <w:sz w:val="16"/>
                <w:szCs w:val="16"/>
                <w:color w:val="auto"/>
              </w:rPr>
            </w:pPr>
          </w:p>
        </w:tc>
        <w:tc>
          <w:tcPr>
            <w:tcW w:w="780" w:type="dxa"/>
            <w:vAlign w:val="bottom"/>
            <w:gridSpan w:val="3"/>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Charterer</w:t>
            </w:r>
          </w:p>
        </w:tc>
        <w:tc>
          <w:tcPr>
            <w:tcW w:w="100" w:type="dxa"/>
            <w:vAlign w:val="bottom"/>
          </w:tcPr>
          <w:p>
            <w:pPr>
              <w:spacing w:after="0"/>
              <w:rPr>
                <w:sz w:val="16"/>
                <w:szCs w:val="16"/>
                <w:color w:val="auto"/>
              </w:rPr>
            </w:pPr>
          </w:p>
        </w:tc>
        <w:tc>
          <w:tcPr>
            <w:tcW w:w="680" w:type="dxa"/>
            <w:vAlign w:val="bottom"/>
            <w:gridSpan w:val="4"/>
          </w:tcPr>
          <w:p>
            <w:pPr>
              <w:ind w:left="40"/>
              <w:spacing w:after="0"/>
              <w:rPr>
                <w:sz w:val="20"/>
                <w:szCs w:val="20"/>
                <w:color w:val="auto"/>
              </w:rPr>
            </w:pPr>
            <w:r>
              <w:rPr>
                <w:rFonts w:ascii="Times New Roman" w:cs="Times New Roman" w:eastAsia="Times New Roman" w:hAnsi="Times New Roman"/>
                <w:sz w:val="13"/>
                <w:szCs w:val="13"/>
                <w:b w:val="1"/>
                <w:bCs w:val="1"/>
                <w:color w:val="auto"/>
              </w:rPr>
              <w:t>Propulsion</w:t>
            </w:r>
          </w:p>
        </w:tc>
        <w:tc>
          <w:tcPr>
            <w:tcW w:w="200" w:type="dxa"/>
            <w:vAlign w:val="bottom"/>
          </w:tcPr>
          <w:p>
            <w:pPr>
              <w:spacing w:after="0"/>
              <w:rPr>
                <w:sz w:val="16"/>
                <w:szCs w:val="16"/>
                <w:color w:val="auto"/>
              </w:rPr>
            </w:pPr>
          </w:p>
        </w:tc>
        <w:tc>
          <w:tcPr>
            <w:tcW w:w="1040" w:type="dxa"/>
            <w:vAlign w:val="bottom"/>
            <w:gridSpan w:val="3"/>
          </w:tcPr>
          <w:p>
            <w:pPr>
              <w:jc w:val="right"/>
              <w:ind w:right="220"/>
              <w:spacing w:after="0" w:line="188" w:lineRule="exact"/>
              <w:rPr>
                <w:sz w:val="20"/>
                <w:szCs w:val="20"/>
                <w:color w:val="auto"/>
              </w:rPr>
            </w:pPr>
            <w:r>
              <w:rPr>
                <w:rFonts w:ascii="Times New Roman" w:cs="Times New Roman" w:eastAsia="Times New Roman" w:hAnsi="Times New Roman"/>
                <w:sz w:val="13"/>
                <w:szCs w:val="13"/>
                <w:b w:val="1"/>
                <w:bCs w:val="1"/>
                <w:color w:val="auto"/>
              </w:rPr>
              <w:t>Expiration</w:t>
            </w:r>
            <w:r>
              <w:rPr>
                <w:rFonts w:ascii="Times New Roman" w:cs="Times New Roman" w:eastAsia="Times New Roman" w:hAnsi="Times New Roman"/>
                <w:sz w:val="20"/>
                <w:szCs w:val="20"/>
                <w:b w:val="1"/>
                <w:bCs w:val="1"/>
                <w:color w:val="auto"/>
                <w:vertAlign w:val="superscript"/>
              </w:rPr>
              <w:t>(1)</w:t>
            </w:r>
          </w:p>
        </w:tc>
        <w:tc>
          <w:tcPr>
            <w:tcW w:w="120" w:type="dxa"/>
            <w:vAlign w:val="bottom"/>
          </w:tcPr>
          <w:p>
            <w:pPr>
              <w:spacing w:after="0"/>
              <w:rPr>
                <w:sz w:val="16"/>
                <w:szCs w:val="16"/>
                <w:color w:val="auto"/>
              </w:rPr>
            </w:pPr>
          </w:p>
        </w:tc>
        <w:tc>
          <w:tcPr>
            <w:tcW w:w="76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3"/>
                <w:szCs w:val="13"/>
                <w:b w:val="1"/>
                <w:bCs w:val="1"/>
                <w:color w:val="auto"/>
              </w:rPr>
              <w:t>Period</w:t>
            </w:r>
            <w:r>
              <w:rPr>
                <w:rFonts w:ascii="Times New Roman" w:cs="Times New Roman" w:eastAsia="Times New Roman" w:hAnsi="Times New Roman"/>
                <w:sz w:val="20"/>
                <w:szCs w:val="20"/>
                <w:b w:val="1"/>
                <w:bCs w:val="1"/>
                <w:color w:val="auto"/>
                <w:vertAlign w:val="superscript"/>
              </w:rPr>
              <w:t>(2)</w:t>
            </w:r>
          </w:p>
        </w:tc>
        <w:tc>
          <w:tcPr>
            <w:tcW w:w="0" w:type="dxa"/>
            <w:vAlign w:val="bottom"/>
          </w:tcPr>
          <w:p>
            <w:pPr>
              <w:spacing w:after="0"/>
              <w:rPr>
                <w:sz w:val="1"/>
                <w:szCs w:val="1"/>
                <w:color w:val="auto"/>
              </w:rPr>
            </w:pPr>
          </w:p>
        </w:tc>
      </w:tr>
      <w:tr>
        <w:trPr>
          <w:trHeight w:val="128"/>
        </w:trPr>
        <w:tc>
          <w:tcPr>
            <w:tcW w:w="820" w:type="dxa"/>
            <w:vAlign w:val="bottom"/>
            <w:tcBorders>
              <w:top w:val="single" w:sz="8" w:color="auto"/>
            </w:tcBorders>
            <w:shd w:val="clear" w:color="auto" w:fill="CCEEFF"/>
          </w:tcPr>
          <w:p>
            <w:pPr>
              <w:jc w:val="right"/>
              <w:ind w:right="113"/>
              <w:spacing w:after="0" w:line="129" w:lineRule="exact"/>
              <w:rPr>
                <w:sz w:val="20"/>
                <w:szCs w:val="20"/>
                <w:color w:val="auto"/>
              </w:rPr>
            </w:pPr>
            <w:r>
              <w:rPr>
                <w:rFonts w:ascii="Times New Roman" w:cs="Times New Roman" w:eastAsia="Times New Roman" w:hAnsi="Times New Roman"/>
                <w:sz w:val="13"/>
                <w:szCs w:val="13"/>
                <w:b w:val="1"/>
                <w:bCs w:val="1"/>
                <w:color w:val="auto"/>
              </w:rPr>
              <w:t>1</w:t>
            </w:r>
          </w:p>
        </w:tc>
        <w:tc>
          <w:tcPr>
            <w:tcW w:w="40" w:type="dxa"/>
            <w:vAlign w:val="bottom"/>
            <w:tcBorders>
              <w:top w:val="single" w:sz="8" w:color="auto"/>
            </w:tcBorders>
            <w:shd w:val="clear" w:color="auto" w:fill="CCEEFF"/>
          </w:tcPr>
          <w:p>
            <w:pPr>
              <w:spacing w:after="0"/>
              <w:rPr>
                <w:sz w:val="11"/>
                <w:szCs w:val="11"/>
                <w:color w:val="auto"/>
              </w:rPr>
            </w:pPr>
          </w:p>
        </w:tc>
        <w:tc>
          <w:tcPr>
            <w:tcW w:w="4220" w:type="dxa"/>
            <w:vAlign w:val="bottom"/>
            <w:tcBorders>
              <w:top w:val="single" w:sz="8" w:color="CCEEFF"/>
            </w:tcBorders>
            <w:gridSpan w:val="2"/>
            <w:shd w:val="clear" w:color="auto" w:fill="CCEEFF"/>
          </w:tcPr>
          <w:p>
            <w:pPr>
              <w:spacing w:after="0" w:line="129" w:lineRule="exact"/>
              <w:rPr>
                <w:sz w:val="20"/>
                <w:szCs w:val="20"/>
                <w:color w:val="auto"/>
              </w:rPr>
            </w:pPr>
            <w:r>
              <w:rPr>
                <w:rFonts w:ascii="Times New Roman" w:cs="Times New Roman" w:eastAsia="Times New Roman" w:hAnsi="Times New Roman"/>
                <w:sz w:val="13"/>
                <w:szCs w:val="13"/>
                <w:i w:val="1"/>
                <w:iCs w:val="1"/>
                <w:color w:val="auto"/>
              </w:rPr>
              <w:t>Methane Rita Andrea</w:t>
            </w:r>
          </w:p>
        </w:tc>
        <w:tc>
          <w:tcPr>
            <w:tcW w:w="720" w:type="dxa"/>
            <w:vAlign w:val="bottom"/>
            <w:tcBorders>
              <w:top w:val="single" w:sz="8" w:color="CCEEFF"/>
            </w:tcBorders>
            <w:shd w:val="clear" w:color="auto" w:fill="CCEEFF"/>
          </w:tcPr>
          <w:p>
            <w:pPr>
              <w:spacing w:after="0"/>
              <w:rPr>
                <w:sz w:val="11"/>
                <w:szCs w:val="11"/>
                <w:color w:val="auto"/>
              </w:rPr>
            </w:pPr>
          </w:p>
        </w:tc>
        <w:tc>
          <w:tcPr>
            <w:tcW w:w="20" w:type="dxa"/>
            <w:vAlign w:val="bottom"/>
            <w:tcBorders>
              <w:top w:val="single" w:sz="8" w:color="auto"/>
            </w:tcBorders>
            <w:shd w:val="clear" w:color="auto" w:fill="CCEEFF"/>
          </w:tcPr>
          <w:p>
            <w:pPr>
              <w:spacing w:after="0"/>
              <w:rPr>
                <w:sz w:val="11"/>
                <w:szCs w:val="11"/>
                <w:color w:val="auto"/>
              </w:rPr>
            </w:pPr>
          </w:p>
        </w:tc>
        <w:tc>
          <w:tcPr>
            <w:tcW w:w="640" w:type="dxa"/>
            <w:vAlign w:val="bottom"/>
            <w:tcBorders>
              <w:top w:val="single" w:sz="8" w:color="auto"/>
            </w:tcBorders>
            <w:gridSpan w:val="2"/>
            <w:shd w:val="clear" w:color="auto" w:fill="CCEEFF"/>
          </w:tcPr>
          <w:p>
            <w:pPr>
              <w:ind w:left="380"/>
              <w:spacing w:after="0" w:line="129" w:lineRule="exact"/>
              <w:rPr>
                <w:sz w:val="20"/>
                <w:szCs w:val="20"/>
                <w:color w:val="auto"/>
              </w:rPr>
            </w:pPr>
            <w:r>
              <w:rPr>
                <w:rFonts w:ascii="Times New Roman" w:cs="Times New Roman" w:eastAsia="Times New Roman" w:hAnsi="Times New Roman"/>
                <w:sz w:val="13"/>
                <w:szCs w:val="13"/>
                <w:color w:val="auto"/>
                <w:w w:val="92"/>
              </w:rPr>
              <w:t>2006</w:t>
            </w:r>
          </w:p>
        </w:tc>
        <w:tc>
          <w:tcPr>
            <w:tcW w:w="220" w:type="dxa"/>
            <w:vAlign w:val="bottom"/>
            <w:tcBorders>
              <w:top w:val="single" w:sz="8" w:color="CCEEFF"/>
            </w:tcBorders>
            <w:shd w:val="clear" w:color="auto" w:fill="CCEEFF"/>
          </w:tcPr>
          <w:p>
            <w:pPr>
              <w:spacing w:after="0"/>
              <w:rPr>
                <w:sz w:val="11"/>
                <w:szCs w:val="11"/>
                <w:color w:val="auto"/>
              </w:rPr>
            </w:pPr>
          </w:p>
        </w:tc>
        <w:tc>
          <w:tcPr>
            <w:tcW w:w="80" w:type="dxa"/>
            <w:vAlign w:val="bottom"/>
            <w:tcBorders>
              <w:top w:val="single" w:sz="8" w:color="auto"/>
            </w:tcBorders>
            <w:shd w:val="clear" w:color="auto" w:fill="CCEEFF"/>
          </w:tcPr>
          <w:p>
            <w:pPr>
              <w:spacing w:after="0"/>
              <w:rPr>
                <w:sz w:val="11"/>
                <w:szCs w:val="11"/>
                <w:color w:val="auto"/>
              </w:rPr>
            </w:pPr>
          </w:p>
        </w:tc>
        <w:tc>
          <w:tcPr>
            <w:tcW w:w="60" w:type="dxa"/>
            <w:vAlign w:val="bottom"/>
            <w:tcBorders>
              <w:top w:val="single" w:sz="8" w:color="auto"/>
            </w:tcBorders>
            <w:shd w:val="clear" w:color="auto" w:fill="CCEEFF"/>
          </w:tcPr>
          <w:p>
            <w:pPr>
              <w:spacing w:after="0"/>
              <w:rPr>
                <w:sz w:val="11"/>
                <w:szCs w:val="11"/>
                <w:color w:val="auto"/>
              </w:rPr>
            </w:pPr>
          </w:p>
        </w:tc>
        <w:tc>
          <w:tcPr>
            <w:tcW w:w="52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145,000</w:t>
            </w:r>
          </w:p>
        </w:tc>
        <w:tc>
          <w:tcPr>
            <w:tcW w:w="60" w:type="dxa"/>
            <w:vAlign w:val="bottom"/>
            <w:tcBorders>
              <w:top w:val="single" w:sz="8" w:color="CCEEFF"/>
            </w:tcBorders>
            <w:shd w:val="clear" w:color="auto" w:fill="CCEEFF"/>
          </w:tcPr>
          <w:p>
            <w:pPr>
              <w:spacing w:after="0"/>
              <w:rPr>
                <w:sz w:val="11"/>
                <w:szCs w:val="11"/>
                <w:color w:val="auto"/>
              </w:rPr>
            </w:pPr>
          </w:p>
        </w:tc>
        <w:tc>
          <w:tcPr>
            <w:tcW w:w="160" w:type="dxa"/>
            <w:vAlign w:val="bottom"/>
            <w:tcBorders>
              <w:top w:val="single" w:sz="8" w:color="CCEEFF"/>
            </w:tcBorders>
            <w:shd w:val="clear" w:color="auto" w:fill="CCEEFF"/>
          </w:tcPr>
          <w:p>
            <w:pPr>
              <w:spacing w:after="0"/>
              <w:rPr>
                <w:sz w:val="11"/>
                <w:szCs w:val="11"/>
                <w:color w:val="auto"/>
              </w:rPr>
            </w:pPr>
          </w:p>
        </w:tc>
        <w:tc>
          <w:tcPr>
            <w:tcW w:w="780" w:type="dxa"/>
            <w:vAlign w:val="bottom"/>
            <w:tcBorders>
              <w:top w:val="single" w:sz="8" w:color="auto"/>
            </w:tcBorders>
            <w:gridSpan w:val="3"/>
            <w:shd w:val="clear" w:color="auto" w:fill="CCEEFF"/>
          </w:tcPr>
          <w:p>
            <w:pPr>
              <w:jc w:val="center"/>
              <w:spacing w:after="0" w:line="129" w:lineRule="exact"/>
              <w:rPr>
                <w:sz w:val="20"/>
                <w:szCs w:val="20"/>
                <w:color w:val="auto"/>
              </w:rPr>
            </w:pPr>
            <w:r>
              <w:rPr>
                <w:rFonts w:ascii="Times New Roman" w:cs="Times New Roman" w:eastAsia="Times New Roman" w:hAnsi="Times New Roman"/>
                <w:sz w:val="13"/>
                <w:szCs w:val="13"/>
                <w:color w:val="auto"/>
                <w:w w:val="95"/>
              </w:rPr>
              <w:t>Spot Market</w:t>
            </w:r>
          </w:p>
        </w:tc>
        <w:tc>
          <w:tcPr>
            <w:tcW w:w="100" w:type="dxa"/>
            <w:vAlign w:val="bottom"/>
            <w:tcBorders>
              <w:top w:val="single" w:sz="8" w:color="CCEEFF"/>
            </w:tcBorders>
            <w:shd w:val="clear" w:color="auto" w:fill="CCEEFF"/>
          </w:tcPr>
          <w:p>
            <w:pPr>
              <w:spacing w:after="0"/>
              <w:rPr>
                <w:sz w:val="11"/>
                <w:szCs w:val="11"/>
                <w:color w:val="auto"/>
              </w:rPr>
            </w:pPr>
          </w:p>
        </w:tc>
        <w:tc>
          <w:tcPr>
            <w:tcW w:w="340" w:type="dxa"/>
            <w:vAlign w:val="bottom"/>
            <w:tcBorders>
              <w:top w:val="single" w:sz="8" w:color="auto"/>
            </w:tcBorders>
            <w:shd w:val="clear" w:color="auto" w:fill="CCEEFF"/>
          </w:tcPr>
          <w:p>
            <w:pPr>
              <w:spacing w:after="0"/>
              <w:rPr>
                <w:sz w:val="11"/>
                <w:szCs w:val="11"/>
                <w:color w:val="auto"/>
              </w:rPr>
            </w:pPr>
          </w:p>
        </w:tc>
        <w:tc>
          <w:tcPr>
            <w:tcW w:w="320" w:type="dxa"/>
            <w:vAlign w:val="bottom"/>
            <w:tcBorders>
              <w:top w:val="single" w:sz="8" w:color="auto"/>
            </w:tcBorders>
            <w:gridSpan w:val="2"/>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w w:val="86"/>
              </w:rPr>
              <w:t>Steam</w:t>
            </w:r>
          </w:p>
        </w:tc>
        <w:tc>
          <w:tcPr>
            <w:tcW w:w="2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CCEEFF"/>
            </w:tcBorders>
            <w:shd w:val="clear" w:color="auto" w:fill="CCEEFF"/>
          </w:tcPr>
          <w:p>
            <w:pPr>
              <w:spacing w:after="0"/>
              <w:rPr>
                <w:sz w:val="11"/>
                <w:szCs w:val="11"/>
                <w:color w:val="auto"/>
              </w:rPr>
            </w:pPr>
          </w:p>
        </w:tc>
        <w:tc>
          <w:tcPr>
            <w:tcW w:w="940" w:type="dxa"/>
            <w:vAlign w:val="bottom"/>
            <w:tcBorders>
              <w:top w:val="single" w:sz="8" w:color="auto"/>
            </w:tcBorders>
            <w:gridSpan w:val="2"/>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CCEEFF"/>
            </w:tcBorders>
            <w:shd w:val="clear" w:color="auto" w:fill="CCEEFF"/>
          </w:tcPr>
          <w:p>
            <w:pPr>
              <w:spacing w:after="0"/>
              <w:rPr>
                <w:sz w:val="11"/>
                <w:szCs w:val="11"/>
                <w:color w:val="auto"/>
              </w:rPr>
            </w:pPr>
          </w:p>
        </w:tc>
        <w:tc>
          <w:tcPr>
            <w:tcW w:w="660" w:type="dxa"/>
            <w:vAlign w:val="bottom"/>
            <w:tcBorders>
              <w:top w:val="single" w:sz="8" w:color="auto"/>
            </w:tcBorders>
            <w:shd w:val="clear" w:color="auto" w:fill="CCEEFF"/>
          </w:tcPr>
          <w:p>
            <w:pPr>
              <w:jc w:val="right"/>
              <w:spacing w:after="0" w:line="129" w:lineRule="exact"/>
              <w:rPr>
                <w:sz w:val="20"/>
                <w:szCs w:val="20"/>
                <w:color w:val="auto"/>
              </w:rPr>
            </w:pPr>
            <w:r>
              <w:rPr>
                <w:rFonts w:ascii="Times New Roman" w:cs="Times New Roman" w:eastAsia="Times New Roman" w:hAnsi="Times New Roman"/>
                <w:sz w:val="13"/>
                <w:szCs w:val="13"/>
                <w:color w:val="auto"/>
              </w:rPr>
              <w:t>—</w:t>
            </w:r>
          </w:p>
        </w:tc>
        <w:tc>
          <w:tcPr>
            <w:tcW w:w="100" w:type="dxa"/>
            <w:vAlign w:val="bottom"/>
            <w:tcBorders>
              <w:top w:val="single" w:sz="8" w:color="CCEEFF"/>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2</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Sydney</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160" w:type="dxa"/>
            <w:vAlign w:val="bottom"/>
          </w:tcPr>
          <w:p>
            <w:pPr>
              <w:spacing w:after="0"/>
              <w:rPr>
                <w:sz w:val="11"/>
                <w:szCs w:val="11"/>
                <w:color w:val="auto"/>
              </w:rPr>
            </w:pPr>
          </w:p>
        </w:tc>
        <w:tc>
          <w:tcPr>
            <w:tcW w:w="780" w:type="dxa"/>
            <w:vAlign w:val="bottom"/>
            <w:gridSpan w:val="3"/>
          </w:tcPr>
          <w:p>
            <w:pPr>
              <w:jc w:val="center"/>
              <w:spacing w:after="0" w:line="135" w:lineRule="exact"/>
              <w:rPr>
                <w:sz w:val="20"/>
                <w:szCs w:val="20"/>
                <w:color w:val="auto"/>
              </w:rPr>
            </w:pPr>
            <w:r>
              <w:rPr>
                <w:rFonts w:ascii="Times New Roman" w:cs="Times New Roman" w:eastAsia="Times New Roman" w:hAnsi="Times New Roman"/>
                <w:sz w:val="13"/>
                <w:szCs w:val="13"/>
                <w:color w:val="auto"/>
                <w:w w:val="95"/>
              </w:rPr>
              <w:t>Spot Market</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3</w:t>
            </w:r>
          </w:p>
        </w:tc>
        <w:tc>
          <w:tcPr>
            <w:tcW w:w="4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Methane Jane Elizabeth</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2006</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145,000</w:t>
            </w: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3"/>
                <w:szCs w:val="13"/>
                <w:color w:val="auto"/>
                <w:w w:val="92"/>
              </w:rPr>
              <w:t>Trafigura</w:t>
            </w:r>
            <w:r>
              <w:rPr>
                <w:rFonts w:ascii="Times New Roman" w:cs="Times New Roman" w:eastAsia="Times New Roman" w:hAnsi="Times New Roman"/>
                <w:sz w:val="20"/>
                <w:szCs w:val="20"/>
                <w:color w:val="auto"/>
                <w:w w:val="92"/>
                <w:vertAlign w:val="superscript"/>
              </w:rPr>
              <w:t>(7)</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Steam</w:t>
            </w: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December 2020</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4</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Methane Heather Sally</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2007</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145,000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Steam</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December 2020</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20" w:type="dxa"/>
            <w:vAlign w:val="bottom"/>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5</w:t>
            </w:r>
          </w:p>
        </w:tc>
        <w:tc>
          <w:tcPr>
            <w:tcW w:w="426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Seattle</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June 2021</w:t>
            </w:r>
          </w:p>
        </w:tc>
        <w:tc>
          <w:tcPr>
            <w:tcW w:w="120" w:type="dxa"/>
            <w:vAlign w:val="bottom"/>
            <w:shd w:val="clear" w:color="auto" w:fill="CCEEFF"/>
          </w:tcPr>
          <w:p>
            <w:pPr>
              <w:spacing w:after="0"/>
              <w:rPr>
                <w:sz w:val="11"/>
                <w:szCs w:val="11"/>
                <w:color w:val="auto"/>
              </w:rPr>
            </w:pPr>
          </w:p>
        </w:tc>
        <w:tc>
          <w:tcPr>
            <w:tcW w:w="760" w:type="dxa"/>
            <w:vAlign w:val="bottom"/>
            <w:gridSpan w:val="2"/>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6</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Solaris</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2014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June 2021</w:t>
            </w:r>
          </w:p>
        </w:tc>
        <w:tc>
          <w:tcPr>
            <w:tcW w:w="120" w:type="dxa"/>
            <w:vAlign w:val="bottom"/>
          </w:tcPr>
          <w:p>
            <w:pPr>
              <w:spacing w:after="0"/>
              <w:rPr>
                <w:sz w:val="11"/>
                <w:szCs w:val="11"/>
                <w:color w:val="auto"/>
              </w:rPr>
            </w:pPr>
          </w:p>
        </w:tc>
        <w:tc>
          <w:tcPr>
            <w:tcW w:w="760" w:type="dxa"/>
            <w:vAlign w:val="bottom"/>
            <w:gridSpan w:val="2"/>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20" w:type="dxa"/>
            <w:vAlign w:val="bottom"/>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7</w:t>
            </w:r>
          </w:p>
        </w:tc>
        <w:tc>
          <w:tcPr>
            <w:tcW w:w="426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Santiago</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155,000</w:t>
            </w:r>
          </w:p>
        </w:tc>
        <w:tc>
          <w:tcPr>
            <w:tcW w:w="160" w:type="dxa"/>
            <w:vAlign w:val="bottom"/>
            <w:shd w:val="clear" w:color="auto" w:fill="CCEEFF"/>
          </w:tcPr>
          <w:p>
            <w:pPr>
              <w:spacing w:after="0"/>
              <w:rPr>
                <w:sz w:val="11"/>
                <w:szCs w:val="11"/>
                <w:color w:val="auto"/>
              </w:rPr>
            </w:pPr>
          </w:p>
        </w:tc>
        <w:tc>
          <w:tcPr>
            <w:tcW w:w="780" w:type="dxa"/>
            <w:vAlign w:val="bottom"/>
            <w:gridSpan w:val="3"/>
            <w:shd w:val="clear" w:color="auto" w:fill="CCEEFF"/>
          </w:tcPr>
          <w:p>
            <w:pPr>
              <w:jc w:val="center"/>
              <w:spacing w:after="0" w:line="135" w:lineRule="exact"/>
              <w:rPr>
                <w:sz w:val="20"/>
                <w:szCs w:val="20"/>
                <w:color w:val="auto"/>
              </w:rPr>
            </w:pPr>
            <w:r>
              <w:rPr>
                <w:rFonts w:ascii="Times New Roman" w:cs="Times New Roman" w:eastAsia="Times New Roman" w:hAnsi="Times New Roman"/>
                <w:sz w:val="13"/>
                <w:szCs w:val="13"/>
                <w:color w:val="auto"/>
                <w:w w:val="93"/>
              </w:rPr>
              <w:t>Trafigura</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December 2021</w:t>
            </w:r>
          </w:p>
        </w:tc>
        <w:tc>
          <w:tcPr>
            <w:tcW w:w="8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2022-2028</w:t>
            </w:r>
          </w:p>
        </w:tc>
        <w:tc>
          <w:tcPr>
            <w:tcW w:w="0" w:type="dxa"/>
            <w:vAlign w:val="bottom"/>
          </w:tcPr>
          <w:p>
            <w:pPr>
              <w:spacing w:after="0"/>
              <w:rPr>
                <w:sz w:val="1"/>
                <w:szCs w:val="1"/>
                <w:color w:val="auto"/>
              </w:rPr>
            </w:pPr>
          </w:p>
        </w:tc>
      </w:tr>
      <w:tr>
        <w:trPr>
          <w:trHeight w:val="175"/>
        </w:trPr>
        <w:tc>
          <w:tcPr>
            <w:tcW w:w="820" w:type="dxa"/>
            <w:vAlign w:val="bottom"/>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8</w:t>
            </w:r>
          </w:p>
        </w:tc>
        <w:tc>
          <w:tcPr>
            <w:tcW w:w="4260" w:type="dxa"/>
            <w:vAlign w:val="bottom"/>
            <w:gridSpan w:val="3"/>
          </w:tcPr>
          <w:p>
            <w:pPr>
              <w:ind w:left="40"/>
              <w:spacing w:after="0"/>
              <w:rPr>
                <w:sz w:val="20"/>
                <w:szCs w:val="20"/>
                <w:color w:val="auto"/>
              </w:rPr>
            </w:pPr>
            <w:r>
              <w:rPr>
                <w:rFonts w:ascii="Times New Roman" w:cs="Times New Roman" w:eastAsia="Times New Roman" w:hAnsi="Times New Roman"/>
                <w:sz w:val="13"/>
                <w:szCs w:val="13"/>
                <w:i w:val="1"/>
                <w:iCs w:val="1"/>
                <w:color w:val="auto"/>
              </w:rPr>
              <w:t>Methane Shirley Elisabeth</w:t>
            </w: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gridSpan w:val="3"/>
          </w:tcPr>
          <w:p>
            <w:pPr>
              <w:ind w:left="380"/>
              <w:spacing w:after="0"/>
              <w:rPr>
                <w:sz w:val="20"/>
                <w:szCs w:val="20"/>
                <w:color w:val="auto"/>
              </w:rPr>
            </w:pPr>
            <w:r>
              <w:rPr>
                <w:rFonts w:ascii="Times New Roman" w:cs="Times New Roman" w:eastAsia="Times New Roman" w:hAnsi="Times New Roman"/>
                <w:sz w:val="13"/>
                <w:szCs w:val="13"/>
                <w:color w:val="auto"/>
              </w:rPr>
              <w:t>2007</w:t>
            </w: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145,000</w:t>
            </w:r>
          </w:p>
        </w:tc>
        <w:tc>
          <w:tcPr>
            <w:tcW w:w="160" w:type="dxa"/>
            <w:vAlign w:val="bottom"/>
          </w:tcPr>
          <w:p>
            <w:pPr>
              <w:spacing w:after="0"/>
              <w:rPr>
                <w:sz w:val="15"/>
                <w:szCs w:val="15"/>
                <w:color w:val="auto"/>
              </w:rPr>
            </w:pPr>
          </w:p>
        </w:tc>
        <w:tc>
          <w:tcPr>
            <w:tcW w:w="780" w:type="dxa"/>
            <w:vAlign w:val="bottom"/>
            <w:gridSpan w:val="3"/>
          </w:tcPr>
          <w:p>
            <w:pPr>
              <w:jc w:val="center"/>
              <w:spacing w:after="0" w:line="176" w:lineRule="exact"/>
              <w:rPr>
                <w:sz w:val="20"/>
                <w:szCs w:val="20"/>
                <w:color w:val="auto"/>
              </w:rPr>
            </w:pPr>
            <w:r>
              <w:rPr>
                <w:rFonts w:ascii="Times New Roman" w:cs="Times New Roman" w:eastAsia="Times New Roman" w:hAnsi="Times New Roman"/>
                <w:sz w:val="13"/>
                <w:szCs w:val="13"/>
                <w:color w:val="auto"/>
                <w:w w:val="90"/>
              </w:rPr>
              <w:t>JOVO</w:t>
            </w:r>
            <w:r>
              <w:rPr>
                <w:rFonts w:ascii="Times New Roman" w:cs="Times New Roman" w:eastAsia="Times New Roman" w:hAnsi="Times New Roman"/>
                <w:sz w:val="20"/>
                <w:szCs w:val="20"/>
                <w:color w:val="auto"/>
                <w:w w:val="90"/>
                <w:vertAlign w:val="superscript"/>
              </w:rPr>
              <w:t>(8)</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w w:val="92"/>
              </w:rPr>
              <w:t>Steam</w:t>
            </w:r>
          </w:p>
        </w:tc>
        <w:tc>
          <w:tcPr>
            <w:tcW w:w="200" w:type="dxa"/>
            <w:vAlign w:val="bottom"/>
          </w:tcPr>
          <w:p>
            <w:pPr>
              <w:spacing w:after="0"/>
              <w:rPr>
                <w:sz w:val="15"/>
                <w:szCs w:val="15"/>
                <w:color w:val="auto"/>
              </w:rPr>
            </w:pPr>
          </w:p>
        </w:tc>
        <w:tc>
          <w:tcPr>
            <w:tcW w:w="104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August 2022</w:t>
            </w:r>
          </w:p>
        </w:tc>
        <w:tc>
          <w:tcPr>
            <w:tcW w:w="120" w:type="dxa"/>
            <w:vAlign w:val="bottom"/>
          </w:tcPr>
          <w:p>
            <w:pPr>
              <w:spacing w:after="0"/>
              <w:rPr>
                <w:sz w:val="15"/>
                <w:szCs w:val="15"/>
                <w:color w:val="auto"/>
              </w:rPr>
            </w:pPr>
          </w:p>
        </w:tc>
        <w:tc>
          <w:tcPr>
            <w:tcW w:w="76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76"/>
        </w:trPr>
        <w:tc>
          <w:tcPr>
            <w:tcW w:w="8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9</w:t>
            </w:r>
          </w:p>
        </w:tc>
        <w:tc>
          <w:tcPr>
            <w:tcW w:w="4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GasLog Shanghai</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2013</w:t>
            </w: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155,000</w:t>
            </w:r>
          </w:p>
        </w:tc>
        <w:tc>
          <w:tcPr>
            <w:tcW w:w="16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center"/>
              <w:spacing w:after="0" w:line="176" w:lineRule="exact"/>
              <w:rPr>
                <w:sz w:val="20"/>
                <w:szCs w:val="20"/>
                <w:color w:val="auto"/>
              </w:rPr>
            </w:pPr>
            <w:r>
              <w:rPr>
                <w:rFonts w:ascii="Times New Roman" w:cs="Times New Roman" w:eastAsia="Times New Roman" w:hAnsi="Times New Roman"/>
                <w:sz w:val="13"/>
                <w:szCs w:val="13"/>
                <w:color w:val="auto"/>
                <w:w w:val="90"/>
              </w:rPr>
              <w:t>Gunvor</w:t>
            </w:r>
            <w:r>
              <w:rPr>
                <w:rFonts w:ascii="Times New Roman" w:cs="Times New Roman" w:eastAsia="Times New Roman" w:hAnsi="Times New Roman"/>
                <w:sz w:val="20"/>
                <w:szCs w:val="20"/>
                <w:color w:val="auto"/>
                <w:w w:val="90"/>
                <w:vertAlign w:val="superscript"/>
              </w:rPr>
              <w:t>(3)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shd w:val="clear" w:color="auto" w:fill="CCEEFF"/>
          </w:tcPr>
          <w:p>
            <w:pPr>
              <w:spacing w:after="0"/>
              <w:rPr>
                <w:sz w:val="15"/>
                <w:szCs w:val="15"/>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November 2022</w:t>
            </w:r>
          </w:p>
        </w:tc>
        <w:tc>
          <w:tcPr>
            <w:tcW w:w="120" w:type="dxa"/>
            <w:vAlign w:val="bottom"/>
            <w:shd w:val="clear" w:color="auto" w:fill="CCEEFF"/>
          </w:tcPr>
          <w:p>
            <w:pPr>
              <w:spacing w:after="0"/>
              <w:rPr>
                <w:sz w:val="15"/>
                <w:szCs w:val="15"/>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10</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Geneva</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September 2023</w:t>
            </w:r>
          </w:p>
        </w:tc>
        <w:tc>
          <w:tcPr>
            <w:tcW w:w="8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2028-2031</w:t>
            </w:r>
          </w:p>
        </w:tc>
        <w:tc>
          <w:tcPr>
            <w:tcW w:w="0" w:type="dxa"/>
            <w:vAlign w:val="bottom"/>
          </w:tcPr>
          <w:p>
            <w:pPr>
              <w:spacing w:after="0"/>
              <w:rPr>
                <w:sz w:val="1"/>
                <w:szCs w:val="1"/>
                <w:color w:val="auto"/>
              </w:rPr>
            </w:pPr>
          </w:p>
        </w:tc>
      </w:tr>
      <w:tr>
        <w:trPr>
          <w:trHeight w:val="148"/>
        </w:trPr>
        <w:tc>
          <w:tcPr>
            <w:tcW w:w="8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80" w:type="dxa"/>
            <w:vAlign w:val="bottom"/>
            <w:gridSpan w:val="3"/>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7"/>
              </w:rPr>
              <w:t>CNTIC</w:t>
            </w:r>
          </w:p>
        </w:tc>
        <w:tc>
          <w:tcPr>
            <w:tcW w:w="1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2024–</w:t>
            </w:r>
          </w:p>
        </w:tc>
        <w:tc>
          <w:tcPr>
            <w:tcW w:w="0" w:type="dxa"/>
            <w:vAlign w:val="bottom"/>
          </w:tcPr>
          <w:p>
            <w:pPr>
              <w:spacing w:after="0"/>
              <w:rPr>
                <w:sz w:val="1"/>
                <w:szCs w:val="1"/>
                <w:color w:val="auto"/>
              </w:rPr>
            </w:pPr>
          </w:p>
        </w:tc>
      </w:tr>
      <w:tr>
        <w:trPr>
          <w:trHeight w:val="162"/>
        </w:trPr>
        <w:tc>
          <w:tcPr>
            <w:tcW w:w="82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3"/>
                <w:szCs w:val="13"/>
                <w:b w:val="1"/>
                <w:bCs w:val="1"/>
                <w:color w:val="auto"/>
              </w:rPr>
              <w:t>11</w:t>
            </w:r>
          </w:p>
        </w:tc>
        <w:tc>
          <w:tcPr>
            <w:tcW w:w="426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i w:val="1"/>
                <w:iCs w:val="1"/>
                <w:color w:val="auto"/>
              </w:rPr>
              <w:t>Methane Alison Victoria</w:t>
            </w: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60" w:type="dxa"/>
            <w:vAlign w:val="bottom"/>
            <w:gridSpan w:val="3"/>
            <w:shd w:val="clear" w:color="auto" w:fill="CCEEFF"/>
          </w:tcPr>
          <w:p>
            <w:pPr>
              <w:ind w:left="380"/>
              <w:spacing w:after="0"/>
              <w:rPr>
                <w:sz w:val="20"/>
                <w:szCs w:val="20"/>
                <w:color w:val="auto"/>
              </w:rPr>
            </w:pPr>
            <w:r>
              <w:rPr>
                <w:rFonts w:ascii="Times New Roman" w:cs="Times New Roman" w:eastAsia="Times New Roman" w:hAnsi="Times New Roman"/>
                <w:sz w:val="13"/>
                <w:szCs w:val="13"/>
                <w:color w:val="auto"/>
              </w:rPr>
              <w:t>2007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58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145,000</w:t>
            </w:r>
          </w:p>
        </w:tc>
        <w:tc>
          <w:tcPr>
            <w:tcW w:w="160" w:type="dxa"/>
            <w:vAlign w:val="bottom"/>
            <w:shd w:val="clear" w:color="auto" w:fill="CCEEFF"/>
          </w:tcPr>
          <w:p>
            <w:pPr>
              <w:spacing w:after="0"/>
              <w:rPr>
                <w:sz w:val="14"/>
                <w:szCs w:val="14"/>
                <w:color w:val="auto"/>
              </w:rPr>
            </w:pPr>
          </w:p>
        </w:tc>
        <w:tc>
          <w:tcPr>
            <w:tcW w:w="780" w:type="dxa"/>
            <w:vAlign w:val="bottom"/>
            <w:gridSpan w:val="3"/>
            <w:shd w:val="clear" w:color="auto" w:fill="CCEEFF"/>
          </w:tcPr>
          <w:p>
            <w:pPr>
              <w:jc w:val="center"/>
              <w:spacing w:after="0" w:line="162" w:lineRule="exact"/>
              <w:rPr>
                <w:sz w:val="20"/>
                <w:szCs w:val="20"/>
                <w:color w:val="auto"/>
              </w:rPr>
            </w:pPr>
            <w:r>
              <w:rPr>
                <w:rFonts w:ascii="Times New Roman" w:cs="Times New Roman" w:eastAsia="Times New Roman" w:hAnsi="Times New Roman"/>
                <w:sz w:val="12"/>
                <w:szCs w:val="12"/>
                <w:color w:val="auto"/>
              </w:rPr>
              <w:t>VPower</w:t>
            </w:r>
            <w:r>
              <w:rPr>
                <w:rFonts w:ascii="Times New Roman" w:cs="Times New Roman" w:eastAsia="Times New Roman" w:hAnsi="Times New Roman"/>
                <w:sz w:val="18"/>
                <w:szCs w:val="18"/>
                <w:color w:val="auto"/>
                <w:vertAlign w:val="superscript"/>
              </w:rPr>
              <w:t>(9)</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34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w w:val="92"/>
              </w:rPr>
              <w:t>Steam</w:t>
            </w:r>
          </w:p>
        </w:tc>
        <w:tc>
          <w:tcPr>
            <w:tcW w:w="200" w:type="dxa"/>
            <w:vAlign w:val="bottom"/>
            <w:shd w:val="clear" w:color="auto" w:fill="CCEEFF"/>
          </w:tcPr>
          <w:p>
            <w:pPr>
              <w:spacing w:after="0"/>
              <w:rPr>
                <w:sz w:val="14"/>
                <w:szCs w:val="14"/>
                <w:color w:val="auto"/>
              </w:rPr>
            </w:pPr>
          </w:p>
        </w:tc>
        <w:tc>
          <w:tcPr>
            <w:tcW w:w="10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October 2023</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2025</w:t>
            </w: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12</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Gibraltar</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October 2023</w:t>
            </w:r>
          </w:p>
        </w:tc>
        <w:tc>
          <w:tcPr>
            <w:tcW w:w="8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2028-2031</w:t>
            </w:r>
          </w:p>
        </w:tc>
        <w:tc>
          <w:tcPr>
            <w:tcW w:w="0" w:type="dxa"/>
            <w:vAlign w:val="bottom"/>
          </w:tcPr>
          <w:p>
            <w:pPr>
              <w:spacing w:after="0"/>
              <w:rPr>
                <w:sz w:val="1"/>
                <w:szCs w:val="1"/>
                <w:color w:val="auto"/>
              </w:rPr>
            </w:pPr>
          </w:p>
        </w:tc>
      </w:tr>
      <w:tr>
        <w:trPr>
          <w:trHeight w:val="135"/>
        </w:trPr>
        <w:tc>
          <w:tcPr>
            <w:tcW w:w="820" w:type="dxa"/>
            <w:vAlign w:val="bottom"/>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13</w:t>
            </w:r>
          </w:p>
        </w:tc>
        <w:tc>
          <w:tcPr>
            <w:tcW w:w="426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Methane Becki Anne</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2010</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170,000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March 2024</w:t>
            </w:r>
          </w:p>
        </w:tc>
        <w:tc>
          <w:tcPr>
            <w:tcW w:w="8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2027-2029</w:t>
            </w:r>
          </w:p>
        </w:tc>
        <w:tc>
          <w:tcPr>
            <w:tcW w:w="0" w:type="dxa"/>
            <w:vAlign w:val="bottom"/>
          </w:tcPr>
          <w:p>
            <w:pPr>
              <w:spacing w:after="0"/>
              <w:rPr>
                <w:sz w:val="1"/>
                <w:szCs w:val="1"/>
                <w:color w:val="auto"/>
              </w:rPr>
            </w:pPr>
          </w:p>
        </w:tc>
      </w:tr>
      <w:tr>
        <w:trPr>
          <w:trHeight w:val="135"/>
        </w:trPr>
        <w:tc>
          <w:tcPr>
            <w:tcW w:w="820" w:type="dxa"/>
            <w:vAlign w:val="bottom"/>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14</w:t>
            </w:r>
          </w:p>
        </w:tc>
        <w:tc>
          <w:tcPr>
            <w:tcW w:w="4260" w:type="dxa"/>
            <w:vAlign w:val="bottom"/>
            <w:gridSpan w:val="3"/>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Greece</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3"/>
          </w:tcPr>
          <w:p>
            <w:pPr>
              <w:ind w:left="380"/>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gridSpan w:val="3"/>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40" w:type="dxa"/>
            <w:vAlign w:val="bottom"/>
            <w:gridSpan w:val="2"/>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gridSpan w:val="3"/>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tcPr>
          <w:p>
            <w:pPr>
              <w:spacing w:after="0"/>
              <w:rPr>
                <w:sz w:val="11"/>
                <w:szCs w:val="11"/>
                <w:color w:val="auto"/>
              </w:rPr>
            </w:pPr>
          </w:p>
        </w:tc>
        <w:tc>
          <w:tcPr>
            <w:tcW w:w="104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March 2026</w:t>
            </w:r>
          </w:p>
        </w:tc>
        <w:tc>
          <w:tcPr>
            <w:tcW w:w="880" w:type="dxa"/>
            <w:vAlign w:val="bottom"/>
            <w:gridSpan w:val="3"/>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135"/>
        </w:trPr>
        <w:tc>
          <w:tcPr>
            <w:tcW w:w="820" w:type="dxa"/>
            <w:vAlign w:val="bottom"/>
            <w:shd w:val="clear" w:color="auto" w:fill="CCEEFF"/>
          </w:tcPr>
          <w:p>
            <w:pPr>
              <w:jc w:val="right"/>
              <w:ind w:right="113"/>
              <w:spacing w:after="0" w:line="135" w:lineRule="exact"/>
              <w:rPr>
                <w:sz w:val="20"/>
                <w:szCs w:val="20"/>
                <w:color w:val="auto"/>
              </w:rPr>
            </w:pPr>
            <w:r>
              <w:rPr>
                <w:rFonts w:ascii="Times New Roman" w:cs="Times New Roman" w:eastAsia="Times New Roman" w:hAnsi="Times New Roman"/>
                <w:sz w:val="13"/>
                <w:szCs w:val="13"/>
                <w:b w:val="1"/>
                <w:bCs w:val="1"/>
                <w:color w:val="auto"/>
              </w:rPr>
              <w:t>15</w:t>
            </w:r>
          </w:p>
        </w:tc>
        <w:tc>
          <w:tcPr>
            <w:tcW w:w="4260" w:type="dxa"/>
            <w:vAlign w:val="bottom"/>
            <w:gridSpan w:val="3"/>
            <w:shd w:val="clear" w:color="auto" w:fill="CCEEFF"/>
          </w:tcPr>
          <w:p>
            <w:pPr>
              <w:ind w:left="40"/>
              <w:spacing w:after="0" w:line="135" w:lineRule="exact"/>
              <w:rPr>
                <w:sz w:val="20"/>
                <w:szCs w:val="20"/>
                <w:color w:val="auto"/>
              </w:rPr>
            </w:pPr>
            <w:r>
              <w:rPr>
                <w:rFonts w:ascii="Times New Roman" w:cs="Times New Roman" w:eastAsia="Times New Roman" w:hAnsi="Times New Roman"/>
                <w:sz w:val="13"/>
                <w:szCs w:val="13"/>
                <w:i w:val="1"/>
                <w:iCs w:val="1"/>
                <w:color w:val="auto"/>
              </w:rPr>
              <w:t>GasLog Glasgow</w:t>
            </w:r>
          </w:p>
        </w:tc>
        <w:tc>
          <w:tcPr>
            <w:tcW w:w="7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60" w:type="dxa"/>
            <w:vAlign w:val="bottom"/>
            <w:gridSpan w:val="3"/>
            <w:shd w:val="clear" w:color="auto" w:fill="CCEEFF"/>
          </w:tcPr>
          <w:p>
            <w:pPr>
              <w:ind w:left="380"/>
              <w:spacing w:after="0" w:line="135" w:lineRule="exact"/>
              <w:rPr>
                <w:sz w:val="20"/>
                <w:szCs w:val="20"/>
                <w:color w:val="auto"/>
              </w:rPr>
            </w:pPr>
            <w:r>
              <w:rPr>
                <w:rFonts w:ascii="Times New Roman" w:cs="Times New Roman" w:eastAsia="Times New Roman" w:hAnsi="Times New Roman"/>
                <w:sz w:val="13"/>
                <w:szCs w:val="13"/>
                <w:color w:val="auto"/>
              </w:rPr>
              <w:t>2016</w:t>
            </w:r>
          </w:p>
        </w:tc>
        <w:tc>
          <w:tcPr>
            <w:tcW w:w="8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580" w:type="dxa"/>
            <w:vAlign w:val="bottom"/>
            <w:gridSpan w:val="3"/>
            <w:shd w:val="clear" w:color="auto" w:fill="CCEEFF"/>
          </w:tcPr>
          <w:p>
            <w:pPr>
              <w:jc w:val="right"/>
              <w:ind w:right="60"/>
              <w:spacing w:after="0" w:line="135" w:lineRule="exact"/>
              <w:rPr>
                <w:sz w:val="20"/>
                <w:szCs w:val="20"/>
                <w:color w:val="auto"/>
              </w:rPr>
            </w:pPr>
            <w:r>
              <w:rPr>
                <w:rFonts w:ascii="Times New Roman" w:cs="Times New Roman" w:eastAsia="Times New Roman" w:hAnsi="Times New Roman"/>
                <w:sz w:val="13"/>
                <w:szCs w:val="13"/>
                <w:color w:val="auto"/>
              </w:rPr>
              <w:t>174,000</w:t>
            </w:r>
          </w:p>
        </w:tc>
        <w:tc>
          <w:tcPr>
            <w:tcW w:w="1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540" w:type="dxa"/>
            <w:vAlign w:val="bottom"/>
            <w:gridSpan w:val="2"/>
            <w:shd w:val="clear" w:color="auto" w:fill="CCEEFF"/>
          </w:tcPr>
          <w:p>
            <w:pPr>
              <w:jc w:val="center"/>
              <w:ind w:right="159"/>
              <w:spacing w:after="0" w:line="135" w:lineRule="exact"/>
              <w:rPr>
                <w:sz w:val="20"/>
                <w:szCs w:val="20"/>
                <w:color w:val="auto"/>
              </w:rPr>
            </w:pPr>
            <w:r>
              <w:rPr>
                <w:rFonts w:ascii="Times New Roman" w:cs="Times New Roman" w:eastAsia="Times New Roman" w:hAnsi="Times New Roman"/>
                <w:sz w:val="13"/>
                <w:szCs w:val="13"/>
                <w:color w:val="auto"/>
                <w:w w:val="97"/>
              </w:rPr>
              <w:t>Shell</w:t>
            </w:r>
          </w:p>
        </w:tc>
        <w:tc>
          <w:tcPr>
            <w:tcW w:w="10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gridSpan w:val="3"/>
            <w:shd w:val="clear" w:color="auto" w:fill="CCEEFF"/>
          </w:tcPr>
          <w:p>
            <w:pPr>
              <w:ind w:left="20"/>
              <w:spacing w:after="0" w:line="135" w:lineRule="exact"/>
              <w:rPr>
                <w:sz w:val="20"/>
                <w:szCs w:val="20"/>
                <w:color w:val="auto"/>
              </w:rPr>
            </w:pPr>
            <w:r>
              <w:rPr>
                <w:rFonts w:ascii="Times New Roman" w:cs="Times New Roman" w:eastAsia="Times New Roman" w:hAnsi="Times New Roman"/>
                <w:sz w:val="13"/>
                <w:szCs w:val="13"/>
                <w:color w:val="auto"/>
                <w:w w:val="92"/>
              </w:rPr>
              <w:t>TFDE</w:t>
            </w:r>
          </w:p>
        </w:tc>
        <w:tc>
          <w:tcPr>
            <w:tcW w:w="200" w:type="dxa"/>
            <w:vAlign w:val="bottom"/>
            <w:shd w:val="clear" w:color="auto" w:fill="CCEEFF"/>
          </w:tcPr>
          <w:p>
            <w:pPr>
              <w:spacing w:after="0"/>
              <w:rPr>
                <w:sz w:val="11"/>
                <w:szCs w:val="11"/>
                <w:color w:val="auto"/>
              </w:rPr>
            </w:pPr>
          </w:p>
        </w:tc>
        <w:tc>
          <w:tcPr>
            <w:tcW w:w="104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June 2026</w:t>
            </w:r>
          </w:p>
        </w:tc>
        <w:tc>
          <w:tcPr>
            <w:tcW w:w="880" w:type="dxa"/>
            <w:vAlign w:val="bottom"/>
            <w:gridSpan w:val="3"/>
            <w:shd w:val="clear" w:color="auto" w:fill="CCEEFF"/>
          </w:tcPr>
          <w:p>
            <w:pPr>
              <w:jc w:val="right"/>
              <w:ind w:right="100"/>
              <w:spacing w:after="0" w:line="135" w:lineRule="exact"/>
              <w:rPr>
                <w:sz w:val="20"/>
                <w:szCs w:val="20"/>
                <w:color w:val="auto"/>
              </w:rPr>
            </w:pPr>
            <w:r>
              <w:rPr>
                <w:rFonts w:ascii="Times New Roman" w:cs="Times New Roman" w:eastAsia="Times New Roman" w:hAnsi="Times New Roman"/>
                <w:sz w:val="13"/>
                <w:szCs w:val="13"/>
                <w:color w:val="auto"/>
              </w:rPr>
              <w:t>2031</w:t>
            </w:r>
          </w:p>
        </w:tc>
        <w:tc>
          <w:tcPr>
            <w:tcW w:w="0" w:type="dxa"/>
            <w:vAlign w:val="bottom"/>
          </w:tcPr>
          <w:p>
            <w:pPr>
              <w:spacing w:after="0"/>
              <w:rPr>
                <w:sz w:val="1"/>
                <w:szCs w:val="1"/>
                <w:color w:val="auto"/>
              </w:rPr>
            </w:pPr>
          </w:p>
        </w:tc>
      </w:tr>
      <w:tr>
        <w:trPr>
          <w:trHeight w:val="413"/>
        </w:trPr>
        <w:tc>
          <w:tcPr>
            <w:tcW w:w="50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Bareboat Vessels</w:t>
            </w: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20" w:type="dxa"/>
            <w:vAlign w:val="bottom"/>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Cargo</w:t>
            </w: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120" w:type="dxa"/>
            <w:vAlign w:val="bottom"/>
          </w:tcPr>
          <w:p>
            <w:pPr>
              <w:spacing w:after="0"/>
              <w:rPr>
                <w:sz w:val="17"/>
                <w:szCs w:val="17"/>
                <w:color w:val="auto"/>
              </w:rPr>
            </w:pPr>
          </w:p>
        </w:tc>
        <w:tc>
          <w:tcPr>
            <w:tcW w:w="7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Year</w:t>
            </w:r>
          </w:p>
        </w:tc>
        <w:tc>
          <w:tcPr>
            <w:tcW w:w="220" w:type="dxa"/>
            <w:vAlign w:val="bottom"/>
          </w:tcPr>
          <w:p>
            <w:pPr>
              <w:spacing w:after="0"/>
              <w:rPr>
                <w:sz w:val="17"/>
                <w:szCs w:val="17"/>
                <w:color w:val="auto"/>
              </w:rPr>
            </w:pP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Capacity</w:t>
            </w: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gridSpan w:val="4"/>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Charter</w:t>
            </w:r>
          </w:p>
        </w:tc>
        <w:tc>
          <w:tcPr>
            <w:tcW w:w="8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Optional</w:t>
            </w:r>
          </w:p>
        </w:tc>
        <w:tc>
          <w:tcPr>
            <w:tcW w:w="0" w:type="dxa"/>
            <w:vAlign w:val="bottom"/>
          </w:tcPr>
          <w:p>
            <w:pPr>
              <w:spacing w:after="0"/>
              <w:rPr>
                <w:sz w:val="1"/>
                <w:szCs w:val="1"/>
                <w:color w:val="auto"/>
              </w:rPr>
            </w:pPr>
          </w:p>
        </w:tc>
      </w:tr>
      <w:tr>
        <w:trPr>
          <w:trHeight w:val="260"/>
        </w:trPr>
        <w:tc>
          <w:tcPr>
            <w:tcW w:w="9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Vessel Name</w:t>
            </w:r>
          </w:p>
        </w:tc>
        <w:tc>
          <w:tcPr>
            <w:tcW w:w="412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Built</w:t>
            </w:r>
          </w:p>
        </w:tc>
        <w:tc>
          <w:tcPr>
            <w:tcW w:w="220" w:type="dxa"/>
            <w:vAlign w:val="bottom"/>
            <w:tcBorders>
              <w:bottom w:val="single" w:sz="8" w:color="CCEEFF"/>
            </w:tcBorders>
          </w:tcPr>
          <w:p>
            <w:pPr>
              <w:spacing w:after="0"/>
              <w:rPr>
                <w:sz w:val="22"/>
                <w:szCs w:val="22"/>
                <w:color w:val="auto"/>
              </w:rPr>
            </w:pPr>
          </w:p>
        </w:tc>
        <w:tc>
          <w:tcPr>
            <w:tcW w:w="72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6"/>
                <w:szCs w:val="16"/>
                <w:b w:val="1"/>
                <w:bCs w:val="1"/>
                <w:color w:val="auto"/>
              </w:rPr>
              <w:t>(cbm)</w:t>
            </w:r>
          </w:p>
        </w:tc>
        <w:tc>
          <w:tcPr>
            <w:tcW w:w="6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7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Charterer</w:t>
            </w:r>
          </w:p>
        </w:tc>
        <w:tc>
          <w:tcPr>
            <w:tcW w:w="220" w:type="dxa"/>
            <w:vAlign w:val="bottom"/>
            <w:tcBorders>
              <w:bottom w:val="single" w:sz="8" w:color="CCEEFF"/>
            </w:tcBorders>
          </w:tcPr>
          <w:p>
            <w:pPr>
              <w:spacing w:after="0"/>
              <w:rPr>
                <w:sz w:val="22"/>
                <w:szCs w:val="22"/>
                <w:color w:val="auto"/>
              </w:rPr>
            </w:pPr>
          </w:p>
        </w:tc>
        <w:tc>
          <w:tcPr>
            <w:tcW w:w="76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6"/>
                <w:szCs w:val="16"/>
                <w:b w:val="1"/>
                <w:bCs w:val="1"/>
                <w:color w:val="auto"/>
                <w:w w:val="99"/>
              </w:rPr>
              <w:t>Propulsion</w:t>
            </w:r>
          </w:p>
        </w:tc>
        <w:tc>
          <w:tcPr>
            <w:tcW w:w="2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gridSpan w:val="2"/>
          </w:tcPr>
          <w:p>
            <w:pPr>
              <w:spacing w:after="0"/>
              <w:rPr>
                <w:sz w:val="22"/>
                <w:szCs w:val="22"/>
                <w:color w:val="auto"/>
              </w:rPr>
            </w:pPr>
          </w:p>
        </w:tc>
        <w:tc>
          <w:tcPr>
            <w:tcW w:w="1020" w:type="dxa"/>
            <w:vAlign w:val="bottom"/>
            <w:tcBorders>
              <w:bottom w:val="single" w:sz="8" w:color="auto"/>
            </w:tcBorders>
            <w:gridSpan w:val="2"/>
          </w:tcPr>
          <w:p>
            <w:pPr>
              <w:jc w:val="center"/>
              <w:ind w:right="56"/>
              <w:spacing w:after="0" w:line="260" w:lineRule="exact"/>
              <w:rPr>
                <w:sz w:val="20"/>
                <w:szCs w:val="20"/>
                <w:color w:val="auto"/>
              </w:rPr>
            </w:pPr>
            <w:r>
              <w:rPr>
                <w:rFonts w:ascii="Times New Roman" w:cs="Times New Roman" w:eastAsia="Times New Roman" w:hAnsi="Times New Roman"/>
                <w:sz w:val="16"/>
                <w:szCs w:val="16"/>
                <w:b w:val="1"/>
                <w:bCs w:val="1"/>
                <w:color w:val="auto"/>
                <w:w w:val="95"/>
              </w:rPr>
              <w:t>Expiration</w:t>
            </w:r>
            <w:r>
              <w:rPr>
                <w:rFonts w:ascii="Times New Roman" w:cs="Times New Roman" w:eastAsia="Times New Roman" w:hAnsi="Times New Roman"/>
                <w:sz w:val="26"/>
                <w:szCs w:val="26"/>
                <w:b w:val="1"/>
                <w:bCs w:val="1"/>
                <w:color w:val="auto"/>
                <w:w w:val="95"/>
                <w:vertAlign w:val="superscript"/>
              </w:rPr>
              <w:t>(1)</w:t>
            </w:r>
          </w:p>
        </w:tc>
        <w:tc>
          <w:tcPr>
            <w:tcW w:w="220" w:type="dxa"/>
            <w:vAlign w:val="bottom"/>
            <w:tcBorders>
              <w:bottom w:val="single" w:sz="8" w:color="CCEEFF"/>
            </w:tcBorders>
            <w:gridSpan w:val="2"/>
          </w:tcPr>
          <w:p>
            <w:pPr>
              <w:spacing w:after="0"/>
              <w:rPr>
                <w:sz w:val="22"/>
                <w:szCs w:val="22"/>
                <w:color w:val="auto"/>
              </w:rPr>
            </w:pPr>
          </w:p>
        </w:tc>
        <w:tc>
          <w:tcPr>
            <w:tcW w:w="780" w:type="dxa"/>
            <w:vAlign w:val="bottom"/>
            <w:tcBorders>
              <w:bottom w:val="single" w:sz="8" w:color="auto"/>
            </w:tcBorders>
            <w:gridSpan w:val="2"/>
          </w:tcPr>
          <w:p>
            <w:pPr>
              <w:ind w:left="80"/>
              <w:spacing w:after="0" w:line="260" w:lineRule="exact"/>
              <w:rPr>
                <w:sz w:val="20"/>
                <w:szCs w:val="20"/>
                <w:color w:val="auto"/>
              </w:rPr>
            </w:pPr>
            <w:r>
              <w:rPr>
                <w:rFonts w:ascii="Times New Roman" w:cs="Times New Roman" w:eastAsia="Times New Roman" w:hAnsi="Times New Roman"/>
                <w:sz w:val="16"/>
                <w:szCs w:val="16"/>
                <w:b w:val="1"/>
                <w:bCs w:val="1"/>
                <w:color w:val="auto"/>
              </w:rPr>
              <w:t>Period</w:t>
            </w:r>
            <w:r>
              <w:rPr>
                <w:rFonts w:ascii="Times New Roman" w:cs="Times New Roman" w:eastAsia="Times New Roman" w:hAnsi="Times New Roman"/>
                <w:sz w:val="26"/>
                <w:szCs w:val="26"/>
                <w:b w:val="1"/>
                <w:bCs w:val="1"/>
                <w:color w:val="auto"/>
                <w:vertAlign w:val="superscript"/>
              </w:rPr>
              <w:t>(2)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82"/>
        </w:trPr>
        <w:tc>
          <w:tcPr>
            <w:tcW w:w="8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w:t>
            </w:r>
          </w:p>
        </w:tc>
        <w:tc>
          <w:tcPr>
            <w:tcW w:w="40" w:type="dxa"/>
            <w:vAlign w:val="bottom"/>
            <w:shd w:val="clear" w:color="auto" w:fill="CCEEFF"/>
          </w:tcPr>
          <w:p>
            <w:pPr>
              <w:spacing w:after="0"/>
              <w:rPr>
                <w:sz w:val="15"/>
                <w:szCs w:val="15"/>
                <w:color w:val="auto"/>
              </w:rPr>
            </w:pPr>
          </w:p>
        </w:tc>
        <w:tc>
          <w:tcPr>
            <w:tcW w:w="4220" w:type="dxa"/>
            <w:vAlign w:val="bottom"/>
            <w:gridSpan w:val="2"/>
            <w:vMerge w:val="restart"/>
            <w:shd w:val="clear" w:color="auto" w:fill="CCEEFF"/>
          </w:tcPr>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Methane Julia Louise </w:t>
            </w:r>
            <w:r>
              <w:rPr>
                <w:rFonts w:ascii="Times New Roman" w:cs="Times New Roman" w:eastAsia="Times New Roman" w:hAnsi="Times New Roman"/>
                <w:sz w:val="26"/>
                <w:szCs w:val="26"/>
                <w:i w:val="1"/>
                <w:iCs w:val="1"/>
                <w:color w:val="auto"/>
                <w:vertAlign w:val="superscript"/>
              </w:rPr>
              <w:t>(10)</w:t>
            </w:r>
          </w:p>
        </w:tc>
        <w:tc>
          <w:tcPr>
            <w:tcW w:w="7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gridSpan w:val="2"/>
            <w:shd w:val="clear" w:color="auto" w:fill="CCEEFF"/>
          </w:tcPr>
          <w:p>
            <w:pPr>
              <w:jc w:val="right"/>
              <w:spacing w:after="0" w:line="182" w:lineRule="exact"/>
              <w:rPr>
                <w:sz w:val="20"/>
                <w:szCs w:val="20"/>
                <w:color w:val="auto"/>
              </w:rPr>
            </w:pPr>
            <w:r>
              <w:rPr>
                <w:rFonts w:ascii="Times New Roman" w:cs="Times New Roman" w:eastAsia="Times New Roman" w:hAnsi="Times New Roman"/>
                <w:sz w:val="16"/>
                <w:szCs w:val="16"/>
                <w:color w:val="auto"/>
              </w:rPr>
              <w:t>2029-</w:t>
            </w: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20" w:type="dxa"/>
            <w:vAlign w:val="bottom"/>
            <w:vMerge w:val="continue"/>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220" w:type="dxa"/>
            <w:vAlign w:val="bottom"/>
            <w:gridSpan w:val="2"/>
            <w:vMerge w:val="continue"/>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2010</w:t>
            </w:r>
          </w:p>
        </w:tc>
        <w:tc>
          <w:tcPr>
            <w:tcW w:w="1000" w:type="dxa"/>
            <w:vAlign w:val="bottom"/>
            <w:gridSpan w:val="5"/>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170,000</w:t>
            </w: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Shell</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780" w:type="dxa"/>
            <w:vAlign w:val="bottom"/>
            <w:gridSpan w:val="5"/>
            <w:shd w:val="clear" w:color="auto" w:fill="CCEEFF"/>
          </w:tcPr>
          <w:p>
            <w:pPr>
              <w:jc w:val="right"/>
              <w:ind w:right="340"/>
              <w:spacing w:after="0"/>
              <w:rPr>
                <w:sz w:val="20"/>
                <w:szCs w:val="20"/>
                <w:color w:val="auto"/>
              </w:rPr>
            </w:pPr>
            <w:r>
              <w:rPr>
                <w:rFonts w:ascii="Times New Roman" w:cs="Times New Roman" w:eastAsia="Times New Roman" w:hAnsi="Times New Roman"/>
                <w:sz w:val="16"/>
                <w:szCs w:val="16"/>
                <w:color w:val="auto"/>
              </w:rPr>
              <w:t>TFDE</w:t>
            </w: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6"/>
                <w:szCs w:val="16"/>
                <w:color w:val="auto"/>
              </w:rPr>
              <w:t>March 2026</w:t>
            </w:r>
          </w:p>
        </w:tc>
        <w:tc>
          <w:tcPr>
            <w:tcW w:w="8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2031</w:t>
            </w:r>
          </w:p>
        </w:tc>
        <w:tc>
          <w:tcPr>
            <w:tcW w:w="0" w:type="dxa"/>
            <w:vAlign w:val="bottom"/>
          </w:tcPr>
          <w:p>
            <w:pPr>
              <w:spacing w:after="0"/>
              <w:rPr>
                <w:sz w:val="1"/>
                <w:szCs w:val="1"/>
                <w:color w:val="auto"/>
              </w:rPr>
            </w:pPr>
          </w:p>
        </w:tc>
      </w:tr>
      <w:tr>
        <w:trPr>
          <w:trHeight w:val="357"/>
        </w:trPr>
        <w:tc>
          <w:tcPr>
            <w:tcW w:w="8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2</w:t>
            </w:r>
          </w:p>
        </w:tc>
        <w:tc>
          <w:tcPr>
            <w:tcW w:w="40" w:type="dxa"/>
            <w:vAlign w:val="bottom"/>
          </w:tcPr>
          <w:p>
            <w:pPr>
              <w:spacing w:after="0"/>
              <w:rPr>
                <w:sz w:val="24"/>
                <w:szCs w:val="24"/>
                <w:color w:val="auto"/>
              </w:rPr>
            </w:pPr>
          </w:p>
        </w:tc>
        <w:tc>
          <w:tcPr>
            <w:tcW w:w="4220" w:type="dxa"/>
            <w:vAlign w:val="bottom"/>
            <w:gridSpan w:val="2"/>
          </w:tcPr>
          <w:p>
            <w:pPr>
              <w:ind w:left="100"/>
              <w:spacing w:after="0"/>
              <w:rPr>
                <w:sz w:val="20"/>
                <w:szCs w:val="20"/>
                <w:color w:val="auto"/>
              </w:rPr>
            </w:pPr>
            <w:r>
              <w:rPr>
                <w:rFonts w:ascii="Times New Roman" w:cs="Times New Roman" w:eastAsia="Times New Roman" w:hAnsi="Times New Roman"/>
                <w:sz w:val="16"/>
                <w:szCs w:val="16"/>
                <w:i w:val="1"/>
                <w:iCs w:val="1"/>
                <w:color w:val="auto"/>
              </w:rPr>
              <w:t xml:space="preserve">GasLog Hong Kong </w:t>
            </w:r>
            <w:r>
              <w:rPr>
                <w:rFonts w:ascii="Times New Roman" w:cs="Times New Roman" w:eastAsia="Times New Roman" w:hAnsi="Times New Roman"/>
                <w:sz w:val="26"/>
                <w:szCs w:val="26"/>
                <w:i w:val="1"/>
                <w:iCs w:val="1"/>
                <w:color w:val="auto"/>
                <w:vertAlign w:val="superscript"/>
              </w:rPr>
              <w:t>(11)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2018</w:t>
            </w:r>
          </w:p>
        </w:tc>
        <w:tc>
          <w:tcPr>
            <w:tcW w:w="1000" w:type="dxa"/>
            <w:vAlign w:val="bottom"/>
            <w:gridSpan w:val="5"/>
          </w:tcPr>
          <w:p>
            <w:pPr>
              <w:jc w:val="right"/>
              <w:spacing w:after="0"/>
              <w:rPr>
                <w:sz w:val="20"/>
                <w:szCs w:val="20"/>
                <w:color w:val="auto"/>
              </w:rPr>
            </w:pPr>
            <w:r>
              <w:rPr>
                <w:rFonts w:ascii="Times New Roman" w:cs="Times New Roman" w:eastAsia="Times New Roman" w:hAnsi="Times New Roman"/>
                <w:sz w:val="16"/>
                <w:szCs w:val="16"/>
                <w:color w:val="auto"/>
              </w:rPr>
              <w:t>174,000</w:t>
            </w:r>
          </w:p>
        </w:tc>
        <w:tc>
          <w:tcPr>
            <w:tcW w:w="200" w:type="dxa"/>
            <w:vAlign w:val="bottom"/>
          </w:tcPr>
          <w:p>
            <w:pPr>
              <w:spacing w:after="0"/>
              <w:rPr>
                <w:sz w:val="24"/>
                <w:szCs w:val="24"/>
                <w:color w:val="auto"/>
              </w:rPr>
            </w:pPr>
          </w:p>
        </w:tc>
        <w:tc>
          <w:tcPr>
            <w:tcW w:w="780" w:type="dxa"/>
            <w:vAlign w:val="bottom"/>
            <w:gridSpan w:val="4"/>
          </w:tcPr>
          <w:p>
            <w:pPr>
              <w:jc w:val="right"/>
              <w:spacing w:after="0"/>
              <w:rPr>
                <w:sz w:val="20"/>
                <w:szCs w:val="20"/>
                <w:color w:val="auto"/>
              </w:rPr>
            </w:pPr>
            <w:r>
              <w:rPr>
                <w:rFonts w:ascii="Times New Roman" w:cs="Times New Roman" w:eastAsia="Times New Roman" w:hAnsi="Times New Roman"/>
                <w:sz w:val="16"/>
                <w:szCs w:val="16"/>
                <w:color w:val="auto"/>
              </w:rPr>
              <w:t xml:space="preserve">Total </w:t>
            </w:r>
            <w:r>
              <w:rPr>
                <w:rFonts w:ascii="Times New Roman" w:cs="Times New Roman" w:eastAsia="Times New Roman" w:hAnsi="Times New Roman"/>
                <w:sz w:val="26"/>
                <w:szCs w:val="26"/>
                <w:color w:val="auto"/>
                <w:vertAlign w:val="superscript"/>
              </w:rPr>
              <w:t>(11)</w:t>
            </w: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80" w:type="dxa"/>
            <w:vAlign w:val="bottom"/>
            <w:gridSpan w:val="5"/>
          </w:tcPr>
          <w:p>
            <w:pPr>
              <w:jc w:val="right"/>
              <w:ind w:right="340"/>
              <w:spacing w:after="0"/>
              <w:rPr>
                <w:sz w:val="20"/>
                <w:szCs w:val="20"/>
                <w:color w:val="auto"/>
              </w:rPr>
            </w:pPr>
            <w:r>
              <w:rPr>
                <w:rFonts w:ascii="Times New Roman" w:cs="Times New Roman" w:eastAsia="Times New Roman" w:hAnsi="Times New Roman"/>
                <w:sz w:val="16"/>
                <w:szCs w:val="16"/>
                <w:color w:val="auto"/>
              </w:rPr>
              <w:t>X-DF</w:t>
            </w:r>
          </w:p>
        </w:tc>
        <w:tc>
          <w:tcPr>
            <w:tcW w:w="1240" w:type="dxa"/>
            <w:vAlign w:val="bottom"/>
            <w:gridSpan w:val="4"/>
          </w:tcPr>
          <w:p>
            <w:pPr>
              <w:jc w:val="right"/>
              <w:ind w:right="220"/>
              <w:spacing w:after="0"/>
              <w:rPr>
                <w:sz w:val="20"/>
                <w:szCs w:val="20"/>
                <w:color w:val="auto"/>
              </w:rPr>
            </w:pPr>
            <w:r>
              <w:rPr>
                <w:rFonts w:ascii="Times New Roman" w:cs="Times New Roman" w:eastAsia="Times New Roman" w:hAnsi="Times New Roman"/>
                <w:sz w:val="16"/>
                <w:szCs w:val="16"/>
                <w:color w:val="auto"/>
                <w:w w:val="98"/>
              </w:rPr>
              <w:t>December 2025</w:t>
            </w:r>
          </w:p>
        </w:tc>
        <w:tc>
          <w:tcPr>
            <w:tcW w:w="880" w:type="dxa"/>
            <w:vAlign w:val="bottom"/>
            <w:gridSpan w:val="3"/>
          </w:tcPr>
          <w:p>
            <w:pPr>
              <w:jc w:val="right"/>
              <w:ind w:right="100"/>
              <w:spacing w:after="0"/>
              <w:rPr>
                <w:sz w:val="20"/>
                <w:szCs w:val="20"/>
                <w:color w:val="auto"/>
              </w:rPr>
            </w:pPr>
            <w:r>
              <w:rPr>
                <w:rFonts w:ascii="Times New Roman" w:cs="Times New Roman" w:eastAsia="Times New Roman" w:hAnsi="Times New Roman"/>
                <w:sz w:val="16"/>
                <w:szCs w:val="16"/>
                <w:color w:val="auto"/>
              </w:rPr>
              <w:t>2028</w:t>
            </w:r>
          </w:p>
        </w:tc>
        <w:tc>
          <w:tcPr>
            <w:tcW w:w="0" w:type="dxa"/>
            <w:vAlign w:val="bottom"/>
          </w:tcPr>
          <w:p>
            <w:pPr>
              <w:spacing w:after="0"/>
              <w:rPr>
                <w:sz w:val="1"/>
                <w:szCs w:val="1"/>
                <w:color w:val="auto"/>
              </w:rPr>
            </w:pPr>
          </w:p>
        </w:tc>
      </w:tr>
    </w:tbl>
    <w:p>
      <w:pPr>
        <w:spacing w:after="0" w:line="80"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Indicates the expiration of the initial term.</w:t>
      </w:r>
    </w:p>
    <w:p>
      <w:pPr>
        <w:spacing w:after="0" w:line="17" w:lineRule="exact"/>
        <w:rPr>
          <w:rFonts w:ascii="Times New Roman" w:cs="Times New Roman" w:eastAsia="Times New Roman" w:hAnsi="Times New Roman"/>
          <w:sz w:val="12"/>
          <w:szCs w:val="12"/>
          <w:color w:val="auto"/>
        </w:rPr>
      </w:pPr>
    </w:p>
    <w:p>
      <w:pPr>
        <w:ind w:left="340" w:right="4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The period shown reflects the expiration of the minimum optional period and the maximum optional period. The charterer of the </w:t>
      </w:r>
      <w:r>
        <w:rPr>
          <w:rFonts w:ascii="Times New Roman" w:cs="Times New Roman" w:eastAsia="Times New Roman" w:hAnsi="Times New Roman"/>
          <w:sz w:val="14"/>
          <w:szCs w:val="14"/>
          <w:i w:val="1"/>
          <w:iCs w:val="1"/>
          <w:color w:val="auto"/>
        </w:rPr>
        <w:t>GasLog Santiago</w:t>
      </w:r>
      <w:r>
        <w:rPr>
          <w:rFonts w:ascii="Times New Roman" w:cs="Times New Roman" w:eastAsia="Times New Roman" w:hAnsi="Times New Roman"/>
          <w:sz w:val="14"/>
          <w:szCs w:val="14"/>
          <w:color w:val="auto"/>
        </w:rPr>
        <w:t xml:space="preserve"> may extend the term of this time charter for a period ranging from one to seven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Methane Becki Anne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Methane Julia</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Louise </w:t>
      </w:r>
      <w:r>
        <w:rPr>
          <w:rFonts w:ascii="Times New Roman" w:cs="Times New Roman" w:eastAsia="Times New Roman" w:hAnsi="Times New Roman"/>
          <w:sz w:val="14"/>
          <w:szCs w:val="14"/>
          <w:color w:val="auto"/>
        </w:rPr>
        <w:t>has unilateral options to extend the term of the related time charters for a period of either three or five years at their election, provided that the charterer provides us with advance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 xml:space="preserve">notice of declaration of any option in accordance with the terms of the applicable charter. The charterer of the </w:t>
      </w:r>
      <w:r>
        <w:rPr>
          <w:rFonts w:ascii="Times New Roman" w:cs="Times New Roman" w:eastAsia="Times New Roman" w:hAnsi="Times New Roman"/>
          <w:sz w:val="14"/>
          <w:szCs w:val="14"/>
          <w:i w:val="1"/>
          <w:iCs w:val="1"/>
          <w:color w:val="auto"/>
        </w:rPr>
        <w:t>GasLog Greece</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Glasgow</w:t>
      </w:r>
      <w:r>
        <w:rPr>
          <w:rFonts w:ascii="Times New Roman" w:cs="Times New Roman" w:eastAsia="Times New Roman" w:hAnsi="Times New Roman"/>
          <w:sz w:val="14"/>
          <w:szCs w:val="14"/>
          <w:color w:val="auto"/>
        </w:rPr>
        <w:t xml:space="preserve"> has the right to extend the charters for a period of five years at the charterer’s option. The charterer of the </w:t>
      </w:r>
      <w:r>
        <w:rPr>
          <w:rFonts w:ascii="Times New Roman" w:cs="Times New Roman" w:eastAsia="Times New Roman" w:hAnsi="Times New Roman"/>
          <w:sz w:val="14"/>
          <w:szCs w:val="14"/>
          <w:i w:val="1"/>
          <w:iCs w:val="1"/>
          <w:color w:val="auto"/>
        </w:rPr>
        <w:t>GasLog Geneva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Gibraltar</w:t>
      </w:r>
      <w:r>
        <w:rPr>
          <w:rFonts w:ascii="Times New Roman" w:cs="Times New Roman" w:eastAsia="Times New Roman" w:hAnsi="Times New Roman"/>
          <w:sz w:val="14"/>
          <w:szCs w:val="14"/>
          <w:color w:val="auto"/>
        </w:rPr>
        <w:t xml:space="preserve"> has the right to extend the charter by two additional periods of five and three years, respectively,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Houston</w:t>
      </w:r>
      <w:r>
        <w:rPr>
          <w:rFonts w:ascii="Times New Roman" w:cs="Times New Roman" w:eastAsia="Times New Roman" w:hAnsi="Times New Roman"/>
          <w:sz w:val="14"/>
          <w:szCs w:val="14"/>
          <w:color w:val="auto"/>
        </w:rPr>
        <w:t xml:space="preserve">, the </w:t>
      </w:r>
      <w:r>
        <w:rPr>
          <w:rFonts w:ascii="Times New Roman" w:cs="Times New Roman" w:eastAsia="Times New Roman" w:hAnsi="Times New Roman"/>
          <w:sz w:val="14"/>
          <w:szCs w:val="14"/>
          <w:i w:val="1"/>
          <w:iCs w:val="1"/>
          <w:color w:val="auto"/>
        </w:rPr>
        <w:t>GasLog Genoa</w:t>
      </w:r>
      <w:r>
        <w:rPr>
          <w:rFonts w:ascii="Times New Roman" w:cs="Times New Roman" w:eastAsia="Times New Roman" w:hAnsi="Times New Roman"/>
          <w:sz w:val="14"/>
          <w:szCs w:val="14"/>
          <w:color w:val="auto"/>
        </w:rPr>
        <w:t xml:space="preserve"> and the </w:t>
      </w:r>
      <w:r>
        <w:rPr>
          <w:rFonts w:ascii="Times New Roman" w:cs="Times New Roman" w:eastAsia="Times New Roman" w:hAnsi="Times New Roman"/>
          <w:sz w:val="14"/>
          <w:szCs w:val="14"/>
          <w:i w:val="1"/>
          <w:iCs w:val="1"/>
          <w:color w:val="auto"/>
        </w:rPr>
        <w:t>GasLog Gladstone</w:t>
      </w:r>
      <w:r>
        <w:rPr>
          <w:rFonts w:ascii="Times New Roman" w:cs="Times New Roman" w:eastAsia="Times New Roman" w:hAnsi="Times New Roman"/>
          <w:sz w:val="14"/>
          <w:szCs w:val="14"/>
          <w:color w:val="auto"/>
        </w:rPr>
        <w:t xml:space="preserve"> has the right to extend the charters by two additional periods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has the right to extend the charter for a period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Warsaw</w:t>
      </w:r>
      <w:r>
        <w:rPr>
          <w:rFonts w:ascii="Times New Roman" w:cs="Times New Roman" w:eastAsia="Times New Roman" w:hAnsi="Times New Roman"/>
          <w:sz w:val="14"/>
          <w:szCs w:val="14"/>
          <w:color w:val="auto"/>
        </w:rPr>
        <w:t xml:space="preserve"> has the right to extend the charter by two additional periods of six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Windsor</w:t>
      </w:r>
      <w:r>
        <w:rPr>
          <w:rFonts w:ascii="Times New Roman" w:cs="Times New Roman" w:eastAsia="Times New Roman" w:hAnsi="Times New Roman"/>
          <w:sz w:val="14"/>
          <w:szCs w:val="14"/>
          <w:color w:val="auto"/>
        </w:rPr>
        <w:t xml:space="preserve"> has the right to extend the charter by three additional periods of two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Wales</w:t>
      </w:r>
      <w:r>
        <w:rPr>
          <w:rFonts w:ascii="Times New Roman" w:cs="Times New Roman" w:eastAsia="Times New Roman" w:hAnsi="Times New Roman"/>
          <w:sz w:val="14"/>
          <w:szCs w:val="14"/>
          <w:color w:val="auto"/>
        </w:rPr>
        <w:t xml:space="preserve"> has the right to extend the charter by two additional periods of three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GasLog Westminster</w:t>
      </w:r>
      <w:r>
        <w:rPr>
          <w:rFonts w:ascii="Times New Roman" w:cs="Times New Roman" w:eastAsia="Times New Roman" w:hAnsi="Times New Roman"/>
          <w:sz w:val="14"/>
          <w:szCs w:val="14"/>
          <w:color w:val="auto"/>
        </w:rPr>
        <w:t xml:space="preserve"> has the right to extend the charter by three additional periods of two years, provided that the charterer provides us with advance notice of declaration. The charterer of the </w:t>
      </w:r>
      <w:r>
        <w:rPr>
          <w:rFonts w:ascii="Times New Roman" w:cs="Times New Roman" w:eastAsia="Times New Roman" w:hAnsi="Times New Roman"/>
          <w:sz w:val="14"/>
          <w:szCs w:val="14"/>
          <w:i w:val="1"/>
          <w:iCs w:val="1"/>
          <w:color w:val="auto"/>
        </w:rPr>
        <w:t>Methane Alison Victoria</w:t>
      </w:r>
      <w:r>
        <w:rPr>
          <w:rFonts w:ascii="Times New Roman" w:cs="Times New Roman" w:eastAsia="Times New Roman" w:hAnsi="Times New Roman"/>
          <w:sz w:val="14"/>
          <w:szCs w:val="14"/>
          <w:color w:val="auto"/>
        </w:rPr>
        <w:t xml:space="preserve"> may extend the term of the related charter by two additional periods of one year, provided that the charterer gives us advance notice of its exercise of any extension option.</w:t>
      </w:r>
    </w:p>
    <w:p>
      <w:pPr>
        <w:spacing w:after="0" w:line="3"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Clearlake Shipping Pte. Ltd., a subsidiary of Gunvor Group Ltd. (“Gunvor”).</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Cheniere Marketing International LLP, a wholly-owned subsidiary of Cheniere Energy, Inc. (“Cheniere”).</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“Endesa” refers to Endesa S.A.</w:t>
      </w:r>
    </w:p>
    <w:p>
      <w:pPr>
        <w:spacing w:after="0" w:line="1" w:lineRule="exact"/>
        <w:rPr>
          <w:rFonts w:ascii="Times New Roman" w:cs="Times New Roman" w:eastAsia="Times New Roman" w:hAnsi="Times New Roman"/>
          <w:sz w:val="12"/>
          <w:szCs w:val="12"/>
          <w:color w:val="auto"/>
        </w:rPr>
      </w:pPr>
    </w:p>
    <w:p>
      <w:pPr>
        <w:ind w:left="340" w:right="280" w:hanging="332"/>
        <w:spacing w:after="0" w:line="221"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currently trading in the spot market and has been chartered to Sinolam LNG for the provision of an FSU. The charter is expected to commence in April 2021, after the dry-docking and conversion of the vessel to an FSU.</w:t>
      </w: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“Trafigura” refers to Trafigura Maritime Logistics PTE Ltd.</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Singapore Carbon Hydrogen Energy Pte. Ltd., a wholly-owned subsidiary of JOVO Group (“JOVO”). The charter commenced on July 12, 2020.</w:t>
      </w:r>
    </w:p>
    <w:p>
      <w:pPr>
        <w:spacing w:after="0" w:line="1" w:lineRule="exact"/>
        <w:rPr>
          <w:rFonts w:ascii="Times New Roman" w:cs="Times New Roman" w:eastAsia="Times New Roman" w:hAnsi="Times New Roman"/>
          <w:sz w:val="12"/>
          <w:szCs w:val="12"/>
          <w:color w:val="auto"/>
        </w:rPr>
      </w:pPr>
    </w:p>
    <w:p>
      <w:pPr>
        <w:ind w:left="340" w:hanging="332"/>
        <w:spacing w:after="0"/>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The vessel is chartered to CNTIC VPower Energy Ltd. (“CNTIC VPower”), an independent Chinese energy company. The charter commenced on October 10, 2020.</w:t>
      </w:r>
    </w:p>
    <w:p>
      <w:pPr>
        <w:spacing w:after="0" w:line="1" w:lineRule="exact"/>
        <w:rPr>
          <w:rFonts w:ascii="Times New Roman" w:cs="Times New Roman" w:eastAsia="Times New Roman" w:hAnsi="Times New Roman"/>
          <w:sz w:val="12"/>
          <w:szCs w:val="12"/>
          <w:color w:val="auto"/>
        </w:rPr>
      </w:pPr>
    </w:p>
    <w:p>
      <w:pPr>
        <w:ind w:left="340" w:hanging="332"/>
        <w:spacing w:after="0" w:line="230" w:lineRule="auto"/>
        <w:tabs>
          <w:tab w:leader="none" w:pos="340" w:val="left"/>
        </w:tabs>
        <w:numPr>
          <w:ilvl w:val="0"/>
          <w:numId w:val="13"/>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On February 24, 2016, GasLog’s subsidiary, GAS-twenty six Ltd., completed the sale and leaseback of the </w:t>
      </w:r>
      <w:r>
        <w:rPr>
          <w:rFonts w:ascii="Times New Roman" w:cs="Times New Roman" w:eastAsia="Times New Roman" w:hAnsi="Times New Roman"/>
          <w:sz w:val="14"/>
          <w:szCs w:val="14"/>
          <w:i w:val="1"/>
          <w:iCs w:val="1"/>
          <w:color w:val="auto"/>
        </w:rPr>
        <w:t>Methane Julia Louise</w:t>
      </w:r>
      <w:r>
        <w:rPr>
          <w:rFonts w:ascii="Times New Roman" w:cs="Times New Roman" w:eastAsia="Times New Roman" w:hAnsi="Times New Roman"/>
          <w:sz w:val="14"/>
          <w:szCs w:val="14"/>
          <w:color w:val="auto"/>
        </w:rPr>
        <w:t xml:space="preserve"> with Lepta Shipping. Lepta Shipping has the right to on-sell and lease back the vessel. The vessel was sold to Lepta Shipping for a total consideration approximately equivalent to its book value at the time of the sale. GasLog has leased back the vessel under a bareboat charter from Lepta Shipping for a period of up to 20 years. GasLog has the option to re-purchase the vessel on pre-agreed terms no earlier than the end of year ten and no later than the end of year 17 of the bareboat charter. The vessel remains on its eleven-year-charter with Methane Services Limited, a subsidiary of Shell.</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41" w:right="339" w:bottom="1440" w:gutter="0" w:footer="0" w:header="0"/>
        </w:sectPr>
      </w:pPr>
    </w:p>
    <w:bookmarkStart w:id="18" w:name="page19"/>
    <w:bookmarkEnd w:id="18"/>
    <w:p>
      <w:pPr>
        <w:jc w:val="both"/>
        <w:ind w:left="340" w:hanging="332"/>
        <w:spacing w:after="0" w:line="236" w:lineRule="auto"/>
        <w:tabs>
          <w:tab w:leader="none" w:pos="340" w:val="left"/>
        </w:tabs>
        <w:numPr>
          <w:ilvl w:val="0"/>
          <w:numId w:val="14"/>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On October 22, 2020, GasLog’s subsidiary, GAS-twenty five Ltd., completed the sale and leaseback of the </w:t>
      </w:r>
      <w:r>
        <w:rPr>
          <w:rFonts w:ascii="Times New Roman" w:cs="Times New Roman" w:eastAsia="Times New Roman" w:hAnsi="Times New Roman"/>
          <w:sz w:val="14"/>
          <w:szCs w:val="14"/>
          <w:i w:val="1"/>
          <w:iCs w:val="1"/>
          <w:color w:val="auto"/>
        </w:rPr>
        <w:t>GasLog Hong Kong</w:t>
      </w:r>
      <w:r>
        <w:rPr>
          <w:rFonts w:ascii="Times New Roman" w:cs="Times New Roman" w:eastAsia="Times New Roman" w:hAnsi="Times New Roman"/>
          <w:sz w:val="14"/>
          <w:szCs w:val="14"/>
          <w:color w:val="auto"/>
        </w:rPr>
        <w:t xml:space="preserve"> with Sea 190 Leasing. The vessel was sold to Sea 190 Leasing. GasLog has leased back the vessel under a bareboat charter from Sea 190 Leasing for a period of up to twelve years. GasLog has the option to re-purchase the vessel on pre-agreed terms no earlier than the end of year one and no later than the end of year 12 of the bareboat charter. The vessel remains on its charter with Total Gas &amp; Power Chartering Limited, a wholly-owned subsidiary of Total S.A., (“Total”).</w:t>
      </w:r>
    </w:p>
    <w:p>
      <w:pPr>
        <w:spacing w:after="0" w:line="188" w:lineRule="exact"/>
        <w:rPr>
          <w:sz w:val="20"/>
          <w:szCs w:val="20"/>
          <w:color w:val="auto"/>
        </w:rPr>
      </w:pPr>
    </w:p>
    <w:p>
      <w:pPr>
        <w:jc w:val="both"/>
        <w:ind w:right="40" w:firstLine="324"/>
        <w:spacing w:after="0" w:line="275" w:lineRule="auto"/>
        <w:rPr>
          <w:sz w:val="20"/>
          <w:szCs w:val="20"/>
          <w:color w:val="auto"/>
        </w:rPr>
      </w:pPr>
      <w:r>
        <w:rPr>
          <w:rFonts w:ascii="Times New Roman" w:cs="Times New Roman" w:eastAsia="Times New Roman" w:hAnsi="Times New Roman"/>
          <w:sz w:val="16"/>
          <w:szCs w:val="16"/>
          <w:color w:val="auto"/>
        </w:rPr>
        <w:t xml:space="preserve">Under the omnibus agreement entered into with GasLog Partners and certain of its subsidiaries in connection with the Partnership’s initial public offering, as amended, GasLog Partners has the option to purchase from us the </w:t>
      </w:r>
      <w:r>
        <w:rPr>
          <w:rFonts w:ascii="Times New Roman" w:cs="Times New Roman" w:eastAsia="Times New Roman" w:hAnsi="Times New Roman"/>
          <w:sz w:val="16"/>
          <w:szCs w:val="16"/>
          <w:i w:val="1"/>
          <w:iCs w:val="1"/>
          <w:color w:val="auto"/>
        </w:rPr>
        <w:t>GasLog Warsaw</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each within 30 days following receipt of notice from GasLog that the vessel has commenced its multi-year charter (being at least five years in length). GasLog Partners’ option to purchase is at fair market value as determined pursuant to the omnibus agreement.</w:t>
      </w:r>
    </w:p>
    <w:p>
      <w:pPr>
        <w:spacing w:after="0" w:line="183"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6"/>
          <w:szCs w:val="16"/>
          <w:color w:val="auto"/>
        </w:rPr>
        <w:t>GasLog Partners also has a right of first offer from us to purchase any other LNG carriers with cargo capacity greater than 75,000 cbm engaged in ongoing LNG transportation under charters of five full years or more that we own or acquire (the “Five-Year Vessels”) either at their acquisition cost plus certain break up costs (in the case of a newly acquired Five-Year Vessel) or at their fair market value (in the case of a previously owned vessel that becomes a Five-Year Vessel). In addition, our four newbuildings (Hull Nos. 2300, 2301, 2311 and 2312) will each qualify as a Five-Year Vessel upon commencement of their charters and we will be required to offer to GasLog Partners an opportunity to purchase each vessel at fair market value within 30 days of the commencement of her charter. Generally, GasLog Partners must exercise this right of first offer within 30 days following the notice from us that the vessel has been acquired or has become a Five-Year Vessel.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Charter Expirations</w:t>
      </w:r>
    </w:p>
    <w:p>
      <w:pPr>
        <w:spacing w:after="0" w:line="237" w:lineRule="exact"/>
        <w:rPr>
          <w:sz w:val="20"/>
          <w:szCs w:val="20"/>
          <w:color w:val="auto"/>
        </w:rPr>
      </w:pPr>
    </w:p>
    <w:p>
      <w:pPr>
        <w:jc w:val="both"/>
        <w:ind w:firstLine="324"/>
        <w:spacing w:after="0" w:line="276" w:lineRule="auto"/>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are due to come off charter in December 2020, each plus or minus 30 days, while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 xml:space="preserve">GasLog Seattle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Solaris </w:t>
      </w:r>
      <w:r>
        <w:rPr>
          <w:rFonts w:ascii="Times New Roman" w:cs="Times New Roman" w:eastAsia="Times New Roman" w:hAnsi="Times New Roman"/>
          <w:sz w:val="16"/>
          <w:szCs w:val="16"/>
          <w:color w:val="auto"/>
        </w:rPr>
        <w:t>are due to come off charter in March 2021, June 2021 and June 2021 respectively. GasLog and GasLog Partners have secured a multi-month</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time charter for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and continue to pursue opportunities for new term charters with third parties and will trade the vessels in the spot/short-term charter market, pursuing the most advantageous redeployment depending on evolving market conditions.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8"/>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Three-month period ended September 30, 2019 compared to the three-month period ended September 30, 2020</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6"/>
        </w:trPr>
        <w:tc>
          <w:tcPr>
            <w:tcW w:w="8440" w:type="dxa"/>
            <w:vAlign w:val="bottom"/>
          </w:tcPr>
          <w:p>
            <w:pPr>
              <w:spacing w:after="0"/>
              <w:rPr>
                <w:sz w:val="24"/>
                <w:szCs w:val="24"/>
                <w:color w:val="auto"/>
              </w:rPr>
            </w:pPr>
          </w:p>
        </w:tc>
        <w:tc>
          <w:tcPr>
            <w:tcW w:w="2800" w:type="dxa"/>
            <w:vAlign w:val="bottom"/>
            <w:gridSpan w:val="4"/>
          </w:tcPr>
          <w:p>
            <w:pPr>
              <w:jc w:val="right"/>
              <w:ind w:right="4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0" w:type="dxa"/>
            <w:vAlign w:val="bottom"/>
          </w:tcPr>
          <w:p>
            <w:pPr>
              <w:spacing w:after="0"/>
              <w:rPr>
                <w:sz w:val="1"/>
                <w:szCs w:val="1"/>
                <w:color w:val="auto"/>
              </w:rPr>
            </w:pPr>
          </w:p>
        </w:tc>
      </w:tr>
      <w:tr>
        <w:trPr>
          <w:trHeight w:val="230"/>
        </w:trPr>
        <w:tc>
          <w:tcPr>
            <w:tcW w:w="8440" w:type="dxa"/>
            <w:vAlign w:val="bottom"/>
          </w:tcPr>
          <w:p>
            <w:pPr>
              <w:spacing w:after="0"/>
              <w:rPr>
                <w:sz w:val="19"/>
                <w:szCs w:val="19"/>
                <w:color w:val="auto"/>
              </w:rPr>
            </w:pPr>
          </w:p>
        </w:tc>
        <w:tc>
          <w:tcPr>
            <w:tcW w:w="14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8440" w:type="dxa"/>
            <w:vAlign w:val="bottom"/>
          </w:tcPr>
          <w:p>
            <w:pPr>
              <w:spacing w:after="0"/>
              <w:rPr>
                <w:sz w:val="20"/>
                <w:szCs w:val="20"/>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6"/>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Revenues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165,586</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156,729</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Net pool allocation</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(184)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(6,656)</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(5,159)</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(33,796)</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(39,161)</w:t>
            </w: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(43,237)</w:t>
            </w:r>
          </w:p>
        </w:tc>
        <w:tc>
          <w:tcPr>
            <w:tcW w:w="13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6"/>
                <w:szCs w:val="16"/>
                <w:color w:val="auto"/>
              </w:rPr>
              <w:t>(45,106)</w:t>
            </w:r>
          </w:p>
        </w:tc>
        <w:tc>
          <w:tcPr>
            <w:tcW w:w="0" w:type="dxa"/>
            <w:vAlign w:val="bottom"/>
          </w:tcPr>
          <w:p>
            <w:pPr>
              <w:spacing w:after="0"/>
              <w:rPr>
                <w:sz w:val="1"/>
                <w:szCs w:val="1"/>
                <w:color w:val="auto"/>
              </w:rPr>
            </w:pP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(11,324)</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(14,677)</w:t>
            </w:r>
          </w:p>
        </w:tc>
        <w:tc>
          <w:tcPr>
            <w:tcW w:w="0" w:type="dxa"/>
            <w:vAlign w:val="bottom"/>
          </w:tcPr>
          <w:p>
            <w:pPr>
              <w:spacing w:after="0"/>
              <w:rPr>
                <w:sz w:val="1"/>
                <w:szCs w:val="1"/>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70,389</w:t>
            </w:r>
          </w:p>
        </w:tc>
        <w:tc>
          <w:tcPr>
            <w:tcW w:w="22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52,626</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(46,461)</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2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40</w:t>
            </w:r>
          </w:p>
        </w:tc>
        <w:tc>
          <w:tcPr>
            <w:tcW w:w="0" w:type="dxa"/>
            <w:vAlign w:val="bottom"/>
          </w:tcPr>
          <w:p>
            <w:pPr>
              <w:spacing w:after="0"/>
              <w:rPr>
                <w:sz w:val="1"/>
                <w:szCs w:val="1"/>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(16,758)</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(2,095)</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648</w:t>
            </w:r>
          </w:p>
        </w:tc>
        <w:tc>
          <w:tcPr>
            <w:tcW w:w="0" w:type="dxa"/>
            <w:vAlign w:val="bottom"/>
          </w:tcPr>
          <w:p>
            <w:pPr>
              <w:spacing w:after="0"/>
              <w:rPr>
                <w:sz w:val="1"/>
                <w:szCs w:val="1"/>
                <w:color w:val="auto"/>
              </w:rPr>
            </w:pP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(61,500</w:t>
            </w:r>
          </w:p>
        </w:tc>
        <w:tc>
          <w:tcPr>
            <w:tcW w:w="220" w:type="dxa"/>
            <w:vAlign w:val="bottom"/>
            <w:tcBorders>
              <w:bottom w:val="single" w:sz="8" w:color="CCEEFF"/>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(42,510</w:t>
            </w:r>
          </w:p>
        </w:tc>
        <w:tc>
          <w:tcPr>
            <w:tcW w:w="100" w:type="dxa"/>
            <w:vAlign w:val="bottom"/>
            <w:tcBorders>
              <w:bottom w:val="single" w:sz="8" w:color="CCEEFF"/>
            </w:tcBorders>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Profit for the period</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8,889</w:t>
            </w:r>
          </w:p>
        </w:tc>
        <w:tc>
          <w:tcPr>
            <w:tcW w:w="2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10,116</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185"/>
        </w:trPr>
        <w:tc>
          <w:tcPr>
            <w:tcW w:w="844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(22,434</w:t>
            </w:r>
          </w:p>
        </w:tc>
        <w:tc>
          <w:tcPr>
            <w:tcW w:w="22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(10,470</w:t>
            </w:r>
          </w:p>
        </w:tc>
        <w:tc>
          <w:tcPr>
            <w:tcW w:w="100" w:type="dxa"/>
            <w:vAlign w:val="bottom"/>
            <w:tcBorders>
              <w:bottom w:val="single" w:sz="8" w:color="CCEEFF"/>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8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Loss attributable to owners of the Group</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(13,545</w:t>
            </w:r>
          </w:p>
        </w:tc>
        <w:tc>
          <w:tcPr>
            <w:tcW w:w="22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(354</w:t>
            </w:r>
          </w:p>
        </w:tc>
        <w:tc>
          <w:tcPr>
            <w:tcW w:w="100" w:type="dxa"/>
            <w:vAlign w:val="bottom"/>
            <w:tcBorders>
              <w:bottom w:val="single" w:sz="8" w:color="CCEEFF"/>
            </w:tcBorders>
            <w:shd w:val="clear" w:color="auto" w:fill="CCEE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0" w:firstLine="324"/>
        <w:spacing w:after="0" w:line="275" w:lineRule="auto"/>
        <w:rPr>
          <w:sz w:val="20"/>
          <w:szCs w:val="20"/>
          <w:color w:val="auto"/>
        </w:rPr>
      </w:pPr>
      <w:r>
        <w:rPr>
          <w:rFonts w:ascii="Times New Roman" w:cs="Times New Roman" w:eastAsia="Times New Roman" w:hAnsi="Times New Roman"/>
          <w:sz w:val="16"/>
          <w:szCs w:val="16"/>
          <w:color w:val="auto"/>
        </w:rPr>
        <w:t>During the three-month period ended September 30, 2019 we had an average of 27.7 ships operating in our owned and bareboat fleet (including ships owned by the Partnership), having 2,296 operating days and an average of 27.7 ships operating under our technical management (including our 26.7 owned and bareboat ships). During the three-month period ended September 30, 2020, we had an average of 30.8 ships operating in our owned and bareboat fleet (including ships owned by the Partnership), having 2,528 operating days and an average of 30.8 ships operating under our technical management (including 29.8 of our owned and bareboat ships).</w:t>
      </w:r>
    </w:p>
    <w:p>
      <w:pPr>
        <w:spacing w:after="0" w:line="3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8"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39"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 xml:space="preserve">Revenues decreased by 5.4%, or $8.9 million, from $165.6 million during the three-month period ended September 30, 2019, to $156.7 million during the three-month period ended September 30, 2020. The decrease in revenues is attributable to a decrease of $23.7 million from the vessels owned by GasLog’s subsidiary, GasLog Partners mainly due to the expiration of the initial multi-year time charters of the </w:t>
      </w:r>
      <w:r>
        <w:rPr>
          <w:rFonts w:ascii="Times New Roman" w:cs="Times New Roman" w:eastAsia="Times New Roman" w:hAnsi="Times New Roman"/>
          <w:sz w:val="16"/>
          <w:szCs w:val="16"/>
          <w:i w:val="1"/>
          <w:iCs w:val="1"/>
          <w:color w:val="auto"/>
        </w:rPr>
        <w:t>Methane Jane Elizabeth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Shirley Elisabeth </w:t>
      </w:r>
      <w:r>
        <w:rPr>
          <w:rFonts w:ascii="Times New Roman" w:cs="Times New Roman" w:eastAsia="Times New Roman" w:hAnsi="Times New Roman"/>
          <w:sz w:val="16"/>
          <w:szCs w:val="16"/>
          <w:color w:val="auto"/>
        </w:rPr>
        <w:t>and the 18-month time charter of the</w:t>
      </w:r>
      <w:r>
        <w:rPr>
          <w:rFonts w:ascii="Times New Roman" w:cs="Times New Roman" w:eastAsia="Times New Roman" w:hAnsi="Times New Roman"/>
          <w:sz w:val="16"/>
          <w:szCs w:val="16"/>
          <w:i w:val="1"/>
          <w:iCs w:val="1"/>
          <w:color w:val="auto"/>
        </w:rPr>
        <w:t xml:space="preserve"> GasLog Sydney</w:t>
      </w:r>
      <w:r>
        <w:rPr>
          <w:rFonts w:ascii="Times New Roman" w:cs="Times New Roman" w:eastAsia="Times New Roman" w:hAnsi="Times New Roman"/>
          <w:sz w:val="16"/>
          <w:szCs w:val="16"/>
          <w:color w:val="auto"/>
        </w:rPr>
        <w:t>. Revenues from the GasLog 100% owned fleet increased by $21.8 million mainly due to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deliveries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on April 1, 2020 , May 11, 2020 and July 15, 2020, respectively, and the operation for the full three-month period of the </w:t>
      </w:r>
      <w:r>
        <w:rPr>
          <w:rFonts w:ascii="Times New Roman" w:cs="Times New Roman" w:eastAsia="Times New Roman" w:hAnsi="Times New Roman"/>
          <w:sz w:val="16"/>
          <w:szCs w:val="16"/>
          <w:i w:val="1"/>
          <w:iCs w:val="1"/>
          <w:color w:val="auto"/>
        </w:rPr>
        <w:t>GasLog Warsaw</w:t>
      </w:r>
      <w:r>
        <w:rPr>
          <w:rFonts w:ascii="Times New Roman" w:cs="Times New Roman" w:eastAsia="Times New Roman" w:hAnsi="Times New Roman"/>
          <w:sz w:val="16"/>
          <w:szCs w:val="16"/>
          <w:color w:val="auto"/>
        </w:rPr>
        <w:t>, delivered on July 31, 2019, partially offset by a decrease of $3.4 million from vessels operating in the spot market in both periods. The average daily hire rate decreased from $72,035 for the three-month period ended September 30, 2019 to $61,917 for the quarter ended September 30, 2020.</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Voyage Expenses and Commissions:</w:t>
      </w:r>
    </w:p>
    <w:p>
      <w:pPr>
        <w:spacing w:after="0" w:line="239" w:lineRule="exact"/>
        <w:rPr>
          <w:sz w:val="20"/>
          <w:szCs w:val="20"/>
          <w:color w:val="auto"/>
        </w:rPr>
      </w:pPr>
    </w:p>
    <w:p>
      <w:pPr>
        <w:ind w:right="220" w:firstLine="324"/>
        <w:spacing w:after="0" w:line="281" w:lineRule="auto"/>
        <w:rPr>
          <w:sz w:val="20"/>
          <w:szCs w:val="20"/>
          <w:color w:val="auto"/>
        </w:rPr>
      </w:pPr>
      <w:r>
        <w:rPr>
          <w:rFonts w:ascii="Times New Roman" w:cs="Times New Roman" w:eastAsia="Times New Roman" w:hAnsi="Times New Roman"/>
          <w:sz w:val="16"/>
          <w:szCs w:val="16"/>
          <w:color w:val="auto"/>
        </w:rPr>
        <w:t>Voyage expenses and commissions decreased by 22.4%, or $1.5 million, from $6.7 million during the three-month period ended September 30, 2019, to $5.2 million during the three-month period ended September 30, 2020. The decrease is attributable to the decrease in bunkers consumption and brokers’ commissions of our vessels operating in the spot market in line with the decrease in revenues mentioned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Vessel Operating and Supervision Costs:</w:t>
      </w:r>
    </w:p>
    <w:p>
      <w:pPr>
        <w:spacing w:after="0" w:line="239" w:lineRule="exact"/>
        <w:rPr>
          <w:sz w:val="20"/>
          <w:szCs w:val="20"/>
          <w:color w:val="auto"/>
        </w:rPr>
      </w:pPr>
    </w:p>
    <w:p>
      <w:pPr>
        <w:ind w:right="120" w:firstLine="324"/>
        <w:spacing w:after="0" w:line="271" w:lineRule="auto"/>
        <w:rPr>
          <w:sz w:val="20"/>
          <w:szCs w:val="20"/>
          <w:color w:val="auto"/>
        </w:rPr>
      </w:pPr>
      <w:r>
        <w:rPr>
          <w:rFonts w:ascii="Times New Roman" w:cs="Times New Roman" w:eastAsia="Times New Roman" w:hAnsi="Times New Roman"/>
          <w:sz w:val="16"/>
          <w:szCs w:val="16"/>
          <w:color w:val="auto"/>
        </w:rPr>
        <w:t xml:space="preserve">Vessel operating and supervision costs increased by 16.0%, or $5.4 million, from $33.8 million during the three-month period ended September 30, 2019, to $39.2 million during the three-month period ended September 30, 2020. The increase was mainly attributable to the increase of our fleet following the delivery of three vessels in 2020, the increased scheduled technical and maintenance costs related to engine maintenance as well as the unfavorable movement of the Euro (“EUR”)/U.S. dollar (“USD”) exchange rate in the third quarter of 2020 as compared to the prior quarter. Daily operating costs per vessel increased from $13,777 per ownership day (excluding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managed by Shell) for the three-month period ended September 30, 2019 to $14,261 per ownership day (excluding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managed by Shell) for the three-month period ended September 30, 2020.</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39"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6"/>
          <w:szCs w:val="16"/>
          <w:color w:val="auto"/>
        </w:rPr>
        <w:t>General and administrative expenses increased by $3.4 million, from $11.3 million during the three-month period ended September 30, 2019, to $14.7 million during the three-month period ended September 30, 2020, before adjusting for restructuring costs in 2020. General and administrative expenses include the effect of the restructuring costs of $3.1 million. Daily running expenses increased from $4,449 per vessel ownership day for the three-month period ended September 30, 2019 to $5,171 per vessel ownership day for the three-month period ended September 30, 2020, which includes restructuring costs of $1,109 per vessel ownership day in 2020. The increase in absolute terms is due to the aforementioned restructuring costs and the unfavorable movement of the EUR/USD exchange rate in the third quarter of 2020, partially offset by the increased operating days of our fleet.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Costs:</w:t>
      </w:r>
    </w:p>
    <w:p>
      <w:pPr>
        <w:spacing w:after="0" w:line="239"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Financial costs decreased by 11.6%, or $5.4 million, from $46.5 million during the three-month period ended September 30, 2019, to $41.1 million during the three-month period ended September 30, 2020. The decrease is mainly attributable to a net decrease of $10.0 million in interest expense on loans, bonds and cash flow hedges, partially offset by an increase of $5.0 million in amortization and write-off of deferred loan/bond issuance costs/premium mainly consisting of the $4.8 million of write-offs of unamortized loan fees due to the refinancing which took place in the third quarter of 2020. During the three-month period ended September 30, 2020, we had an average of $3,560.8 million of outstanding indebtedness, with a weighted average interest rate of 3.3%, while during the three-month period ended September 30, 2019, we had an average of $3,158.0 million of outstanding indebtedness having an aggregate weighted average interest rate of 5.0%, due primarily to a decrease in USD London Interbank Offered Rate (“LIBOR”) rates. Average indebtedness is based on the daily outstanding principal for loans and bonds, and weighted average interest rates are computed based on total interest expense on loans, cash flow hedges, senior unsecured notes and cross-currency swaps.</w:t>
      </w:r>
    </w:p>
    <w:p>
      <w:pPr>
        <w:spacing w:after="0" w:line="3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on Derivatives:</w:t>
      </w:r>
    </w:p>
    <w:p>
      <w:pPr>
        <w:spacing w:after="0" w:line="239" w:lineRule="exact"/>
        <w:rPr>
          <w:sz w:val="20"/>
          <w:szCs w:val="20"/>
          <w:color w:val="auto"/>
        </w:rPr>
      </w:pPr>
    </w:p>
    <w:p>
      <w:pPr>
        <w:ind w:right="60" w:firstLine="324"/>
        <w:spacing w:after="0" w:line="271" w:lineRule="auto"/>
        <w:rPr>
          <w:sz w:val="20"/>
          <w:szCs w:val="20"/>
          <w:color w:val="auto"/>
        </w:rPr>
      </w:pPr>
      <w:r>
        <w:rPr>
          <w:rFonts w:ascii="Times New Roman" w:cs="Times New Roman" w:eastAsia="Times New Roman" w:hAnsi="Times New Roman"/>
          <w:sz w:val="16"/>
          <w:szCs w:val="16"/>
          <w:color w:val="auto"/>
        </w:rPr>
        <w:t>Loss on derivatives decreased by $14.7 million, from a loss of $16.8 million during the three-month period ended September 30, 2019, to a loss of $2.1 million during the three-month period ended September 30, 2020. The decrease is attributable to a decrease of $21.9 million in loss from marked-to-market valuation of our derivative financial instruments carried at fair value through profit or loss which reflected a loss of $15.9 million in the three months ended September 30, 2019, as compared to a gain of $6.0 million in the three months ended September 30, 2020 and a decrease of $2.1 million in realized loss on forward foreign exchange contracts held for trading. The above movements were partially offset by a decrease of $8.8 million in realized gain from interest rate swaps held for trading and an increase of $0.5 million in the ineffective portion of cash flow hedges.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Profit for the Period:</w:t>
      </w:r>
    </w:p>
    <w:p>
      <w:pPr>
        <w:spacing w:after="0" w:line="239" w:lineRule="exact"/>
        <w:rPr>
          <w:sz w:val="20"/>
          <w:szCs w:val="20"/>
          <w:color w:val="auto"/>
        </w:rPr>
      </w:pPr>
    </w:p>
    <w:p>
      <w:pPr>
        <w:ind w:right="220" w:firstLine="324"/>
        <w:spacing w:after="0" w:line="298" w:lineRule="auto"/>
        <w:rPr>
          <w:sz w:val="20"/>
          <w:szCs w:val="20"/>
          <w:color w:val="auto"/>
        </w:rPr>
      </w:pPr>
      <w:r>
        <w:rPr>
          <w:rFonts w:ascii="Times New Roman" w:cs="Times New Roman" w:eastAsia="Times New Roman" w:hAnsi="Times New Roman"/>
          <w:sz w:val="16"/>
          <w:szCs w:val="16"/>
          <w:color w:val="auto"/>
        </w:rPr>
        <w:t>Profit for the period increased by $1.2 million, from a profit of $8.9 million for the three-month period ended September 30, 2019, to a profit of $10.1 million for the three-month period ended September 30, 2020, as a result of the aforementioned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Attributable to Owners of the Group:</w:t>
      </w:r>
    </w:p>
    <w:p>
      <w:pPr>
        <w:spacing w:after="0" w:line="239" w:lineRule="exact"/>
        <w:rPr>
          <w:sz w:val="20"/>
          <w:szCs w:val="20"/>
          <w:color w:val="auto"/>
        </w:rPr>
      </w:pPr>
    </w:p>
    <w:p>
      <w:pPr>
        <w:ind w:right="100" w:firstLine="324"/>
        <w:spacing w:after="0" w:line="298" w:lineRule="auto"/>
        <w:rPr>
          <w:sz w:val="20"/>
          <w:szCs w:val="20"/>
          <w:color w:val="auto"/>
        </w:rPr>
      </w:pPr>
      <w:r>
        <w:rPr>
          <w:rFonts w:ascii="Times New Roman" w:cs="Times New Roman" w:eastAsia="Times New Roman" w:hAnsi="Times New Roman"/>
          <w:sz w:val="16"/>
          <w:szCs w:val="16"/>
          <w:color w:val="auto"/>
        </w:rPr>
        <w:t>Loss attributable to owners of the Group decreased by $13.1 million, from $13.5 million loss for the three-month period ended September 30, 2019, to $0.4 million for the three-month period ended September 30, 2020.</w:t>
      </w: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5" w:right="339" w:bottom="1440" w:gutter="0" w:footer="0" w:header="0"/>
        </w:sectPr>
      </w:pPr>
    </w:p>
    <w:bookmarkStart w:id="20" w:name="page21"/>
    <w:bookmarkEnd w:id="20"/>
    <w:p>
      <w:pPr>
        <w:ind w:right="20"/>
        <w:spacing w:after="0" w:line="298" w:lineRule="auto"/>
        <w:rPr>
          <w:sz w:val="20"/>
          <w:szCs w:val="20"/>
          <w:color w:val="auto"/>
        </w:rPr>
      </w:pPr>
      <w:r>
        <w:rPr>
          <w:rFonts w:ascii="Times New Roman" w:cs="Times New Roman" w:eastAsia="Times New Roman" w:hAnsi="Times New Roman"/>
          <w:sz w:val="16"/>
          <w:szCs w:val="16"/>
          <w:color w:val="auto"/>
        </w:rPr>
        <w:t>The decrease in loss attributable to the owners of GasLog resulted mainly from the decrease in profit attributable to the non-controlling interests (non-controlling unitholders of GasLog Partners) following the decrease in the Partnership’s profit and the increase in profit mentioned above.</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Nine-month period ended September 30, 2019 compared to the nine-month period ended September 30, 2020</w:t>
            </w: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416"/>
        </w:trPr>
        <w:tc>
          <w:tcPr>
            <w:tcW w:w="8440" w:type="dxa"/>
            <w:vAlign w:val="bottom"/>
          </w:tcPr>
          <w:p>
            <w:pPr>
              <w:spacing w:after="0"/>
              <w:rPr>
                <w:sz w:val="24"/>
                <w:szCs w:val="24"/>
                <w:color w:val="auto"/>
              </w:rPr>
            </w:pPr>
          </w:p>
        </w:tc>
        <w:tc>
          <w:tcPr>
            <w:tcW w:w="2800" w:type="dxa"/>
            <w:vAlign w:val="bottom"/>
            <w:gridSpan w:val="5"/>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30"/>
        </w:trPr>
        <w:tc>
          <w:tcPr>
            <w:tcW w:w="8440" w:type="dxa"/>
            <w:vAlign w:val="bottom"/>
          </w:tcPr>
          <w:p>
            <w:pPr>
              <w:spacing w:after="0"/>
              <w:rPr>
                <w:sz w:val="19"/>
                <w:szCs w:val="19"/>
                <w:color w:val="auto"/>
              </w:rPr>
            </w:pPr>
          </w:p>
        </w:tc>
        <w:tc>
          <w:tcPr>
            <w:tcW w:w="1460" w:type="dxa"/>
            <w:vAlign w:val="bottom"/>
            <w:gridSpan w:val="2"/>
          </w:tcPr>
          <w:p>
            <w:pPr>
              <w:jc w:val="right"/>
              <w:ind w:right="199"/>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3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844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CCEEFF"/>
            </w:tcBorders>
          </w:tcPr>
          <w:p>
            <w:pPr>
              <w:spacing w:after="0"/>
              <w:rPr>
                <w:sz w:val="20"/>
                <w:szCs w:val="20"/>
                <w:color w:val="auto"/>
              </w:rPr>
            </w:pPr>
          </w:p>
        </w:tc>
        <w:tc>
          <w:tcPr>
            <w:tcW w:w="1240" w:type="dxa"/>
            <w:vAlign w:val="bottom"/>
            <w:tcBorders>
              <w:bottom w:val="single" w:sz="8" w:color="auto"/>
            </w:tcBorders>
          </w:tcPr>
          <w:p>
            <w:pPr>
              <w:jc w:val="right"/>
              <w:ind w:right="358"/>
              <w:spacing w:after="0"/>
              <w:rPr>
                <w:sz w:val="20"/>
                <w:szCs w:val="20"/>
                <w:color w:val="auto"/>
              </w:rPr>
            </w:pPr>
            <w:r>
              <w:rPr>
                <w:rFonts w:ascii="Times New Roman" w:cs="Times New Roman" w:eastAsia="Times New Roman" w:hAnsi="Times New Roman"/>
                <w:sz w:val="18"/>
                <w:szCs w:val="18"/>
                <w:b w:val="1"/>
                <w:bCs w:val="1"/>
                <w:color w:val="auto"/>
              </w:rPr>
              <w:t>2020</w:t>
            </w:r>
          </w:p>
        </w:tc>
        <w:tc>
          <w:tcPr>
            <w:tcW w:w="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r>
      <w:tr>
        <w:trPr>
          <w:trHeight w:val="209"/>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in thousands of U.S. Dollars</w:t>
            </w: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Revenues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486,384</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481,487</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Net pool allocation</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(4,264)</w:t>
            </w:r>
          </w:p>
        </w:tc>
        <w:tc>
          <w:tcPr>
            <w:tcW w:w="134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(19,440)</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(18,074)</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(100,124)</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(106,818)</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146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(124,186)</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(130,250)</w:t>
            </w: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(32,873)</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(35,452)</w:t>
            </w: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146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tcPr>
          <w:p>
            <w:pPr>
              <w:jc w:val="right"/>
              <w:ind w:right="60"/>
              <w:spacing w:after="0"/>
              <w:rPr>
                <w:sz w:val="20"/>
                <w:szCs w:val="20"/>
                <w:color w:val="auto"/>
              </w:rPr>
            </w:pPr>
            <w:r>
              <w:rPr>
                <w:rFonts w:ascii="Times New Roman" w:cs="Times New Roman" w:eastAsia="Times New Roman" w:hAnsi="Times New Roman"/>
                <w:sz w:val="16"/>
                <w:szCs w:val="16"/>
                <w:color w:val="auto"/>
              </w:rPr>
              <w:t>(572)</w:t>
            </w:r>
          </w:p>
        </w:tc>
      </w:tr>
      <w:tr>
        <w:trPr>
          <w:trHeight w:val="21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1460" w:type="dxa"/>
            <w:vAlign w:val="bottom"/>
            <w:gridSpan w:val="2"/>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(22,454)</w:t>
            </w:r>
          </w:p>
        </w:tc>
      </w:tr>
      <w:tr>
        <w:trPr>
          <w:trHeight w:val="196"/>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205,497</w:t>
            </w:r>
          </w:p>
        </w:tc>
        <w:tc>
          <w:tcPr>
            <w:tcW w:w="220" w:type="dxa"/>
            <w:vAlign w:val="bottom"/>
            <w:tcBorders>
              <w:bottom w:val="single" w:sz="8" w:color="CCEE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167,867</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r>
      <w:tr>
        <w:trPr>
          <w:trHeight w:val="196"/>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(138,865)</w:t>
            </w:r>
          </w:p>
        </w:tc>
        <w:tc>
          <w:tcPr>
            <w:tcW w:w="2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(126,101)</w:t>
            </w:r>
          </w:p>
        </w:tc>
        <w:tc>
          <w:tcPr>
            <w:tcW w:w="100" w:type="dxa"/>
            <w:vAlign w:val="bottom"/>
            <w:gridSpan w:val="2"/>
            <w:shd w:val="clear" w:color="auto" w:fill="CCEEFF"/>
          </w:tcPr>
          <w:p>
            <w:pPr>
              <w:spacing w:after="0"/>
              <w:rPr>
                <w:sz w:val="17"/>
                <w:szCs w:val="17"/>
                <w:color w:val="auto"/>
              </w:rPr>
            </w:pPr>
          </w:p>
        </w:tc>
      </w:tr>
      <w:tr>
        <w:trPr>
          <w:trHeight w:val="20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220" w:type="dxa"/>
            <w:vAlign w:val="bottom"/>
          </w:tcPr>
          <w:p>
            <w:pPr>
              <w:spacing w:after="0"/>
              <w:rPr>
                <w:sz w:val="17"/>
                <w:szCs w:val="17"/>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80" w:type="dxa"/>
            <w:vAlign w:val="bottom"/>
          </w:tcPr>
          <w:p>
            <w:pPr>
              <w:spacing w:after="0"/>
              <w:rPr>
                <w:sz w:val="17"/>
                <w:szCs w:val="17"/>
                <w:color w:val="auto"/>
              </w:rPr>
            </w:pPr>
          </w:p>
        </w:tc>
      </w:tr>
      <w:tr>
        <w:trPr>
          <w:trHeight w:val="203"/>
        </w:trPr>
        <w:tc>
          <w:tcPr>
            <w:tcW w:w="84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146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(67,801)</w:t>
            </w:r>
          </w:p>
        </w:tc>
        <w:tc>
          <w:tcPr>
            <w:tcW w:w="13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6"/>
                <w:szCs w:val="16"/>
                <w:color w:val="auto"/>
              </w:rPr>
              <w:t>(86,686)</w:t>
            </w:r>
          </w:p>
        </w:tc>
      </w:tr>
      <w:tr>
        <w:trPr>
          <w:trHeight w:val="213"/>
        </w:trPr>
        <w:tc>
          <w:tcPr>
            <w:tcW w:w="8440" w:type="dxa"/>
            <w:vAlign w:val="bottom"/>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2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80" w:type="dxa"/>
            <w:vAlign w:val="bottom"/>
          </w:tcPr>
          <w:p>
            <w:pPr>
              <w:spacing w:after="0"/>
              <w:rPr>
                <w:sz w:val="18"/>
                <w:szCs w:val="18"/>
                <w:color w:val="auto"/>
              </w:rPr>
            </w:pPr>
          </w:p>
        </w:tc>
      </w:tr>
      <w:tr>
        <w:trPr>
          <w:trHeight w:val="199"/>
        </w:trPr>
        <w:tc>
          <w:tcPr>
            <w:tcW w:w="8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(201,221</w:t>
            </w:r>
          </w:p>
        </w:tc>
        <w:tc>
          <w:tcPr>
            <w:tcW w:w="22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(210,526</w:t>
            </w:r>
          </w:p>
        </w:tc>
        <w:tc>
          <w:tcPr>
            <w:tcW w:w="100" w:type="dxa"/>
            <w:vAlign w:val="bottom"/>
            <w:tcBorders>
              <w:top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48"/>
        </w:trPr>
        <w:tc>
          <w:tcPr>
            <w:tcW w:w="8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Profit/(loss) for the period</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4,276</w:t>
            </w:r>
          </w:p>
        </w:tc>
        <w:tc>
          <w:tcPr>
            <w:tcW w:w="220" w:type="dxa"/>
            <w:vAlign w:val="bottom"/>
            <w:tcBorders>
              <w:bottom w:val="single" w:sz="8" w:color="CCEEFF"/>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(42,659</w:t>
            </w:r>
          </w:p>
        </w:tc>
        <w:tc>
          <w:tcPr>
            <w:tcW w:w="100" w:type="dxa"/>
            <w:vAlign w:val="bottom"/>
            <w:tcBorders>
              <w:bottom w:val="single" w:sz="8" w:color="CCEEFF"/>
            </w:tcBorders>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185"/>
        </w:trPr>
        <w:tc>
          <w:tcPr>
            <w:tcW w:w="8440" w:type="dxa"/>
            <w:vAlign w:val="bottom"/>
            <w:shd w:val="clear" w:color="auto" w:fill="CCEEFF"/>
          </w:tcPr>
          <w:p>
            <w:pPr>
              <w:spacing w:after="0" w:line="171" w:lineRule="exact"/>
              <w:rPr>
                <w:sz w:val="20"/>
                <w:szCs w:val="20"/>
                <w:color w:val="auto"/>
              </w:rPr>
            </w:pPr>
            <w:r>
              <w:rPr>
                <w:rFonts w:ascii="Times New Roman" w:cs="Times New Roman" w:eastAsia="Times New Roman" w:hAnsi="Times New Roman"/>
                <w:sz w:val="16"/>
                <w:szCs w:val="16"/>
                <w:color w:val="auto"/>
              </w:rPr>
              <w:t>Non-controlling interests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(54,766</w:t>
            </w:r>
          </w:p>
        </w:tc>
        <w:tc>
          <w:tcPr>
            <w:tcW w:w="220" w:type="dxa"/>
            <w:vAlign w:val="bottom"/>
            <w:shd w:val="clear" w:color="auto" w:fill="CCEEFF"/>
          </w:tcPr>
          <w:p>
            <w:pPr>
              <w:jc w:val="right"/>
              <w:ind w:right="79"/>
              <w:spacing w:after="0" w:line="171" w:lineRule="exact"/>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(30,522</w:t>
            </w:r>
          </w:p>
        </w:tc>
        <w:tc>
          <w:tcPr>
            <w:tcW w:w="1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8"/>
                <w:szCs w:val="8"/>
                <w:color w:val="auto"/>
                <w:w w:val="73"/>
              </w:rPr>
              <w:t>)</w:t>
            </w:r>
          </w:p>
        </w:tc>
      </w:tr>
      <w:tr>
        <w:trPr>
          <w:trHeight w:val="208"/>
        </w:trPr>
        <w:tc>
          <w:tcPr>
            <w:tcW w:w="84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attributable to owners of the Group</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(50,490</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(73,181</w:t>
            </w:r>
          </w:p>
        </w:tc>
        <w:tc>
          <w:tcPr>
            <w:tcW w:w="100" w:type="dxa"/>
            <w:vAlign w:val="bottom"/>
            <w:gridSpan w:val="2"/>
          </w:tcPr>
          <w:p>
            <w:pPr>
              <w:jc w:val="right"/>
              <w:ind w:right="6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
        </w:trPr>
        <w:tc>
          <w:tcPr>
            <w:tcW w:w="844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272" w:lineRule="auto"/>
        <w:rPr>
          <w:sz w:val="20"/>
          <w:szCs w:val="20"/>
          <w:color w:val="auto"/>
        </w:rPr>
      </w:pPr>
      <w:r>
        <w:rPr>
          <w:rFonts w:ascii="Times New Roman" w:cs="Times New Roman" w:eastAsia="Times New Roman" w:hAnsi="Times New Roman"/>
          <w:sz w:val="16"/>
          <w:szCs w:val="16"/>
          <w:color w:val="auto"/>
        </w:rPr>
        <w:t>During the nine-month period ended September 30, 2019, we had an average of 27.0 ships operating in our owned and bareboat fleet (including ships owned by the Partnership), having 7,055 operating days and an average of 27.0 ships operating under our technical management (including an average of 26.0 of our owned and bareboat ships). During the nine-month period ended September 30, 2020, we had an average of 29.6 ships operating in our owned and bareboat fleet (including ships owned by the Partnership), having 7,236 operating days, and an average of 29.6 ships operating under our technical management (including an average of 28.6 of our owned and bareboat ships).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Revenues:</w:t>
      </w:r>
    </w:p>
    <w:p>
      <w:pPr>
        <w:spacing w:after="0" w:line="239" w:lineRule="exact"/>
        <w:rPr>
          <w:sz w:val="20"/>
          <w:szCs w:val="20"/>
          <w:color w:val="auto"/>
        </w:rPr>
      </w:pPr>
    </w:p>
    <w:p>
      <w:pPr>
        <w:ind w:right="60" w:firstLine="324"/>
        <w:spacing w:after="0" w:line="268" w:lineRule="auto"/>
        <w:rPr>
          <w:sz w:val="20"/>
          <w:szCs w:val="20"/>
          <w:color w:val="auto"/>
        </w:rPr>
      </w:pPr>
      <w:r>
        <w:rPr>
          <w:rFonts w:ascii="Times New Roman" w:cs="Times New Roman" w:eastAsia="Times New Roman" w:hAnsi="Times New Roman"/>
          <w:sz w:val="16"/>
          <w:szCs w:val="16"/>
          <w:color w:val="auto"/>
        </w:rPr>
        <w:t xml:space="preserve">Revenues decreased by 1.0%, or $4.9 million, from $486.4 million during the nine-month period ended September 30, 2019, to $481.5 million during the nine-month period ended September 30, 2020. The decrease in revenues is mainly attributable to an aggregate decrease in revenues of $47.2 million driven by the LNG shipping market volatility due to the COVID-19 pandemic, due to six of our vessels operating in the spot market in both periods (the </w:t>
      </w:r>
      <w:r>
        <w:rPr>
          <w:rFonts w:ascii="Times New Roman" w:cs="Times New Roman" w:eastAsia="Times New Roman" w:hAnsi="Times New Roman"/>
          <w:sz w:val="16"/>
          <w:szCs w:val="16"/>
          <w:i w:val="1"/>
          <w:iCs w:val="1"/>
          <w:color w:val="auto"/>
        </w:rPr>
        <w:t>GasLog Savannah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Shanghai</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Skagen</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Salem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GasLog Chelsea</w:t>
      </w:r>
      <w:r>
        <w:rPr>
          <w:rFonts w:ascii="Times New Roman" w:cs="Times New Roman" w:eastAsia="Times New Roman" w:hAnsi="Times New Roman"/>
          <w:sz w:val="16"/>
          <w:szCs w:val="16"/>
          <w:color w:val="auto"/>
        </w:rPr>
        <w:t>) and four vessels having entered the spot market since the third quarter of 2019 (the</w:t>
      </w:r>
      <w:r>
        <w:rPr>
          <w:rFonts w:ascii="Times New Roman" w:cs="Times New Roman" w:eastAsia="Times New Roman" w:hAnsi="Times New Roman"/>
          <w:sz w:val="16"/>
          <w:szCs w:val="16"/>
          <w:i w:val="1"/>
          <w:iCs w:val="1"/>
          <w:color w:val="auto"/>
        </w:rPr>
        <w:t xml:space="preserve"> GasLog Saratoga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Alison 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Rita Andrea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GasLog Sydney</w:t>
      </w:r>
      <w:r>
        <w:rPr>
          <w:rFonts w:ascii="Times New Roman" w:cs="Times New Roman" w:eastAsia="Times New Roman" w:hAnsi="Times New Roman"/>
          <w:sz w:val="16"/>
          <w:szCs w:val="16"/>
          <w:color w:val="auto"/>
        </w:rPr>
        <w:t>), and a decrease of $11.5 million from two vessels rechartered for longer-term</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periods (above one year) but at lower rates. These decreases were partially offset by an increase in revenues of $54.1 million due to the deliveries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 xml:space="preserve"> on April 1, 2020, May 11, 2020 and July 15, 2020, respectively, and the operation for the full nine-month period of the </w:t>
      </w:r>
      <w:r>
        <w:rPr>
          <w:rFonts w:ascii="Times New Roman" w:cs="Times New Roman" w:eastAsia="Times New Roman" w:hAnsi="Times New Roman"/>
          <w:sz w:val="16"/>
          <w:szCs w:val="16"/>
          <w:i w:val="1"/>
          <w:iCs w:val="1"/>
          <w:color w:val="auto"/>
        </w:rPr>
        <w:t>GasLog Gladstone</w:t>
      </w:r>
      <w:r>
        <w:rPr>
          <w:rFonts w:ascii="Times New Roman" w:cs="Times New Roman" w:eastAsia="Times New Roman" w:hAnsi="Times New Roman"/>
          <w:sz w:val="16"/>
          <w:szCs w:val="16"/>
          <w:color w:val="auto"/>
        </w:rPr>
        <w:t>, delivered on March 15, 2019 and the</w:t>
      </w:r>
      <w:r>
        <w:rPr>
          <w:rFonts w:ascii="Times New Roman" w:cs="Times New Roman" w:eastAsia="Times New Roman" w:hAnsi="Times New Roman"/>
          <w:sz w:val="16"/>
          <w:szCs w:val="16"/>
          <w:i w:val="1"/>
          <w:iCs w:val="1"/>
          <w:color w:val="auto"/>
        </w:rPr>
        <w:t xml:space="preserve"> Gaslog Warsaw</w:t>
      </w:r>
      <w:r>
        <w:rPr>
          <w:rFonts w:ascii="Times New Roman" w:cs="Times New Roman" w:eastAsia="Times New Roman" w:hAnsi="Times New Roman"/>
          <w:sz w:val="16"/>
          <w:szCs w:val="16"/>
          <w:color w:val="auto"/>
        </w:rPr>
        <w:t>, delivered on July 31, 2019. The average daily hire rate decreased from $68,861 for the nine-month period ended September 30, 2019 to $66,458 for the nine-month period ended September 30, 2020.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Voyage Expenses and Commissions:</w:t>
      </w:r>
    </w:p>
    <w:p>
      <w:pPr>
        <w:spacing w:after="0" w:line="239" w:lineRule="exact"/>
        <w:rPr>
          <w:sz w:val="20"/>
          <w:szCs w:val="20"/>
          <w:color w:val="auto"/>
        </w:rPr>
      </w:pPr>
    </w:p>
    <w:p>
      <w:pPr>
        <w:ind w:right="180" w:firstLine="324"/>
        <w:spacing w:after="0" w:line="281" w:lineRule="auto"/>
        <w:rPr>
          <w:sz w:val="20"/>
          <w:szCs w:val="20"/>
          <w:color w:val="auto"/>
        </w:rPr>
      </w:pPr>
      <w:r>
        <w:rPr>
          <w:rFonts w:ascii="Times New Roman" w:cs="Times New Roman" w:eastAsia="Times New Roman" w:hAnsi="Times New Roman"/>
          <w:sz w:val="16"/>
          <w:szCs w:val="16"/>
          <w:color w:val="auto"/>
        </w:rPr>
        <w:t>Voyage expenses and commissions decreased by 6.7%, or $1.3 million, from $19.4 million during the nine-month period ended September 30, 2019, to $18.1 million during the nine-month period ended September 30, 2020. The decrease is attributable to the decrease in bunkers consumption and brokers’ commissions of our vessels operating in the spot market in line with the decrease in revenues mentioned above.</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Vessel Operating and Supervision Costs:</w:t>
      </w:r>
    </w:p>
    <w:p>
      <w:pPr>
        <w:spacing w:after="0" w:line="239"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6"/>
          <w:szCs w:val="16"/>
          <w:color w:val="auto"/>
        </w:rPr>
        <w:t xml:space="preserve">Vessel operating and supervision costs increased by 6.7%, or $6.7 million, from $100.1 million during the nine-month period ended September 30, 2019, to $106.8 million during the nine-month period ended September 30, 2020. The increase was mainly attributable to the increase in our fleet following the new deliveries and increased scheduled technical and maintenance costs related to engine maintenance. Daily operating costs per vessel decreased from $14,132 per ownership day (excluding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managed by Shell) for the nine-month period ended September 30, 2019 to $13,693 per ownership day (excluding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xml:space="preserve"> managed by Shell) for the nine-month period ended September 30, 2020.</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239"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General and administrative expenses increased by 7.9%, or $2.6 million, from $32.9 million during the nine-month period ended September 30, 2019, to $35.5 million during the nine-month period ended September 30, 2020, before adjusting for restructuring costs in 2020. General and administrative expenses include the effect of the restructuring costs of $5.1 million. Daily running expenses decreased from $4,468 per vessel ownership day for the nine-month period ended September 30, 2019 to $4,391 per vessel ownership day for the nine-month period ended September 30, 2020, which includes restructuring costs of $633 per vessel ownership day in 2020. The increase in absolute terms is mainly attributable to the aforementioned restructuring costs, which are partially offset by the reduced travel and accommodation expenses, mainly due to the</w:t>
      </w: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758"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color w:val="auto"/>
        </w:rPr>
        <w:t>COVID-19 related travel restrictions imposed during 2020 and a decrease in foreign exchange losses.</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Impairment Loss on Vessels:</w:t>
      </w:r>
    </w:p>
    <w:p>
      <w:pPr>
        <w:spacing w:after="0" w:line="239"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 xml:space="preserve">Impairment loss on vessels was nil for the nine-month period ended September 30, 2019, and $22.5 million for the same period in 2020. The impairment loss recorded as of June 30, 2020 was recognized with respect to four of our Steam vessels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Lydon Volney</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as a result of anticipated increases in volatility in the spot charter market over the near term from COVID-19 pandemic related impacts to LNG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LNG shipping demand.</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Financial Costs:</w:t>
      </w:r>
    </w:p>
    <w:p>
      <w:pPr>
        <w:spacing w:after="0" w:line="234" w:lineRule="exact"/>
        <w:rPr>
          <w:sz w:val="20"/>
          <w:szCs w:val="20"/>
          <w:color w:val="auto"/>
        </w:rPr>
      </w:pPr>
    </w:p>
    <w:p>
      <w:pPr>
        <w:ind w:firstLine="356"/>
        <w:spacing w:after="0" w:line="253" w:lineRule="auto"/>
        <w:rPr>
          <w:sz w:val="20"/>
          <w:szCs w:val="20"/>
          <w:color w:val="auto"/>
        </w:rPr>
      </w:pPr>
      <w:r>
        <w:rPr>
          <w:rFonts w:ascii="Times New Roman" w:cs="Times New Roman" w:eastAsia="Times New Roman" w:hAnsi="Times New Roman"/>
          <w:sz w:val="18"/>
          <w:szCs w:val="18"/>
          <w:color w:val="auto"/>
        </w:rPr>
        <w:t>Financial costs decreased by 9.2%, or $12.8 million, from $138.9 million during the nine-month period ended September 30, 2019, to $126.1 million during the nine-month period ended September 30, 2020. The decrease is mainly attributable to a net decrease of $18.4 million in interest expense on loans, bonds and cash flow hedges and a net decrease of $1.1 million in other financial costs (mainly consisting of $4.0 million net unrealized foreign exchange gains on cash and bonds, partially offset by an increase of $3.3 million of fees paid for our comprehensive plan to manage our cash collateral exposure placed with the swap banks as a result of the negative marked to market valuations of our interest rate and cross-currency swaps), which is partially offset by an increase of $5.2 million in amortization and write-off of deferred loan/bond issuance costs/premium mainly consisting of the $4.8 million of write-offs of unamortized loan fees due to the refinancing which took place in the third quarter of 2020 and an increase of $1.9 million in loss arising on bond repurchase at premium. During the nine-month period ended September 30, 2020, we had an average of $3,360.5 million of outstanding indebtedness, with a weighted average interest rate of 3.9%, while during the nine-month period ended September 30, 2019, we had an average of $3,038.6 million of outstanding indebtedness having an aggregate weighted average interest rate of 5.2%. Average indebtedness is based on the daily outstanding principal for loans and bonds, and weighted average interest rates are computed based on total interest expense on loans, cash flow hedges, senior unsecured notes and cross-currency swaps.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on Derivatives:</w:t>
      </w:r>
    </w:p>
    <w:p>
      <w:pPr>
        <w:spacing w:after="0" w:line="239" w:lineRule="exact"/>
        <w:rPr>
          <w:sz w:val="20"/>
          <w:szCs w:val="20"/>
          <w:color w:val="auto"/>
        </w:rPr>
      </w:pPr>
    </w:p>
    <w:p>
      <w:pPr>
        <w:ind w:right="160" w:firstLine="324"/>
        <w:spacing w:after="0" w:line="271" w:lineRule="auto"/>
        <w:rPr>
          <w:sz w:val="20"/>
          <w:szCs w:val="20"/>
          <w:color w:val="auto"/>
        </w:rPr>
      </w:pPr>
      <w:r>
        <w:rPr>
          <w:rFonts w:ascii="Times New Roman" w:cs="Times New Roman" w:eastAsia="Times New Roman" w:hAnsi="Times New Roman"/>
          <w:sz w:val="16"/>
          <w:szCs w:val="16"/>
          <w:color w:val="auto"/>
        </w:rPr>
        <w:t>Loss on derivatives increased by 27.9%, or $18.9 million, from $67.8 million during the nine-month period ended September 30, 2019, to $86.7 million during the nine-month period ended September 30, 2020. The increase is attributable to a decrease of $15.3 million in realized gain from interest rate swaps held for trading which reflected a gain of $3.4 million in the nine months ended September 30, 2019, as compared to a loss of $11.9 million in the nine months ended September 30, 2020, an increase of $6.7 million in loss from marked-to-market valuation of our derivative financial instruments carried at fair value through profit or loss and an increase of $0.3 million in the ineffective portion of cash flow hedges, which were partially offset by a decrease of $3.4 million in realized loss on forward foreign exchange contracts held for trading.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Profit/(Loss) for the Period:</w:t>
      </w:r>
    </w:p>
    <w:p>
      <w:pPr>
        <w:spacing w:after="0" w:line="239" w:lineRule="exact"/>
        <w:rPr>
          <w:sz w:val="20"/>
          <w:szCs w:val="20"/>
          <w:color w:val="auto"/>
        </w:rPr>
      </w:pPr>
    </w:p>
    <w:p>
      <w:pPr>
        <w:ind w:right="240" w:firstLine="324"/>
        <w:spacing w:after="0" w:line="298" w:lineRule="auto"/>
        <w:rPr>
          <w:sz w:val="20"/>
          <w:szCs w:val="20"/>
          <w:color w:val="auto"/>
        </w:rPr>
      </w:pPr>
      <w:r>
        <w:rPr>
          <w:rFonts w:ascii="Times New Roman" w:cs="Times New Roman" w:eastAsia="Times New Roman" w:hAnsi="Times New Roman"/>
          <w:sz w:val="16"/>
          <w:szCs w:val="16"/>
          <w:color w:val="auto"/>
        </w:rPr>
        <w:t>Profit for the period decreased by $47.0 million, from a profit of $4.3 million for the nine-month period ended September 30, 2019, to a loss of $42.7 million for the nine-month period ended September 30, 2020, as a result of the aforementioned factors.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Loss Attributable to Owners of the Group:</w:t>
      </w:r>
    </w:p>
    <w:p>
      <w:pPr>
        <w:spacing w:after="0" w:line="239"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6"/>
          <w:szCs w:val="16"/>
          <w:color w:val="auto"/>
        </w:rPr>
        <w:t>Loss attributable to owners of the Group increased by $22.7 million, from $50.5 million for the nine-month period ended September 30, 2019, to $73.2 million for the nine-month period ended September 30, 2020. The increase in loss attributable to the owners of GasLog resulted mainly from the decrease in profit mentioned above, partially offset by the decrease in profit attributable to the non-controlling interests (non-controlling unitholders of GasLog Partners) following the decrease in the Partnership’s profit.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Customers</w:t>
      </w:r>
    </w:p>
    <w:p>
      <w:pPr>
        <w:spacing w:after="0" w:line="237" w:lineRule="exact"/>
        <w:rPr>
          <w:sz w:val="20"/>
          <w:szCs w:val="20"/>
          <w:color w:val="auto"/>
        </w:rPr>
      </w:pPr>
    </w:p>
    <w:p>
      <w:pPr>
        <w:ind w:right="20" w:firstLine="324"/>
        <w:spacing w:after="0" w:line="275" w:lineRule="auto"/>
        <w:rPr>
          <w:sz w:val="20"/>
          <w:szCs w:val="20"/>
          <w:color w:val="auto"/>
        </w:rPr>
      </w:pPr>
      <w:r>
        <w:rPr>
          <w:rFonts w:ascii="Times New Roman" w:cs="Times New Roman" w:eastAsia="Times New Roman" w:hAnsi="Times New Roman"/>
          <w:sz w:val="16"/>
          <w:szCs w:val="16"/>
          <w:color w:val="auto"/>
        </w:rPr>
        <w:t>For the nine-month period ended September 30, 2020, we received 61.7% of our revenues from Shell, 27.5% of our revenues from major LNG producers, 10.7% of our revenues from various charterers in the spot/short-term market and 0.1% of our revenues from Egypt LNG, an entity in which we have a 25% ownership interest. For the nine-month period ended September 30, 2019, we received 73.4% of our revenues from Shell, 13.7% of our revenues from various charterers in the spot/short-term market, 12.8% of our revenues from major LNG producers and 0.1% of our revenues from Egypt LNG, an entity in which we have a 25% ownership interest.</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Liquidity and Capital Resources</w:t>
      </w:r>
    </w:p>
    <w:p>
      <w:pPr>
        <w:spacing w:after="0" w:line="237" w:lineRule="exact"/>
        <w:rPr>
          <w:sz w:val="20"/>
          <w:szCs w:val="20"/>
          <w:color w:val="auto"/>
        </w:rPr>
      </w:pPr>
    </w:p>
    <w:p>
      <w:pPr>
        <w:ind w:right="120" w:firstLine="324"/>
        <w:spacing w:after="0" w:line="275" w:lineRule="auto"/>
        <w:rPr>
          <w:sz w:val="20"/>
          <w:szCs w:val="20"/>
          <w:color w:val="auto"/>
        </w:rPr>
      </w:pPr>
      <w:r>
        <w:rPr>
          <w:rFonts w:ascii="Times New Roman" w:cs="Times New Roman" w:eastAsia="Times New Roman" w:hAnsi="Times New Roman"/>
          <w:sz w:val="16"/>
          <w:szCs w:val="16"/>
          <w:color w:val="auto"/>
        </w:rPr>
        <w:t>Our primary liquidity needs are to fund our vessel operating costs and general and administrative expenses, to finance the purchase and construction of our newbuildings and conversions, to purchase secondhand vessels, to service our existing debt and to pay dividends. In monitoring our working capital needs, we project our charter hire income and the vessels’ maintenance and running expenses, as well as debt service obligations, and seek to maintain adequate cash reserves in order to address revenue shortfalls or budget overruns, if any.</w:t>
      </w:r>
    </w:p>
    <w:p>
      <w:pPr>
        <w:spacing w:after="0" w:line="183"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Our funding and treasury activities are intended to meet our operating and financing requirements while balancing investment returns in order to maintain appropriate liquidity. Cash and cash equivalents are held primarily in USD.</w:t>
      </w:r>
    </w:p>
    <w:p>
      <w:pPr>
        <w:spacing w:after="0" w:line="164" w:lineRule="exact"/>
        <w:rPr>
          <w:sz w:val="20"/>
          <w:szCs w:val="20"/>
          <w:color w:val="auto"/>
        </w:rPr>
      </w:pPr>
    </w:p>
    <w:p>
      <w:pPr>
        <w:jc w:val="both"/>
        <w:ind w:right="2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GasLog had $173.5 million of cash and cash equivalents. In addition, an amount of $48.3 million was held as cash collateral with respect to our derivative instruments and is included in Other non-current assets and Prepayments and other current assets. This amount has been further reduced to $33.5 million as of November 6, 2020.</w:t>
      </w:r>
    </w:p>
    <w:p>
      <w:pPr>
        <w:spacing w:after="0" w:line="177" w:lineRule="exact"/>
        <w:rPr>
          <w:sz w:val="20"/>
          <w:szCs w:val="20"/>
          <w:color w:val="auto"/>
        </w:rPr>
      </w:pPr>
    </w:p>
    <w:p>
      <w:pPr>
        <w:ind w:right="420" w:firstLine="324"/>
        <w:spacing w:after="0" w:line="281" w:lineRule="auto"/>
        <w:rPr>
          <w:sz w:val="20"/>
          <w:szCs w:val="20"/>
          <w:color w:val="auto"/>
        </w:rPr>
      </w:pPr>
      <w:r>
        <w:rPr>
          <w:rFonts w:ascii="Times New Roman" w:cs="Times New Roman" w:eastAsia="Times New Roman" w:hAnsi="Times New Roman"/>
          <w:sz w:val="16"/>
          <w:szCs w:val="16"/>
          <w:color w:val="auto"/>
        </w:rPr>
        <w:t>On January 13, 2020, GasLog completed the partial exchange of $10.0 million of the outstanding 8.875% senior unsecured notes due 2022 (the “8.875% Senior Notes”) for new senior unsecured bonds due in 2024 (the “NOK 2024 Bonds”). On January 31, 2020, GasLog repurchased and cancelled Norwegian Kroner (“NOK”) 434,000 of the outstanding senior unsecured bonds due May 2021 (the “NOK 2021 Bonds”) at a price of 104.0% of par value, resulting in a loss of $1.9 million.</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895" w:right="359" w:bottom="407" w:gutter="0" w:footer="0" w:header="0"/>
        </w:sectPr>
      </w:pPr>
    </w:p>
    <w:bookmarkStart w:id="22" w:name="page23"/>
    <w:bookmarkEnd w:id="22"/>
    <w:p>
      <w:pPr>
        <w:ind w:firstLine="324"/>
        <w:spacing w:after="0" w:line="298" w:lineRule="auto"/>
        <w:rPr>
          <w:sz w:val="20"/>
          <w:szCs w:val="20"/>
          <w:color w:val="auto"/>
        </w:rPr>
      </w:pPr>
      <w:r>
        <w:rPr>
          <w:rFonts w:ascii="Times New Roman" w:cs="Times New Roman" w:eastAsia="Times New Roman" w:hAnsi="Times New Roman"/>
          <w:sz w:val="16"/>
          <w:szCs w:val="16"/>
          <w:color w:val="auto"/>
        </w:rPr>
        <w:t>On February 13, 2020, on March 13, 2020 and on March 18, 2020, GasLog drew down $23.3 million, $50.7 million and $26.0 million, respectively under the revolving credit facility of up to $1.1 billion entered into on July 19, 2016 (the “Legacy Facility Refinancing”) and was subsequently refinanced as discussed below.</w:t>
      </w:r>
    </w:p>
    <w:p>
      <w:pPr>
        <w:spacing w:after="0" w:line="164"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 xml:space="preserve">On March 26, 2020, on May 4, 2020 and on July 9, 2020, GasLog drew $152.5 million, $149.4 million and $149.3 million, respectively under the facility signed on December 12, 2019 with an Export Credit Agency-backed debt financing of $1.1 billion with 13 international banks to provide the debt funding for its current newbuilding program (the “Newbuilding Facility”), to partially finance the delivery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Wales</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GasLog Westminster</w:t>
      </w:r>
      <w:r>
        <w:rPr>
          <w:rFonts w:ascii="Times New Roman" w:cs="Times New Roman" w:eastAsia="Times New Roman" w:hAnsi="Times New Roman"/>
          <w:sz w:val="16"/>
          <w:szCs w:val="16"/>
          <w:color w:val="auto"/>
        </w:rPr>
        <w:t>.</w:t>
      </w:r>
    </w:p>
    <w:p>
      <w:pPr>
        <w:spacing w:after="0" w:line="177" w:lineRule="exact"/>
        <w:rPr>
          <w:sz w:val="20"/>
          <w:szCs w:val="20"/>
          <w:color w:val="auto"/>
        </w:rPr>
      </w:pPr>
    </w:p>
    <w:p>
      <w:pPr>
        <w:ind w:right="400" w:firstLine="324"/>
        <w:spacing w:after="0" w:line="298" w:lineRule="auto"/>
        <w:rPr>
          <w:sz w:val="20"/>
          <w:szCs w:val="20"/>
          <w:color w:val="auto"/>
        </w:rPr>
      </w:pPr>
      <w:r>
        <w:rPr>
          <w:rFonts w:ascii="Times New Roman" w:cs="Times New Roman" w:eastAsia="Times New Roman" w:hAnsi="Times New Roman"/>
          <w:sz w:val="16"/>
          <w:szCs w:val="16"/>
          <w:color w:val="auto"/>
        </w:rPr>
        <w:t>On June 29, 2020, GasLog closed the sale of 14,400,000 common shares at a price of $2.50 per share for total gross proceeds of $36.0 million through the Private Placement. The net proceeds were used for general corporate purposes. This transaction increased liquidity and further strengthened the capital structure of GasLog.</w:t>
      </w:r>
    </w:p>
    <w:p>
      <w:pPr>
        <w:spacing w:after="0" w:line="164"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 xml:space="preserve">On July 16, 2020, GasLog Partners entered into a credit agreement of $260.3 million with BNP Paribas, Credit Suisse AG and Alpha Bank S.A., each an original lender, with BNP Paribas acting as security agent and trustee for and on behalf of the other finance parties mentioned above, in order to refinance the existing indebtedness due in 2021 on three of its vessels. The relevant amount of $260.3 million was drawn on July 21, 2020, out of which $258.5 million was used to refinance the outstanding indebtedness of GAS-twenty Ltd., GAS-seven Ltd. and GAS-eight Ltd., the respective entities owning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In October 2020, the facility was further syndicated, with Development Bank of Japan joining the existing lenders under the facility.</w:t>
      </w:r>
    </w:p>
    <w:p>
      <w:pPr>
        <w:spacing w:after="0" w:line="186" w:lineRule="exact"/>
        <w:rPr>
          <w:sz w:val="20"/>
          <w:szCs w:val="20"/>
          <w:color w:val="auto"/>
        </w:rPr>
      </w:pPr>
    </w:p>
    <w:p>
      <w:pPr>
        <w:ind w:firstLine="324"/>
        <w:spacing w:after="0" w:line="272" w:lineRule="auto"/>
        <w:rPr>
          <w:sz w:val="20"/>
          <w:szCs w:val="20"/>
          <w:color w:val="auto"/>
        </w:rPr>
      </w:pPr>
      <w:r>
        <w:rPr>
          <w:rFonts w:ascii="Times New Roman" w:cs="Times New Roman" w:eastAsia="Times New Roman" w:hAnsi="Times New Roman"/>
          <w:sz w:val="16"/>
          <w:szCs w:val="16"/>
          <w:color w:val="auto"/>
        </w:rPr>
        <w:t xml:space="preserve">Also, on July 16, 2020, GasLog Partners entered into a credit agreement of $193.7 million with DNB Bank ASA, London Branch, and ING Bank N.V., London Branch, each an original lender, with DNB Bank ASA, London Branch acting as security agent and trustee for and on behalf of the other finance parties mentioned above, in order to refinance the existing indebtedness due in 2021 on three of its vessels. The relevant amount of $193.7 million was drawn on July 21, 2020, out of which $174.9 million was used to refinance the outstanding indebtedness of GAS-nineteen Ltd., GAS-twenty one Ltd. and GAS-twenty seven Ltd., the respective entities owning the </w:t>
      </w:r>
      <w:r>
        <w:rPr>
          <w:rFonts w:ascii="Times New Roman" w:cs="Times New Roman" w:eastAsia="Times New Roman" w:hAnsi="Times New Roman"/>
          <w:sz w:val="16"/>
          <w:szCs w:val="16"/>
          <w:i w:val="1"/>
          <w:iCs w:val="1"/>
          <w:color w:val="auto"/>
        </w:rPr>
        <w:t>Methane Alison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Victoria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Methane Heather Sally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Becki Anne</w:t>
      </w:r>
      <w:r>
        <w:rPr>
          <w:rFonts w:ascii="Times New Roman" w:cs="Times New Roman" w:eastAsia="Times New Roman" w:hAnsi="Times New Roman"/>
          <w:sz w:val="16"/>
          <w:szCs w:val="16"/>
          <w:color w:val="auto"/>
        </w:rPr>
        <w:t>.</w:t>
      </w:r>
    </w:p>
    <w:p>
      <w:pPr>
        <w:spacing w:after="0" w:line="184" w:lineRule="exact"/>
        <w:rPr>
          <w:sz w:val="20"/>
          <w:szCs w:val="20"/>
          <w:color w:val="auto"/>
        </w:rPr>
      </w:pPr>
    </w:p>
    <w:p>
      <w:pPr>
        <w:ind w:right="80" w:firstLine="324"/>
        <w:spacing w:after="0" w:line="269" w:lineRule="auto"/>
        <w:rPr>
          <w:sz w:val="20"/>
          <w:szCs w:val="20"/>
          <w:color w:val="auto"/>
        </w:rPr>
      </w:pPr>
      <w:r>
        <w:rPr>
          <w:rFonts w:ascii="Times New Roman" w:cs="Times New Roman" w:eastAsia="Times New Roman" w:hAnsi="Times New Roman"/>
          <w:sz w:val="16"/>
          <w:szCs w:val="16"/>
          <w:color w:val="auto"/>
        </w:rPr>
        <w:t xml:space="preserve">GasLog has concurrently refinanced the existing indebtedness due in 2021 for the </w:t>
      </w:r>
      <w:r>
        <w:rPr>
          <w:rFonts w:ascii="Times New Roman" w:cs="Times New Roman" w:eastAsia="Times New Roman" w:hAnsi="Times New Roman"/>
          <w:sz w:val="16"/>
          <w:szCs w:val="16"/>
          <w:i w:val="1"/>
          <w:iCs w:val="1"/>
          <w:color w:val="auto"/>
        </w:rPr>
        <w:t>GasLog Savannah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Saratoga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Salem</w:t>
      </w:r>
      <w:r>
        <w:rPr>
          <w:rFonts w:ascii="Times New Roman" w:cs="Times New Roman" w:eastAsia="Times New Roman" w:hAnsi="Times New Roman"/>
          <w:sz w:val="16"/>
          <w:szCs w:val="16"/>
          <w:color w:val="auto"/>
        </w:rPr>
        <w:t>, and the</w:t>
      </w:r>
      <w:r>
        <w:rPr>
          <w:rFonts w:ascii="Times New Roman" w:cs="Times New Roman" w:eastAsia="Times New Roman" w:hAnsi="Times New Roman"/>
          <w:sz w:val="16"/>
          <w:szCs w:val="16"/>
          <w:i w:val="1"/>
          <w:iCs w:val="1"/>
          <w:color w:val="auto"/>
        </w:rPr>
        <w:t xml:space="preserve"> Methane Lydon Volney </w:t>
      </w:r>
      <w:r>
        <w:rPr>
          <w:rFonts w:ascii="Times New Roman" w:cs="Times New Roman" w:eastAsia="Times New Roman" w:hAnsi="Times New Roman"/>
          <w:sz w:val="16"/>
          <w:szCs w:val="16"/>
          <w:color w:val="auto"/>
        </w:rPr>
        <w:t>by entering into a credit agreement of $576.9 million. ABN AMRO Bank N.V., Citigroup Global Markets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 xml:space="preserve">Limited and Nordea Bank ABP, Filial I Norge acted as global coordinators and bookrunners, while HSBC Bank plc acted as mandated lead arrangers; Credit Agricole Corporate and Investment Bank acted as lead arranger and Unicredit Bank AG and National Bank of Australia Limited acted as arrangers, each of those being an original lender. ABN AMRO Bank N.V. was appointed by the other finance parties in this syndicate as security agent and trustee. The facility comprises of a $494.5 million Term Loan Facility and a $82.4 million revolving loan facility. An amount of $576.9 million was drawn on July 21, 2020, out of which $557.0 million was used to refinance the outstanding indebtedness of GAS-one Ltd., GAS-two Ltd., GAS-six Ltd., GAS-nine Ltd., GAS-ten Ltd., and GAS-eighteen Ltd., the respective entities owning the </w:t>
      </w:r>
      <w:r>
        <w:rPr>
          <w:rFonts w:ascii="Times New Roman" w:cs="Times New Roman" w:eastAsia="Times New Roman" w:hAnsi="Times New Roman"/>
          <w:sz w:val="16"/>
          <w:szCs w:val="16"/>
          <w:i w:val="1"/>
          <w:iCs w:val="1"/>
          <w:color w:val="auto"/>
        </w:rPr>
        <w:t>GasLog</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Savannah</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Singapore</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Skagen</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Saratoga</w:t>
      </w:r>
      <w:r>
        <w:rPr>
          <w:rFonts w:ascii="Times New Roman" w:cs="Times New Roman" w:eastAsia="Times New Roman" w:hAnsi="Times New Roman"/>
          <w:sz w:val="16"/>
          <w:szCs w:val="16"/>
          <w:color w:val="auto"/>
        </w:rPr>
        <w:t>, the</w:t>
      </w:r>
      <w:r>
        <w:rPr>
          <w:rFonts w:ascii="Times New Roman" w:cs="Times New Roman" w:eastAsia="Times New Roman" w:hAnsi="Times New Roman"/>
          <w:sz w:val="16"/>
          <w:szCs w:val="16"/>
          <w:i w:val="1"/>
          <w:iCs w:val="1"/>
          <w:color w:val="auto"/>
        </w:rPr>
        <w:t xml:space="preserve"> GasLog Salem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Lydon Volney</w:t>
      </w:r>
      <w:r>
        <w:rPr>
          <w:rFonts w:ascii="Times New Roman" w:cs="Times New Roman" w:eastAsia="Times New Roman" w:hAnsi="Times New Roman"/>
          <w:sz w:val="16"/>
          <w:szCs w:val="16"/>
          <w:color w:val="auto"/>
        </w:rPr>
        <w:t>.</w:t>
      </w:r>
    </w:p>
    <w:p>
      <w:pPr>
        <w:spacing w:after="0" w:line="188"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 xml:space="preserve">On July 30, 2020, GasLog entered into a credit agreement with National Bank of Greece S.A. (“NBG”) (acting as the sole original lender) for the refinancing of GAS-fifteen Ltd., the entity owning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xml:space="preserve">. The facility comprises of $96.8 million which was drawn on July 31, 2020, out of which $92.3 million was used to refinance the outstanding indebtedness of </w:t>
      </w:r>
      <w:r>
        <w:rPr>
          <w:rFonts w:ascii="Times New Roman" w:cs="Times New Roman" w:eastAsia="Times New Roman" w:hAnsi="Times New Roman"/>
          <w:sz w:val="16"/>
          <w:szCs w:val="16"/>
          <w:i w:val="1"/>
          <w:iCs w:val="1"/>
          <w:color w:val="auto"/>
        </w:rPr>
        <w:t>GasLog Chelsea.</w:t>
      </w:r>
    </w:p>
    <w:p>
      <w:pPr>
        <w:spacing w:after="0" w:line="177"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the total remaining balance of the contract prices of the four LNG carriers on order was $641.0 million, which GasLog expects to fund with the Newbuilding Facility, cash balances and cash from operations. As of September 30, 2020, there was undrawn available capacity of $601.6 million under the Newbuilding Facility.</w:t>
      </w:r>
    </w:p>
    <w:p>
      <w:pPr>
        <w:spacing w:after="0" w:line="177" w:lineRule="exact"/>
        <w:rPr>
          <w:sz w:val="20"/>
          <w:szCs w:val="20"/>
          <w:color w:val="auto"/>
        </w:rPr>
      </w:pPr>
    </w:p>
    <w:p>
      <w:pPr>
        <w:ind w:right="48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2020, GasLog had an aggregate of $3.5 billion of indebtedness outstanding under its credit facilities and bond agreements, of which $221.7 million was repayable within one year, and $198.1 million of lease liabilities</w:t>
      </w:r>
      <w:r>
        <w:rPr>
          <w:rFonts w:ascii="Times New Roman" w:cs="Times New Roman" w:eastAsia="Times New Roman" w:hAnsi="Times New Roman"/>
          <w:sz w:val="16"/>
          <w:szCs w:val="16"/>
          <w:i w:val="1"/>
          <w:iCs w:val="1"/>
          <w:color w:val="auto"/>
        </w:rPr>
        <w:t>,</w:t>
      </w:r>
      <w:r>
        <w:rPr>
          <w:rFonts w:ascii="Times New Roman" w:cs="Times New Roman" w:eastAsia="Times New Roman" w:hAnsi="Times New Roman"/>
          <w:sz w:val="16"/>
          <w:szCs w:val="16"/>
          <w:color w:val="auto"/>
        </w:rPr>
        <w:t xml:space="preserve"> of which $9.7 million was payable within one year.</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GasLog has hedged 50.6% of its expected floating interest rate exposure on its outstanding debt (excluding the lease liability) as of September 30, 2020.</w:t>
      </w:r>
    </w:p>
    <w:p>
      <w:pPr>
        <w:spacing w:after="0" w:line="235"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6"/>
          <w:szCs w:val="16"/>
          <w:color w:val="auto"/>
        </w:rPr>
        <w:t xml:space="preserve">Diversifying the list of hedging providers, GasLog has entered into novation agreements with Nordea Bank Finland (“Nordea”) and Standard Chartered Bank. Subsequently, two interest rate swaps originally held with Nordea and due to mature in 2022, have now been transferred to Standard Chartered Bank. The aggregate notional amount of the trades is $166.6 million. Furthermore, as part of the closing of the Partnership’s refinancing in July 2020, GasLog Partners entered into four new interest rate swap agreements with an aggregate notional amount of $133.3 million due in 2024 and 2025 with the facility lenders DNB Bank ASA, London Branch and ING Bank N.V., London Branch, all secured under the GasLog Partners’ $193.7 million facility agreement signed on July 16, 2020 in relation to the GAS-nineteen Ltd., the GAS-twenty Ltd. and the GAS-twenty seven Ltd., the vessel owning entities of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Becki Anne</w:t>
      </w:r>
      <w:r>
        <w:rPr>
          <w:rFonts w:ascii="Times New Roman" w:cs="Times New Roman" w:eastAsia="Times New Roman" w:hAnsi="Times New Roman"/>
          <w:sz w:val="16"/>
          <w:szCs w:val="16"/>
          <w:color w:val="auto"/>
        </w:rPr>
        <w:t>. At the same time, two DNB swaps with GasLog for the same notional amount and tenor were terminated. Finally, as part of the closing of the GasLog Chelsea’s refinancing in July 2020, GAS-fifteen Ltd., entered into a new interest rate swap agreement with a notional amount of $96.8 million due in 2025 with the facility lender NBG and secured by the NBG’s $96.8 million facility agreement signed on July 30, 2020. Due to the actions undertaken above, combined with favorable movements in marked-to-market valuations and after interest payments made under the swap rollovers, cash collateral with respect to our interest rate and cross-currency swap agreements decreased to $33.5 million as of November 6, 2020.</w:t>
      </w:r>
    </w:p>
    <w:p>
      <w:pPr>
        <w:spacing w:after="0" w:line="190"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6"/>
          <w:szCs w:val="16"/>
          <w:color w:val="auto"/>
        </w:rPr>
        <w:t xml:space="preserve">Post quarter-end, on October 21, 2020, GasLog refinanced through a sale and leaseback transaction,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xml:space="preserve"> a 174,000 cbm LNG carrier with X-DF propulsion built in 2018. GasLog sold the Vessel to an indirectly owned subsidiary of CMBFL for $163.4 million and leased it back under a bareboat charter for a period of twelve years.</w:t>
      </w:r>
    </w:p>
    <w:p>
      <w:pPr>
        <w:spacing w:after="0" w:line="37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23" w:name="page24"/>
    <w:bookmarkEnd w:id="23"/>
    <w:p>
      <w:pPr>
        <w:ind w:right="240" w:firstLine="324"/>
        <w:spacing w:after="0" w:line="275" w:lineRule="auto"/>
        <w:rPr>
          <w:sz w:val="20"/>
          <w:szCs w:val="20"/>
          <w:color w:val="auto"/>
        </w:rPr>
      </w:pPr>
      <w:r>
        <w:rPr>
          <w:rFonts w:ascii="Times New Roman" w:cs="Times New Roman" w:eastAsia="Times New Roman" w:hAnsi="Times New Roman"/>
          <w:sz w:val="16"/>
          <w:szCs w:val="16"/>
          <w:color w:val="auto"/>
        </w:rPr>
        <w:t>At the end of the period, GasLog has the option to buy the vessel at $70.0 million otherwise a premium of $30.0 million is payable. GasLog can also buy back the vessel at any time by paying the capital outstanding and a prepayment fee where applicable. Interest on the outstanding capital of the bareboat charter will be payable at a rate of USD LIBOR plus a margin. The amount drawn under the sale and leaseback was used to refinance the outstanding indebtedness of GAS-twenty five Ltd in the amount of $137.0 million.</w:t>
      </w:r>
    </w:p>
    <w:p>
      <w:pPr>
        <w:spacing w:after="0" w:line="183"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Our credit facilities are described in Note 13 of our annual audited consolidated financial statements included in our Annual Report on Form 20-F filed with the SEC on March 6, 2020 and Note 7 of our unaudited condensed consolidated financial statements included elsewhere in this report.</w:t>
      </w: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Working Capital Position</w:t>
      </w:r>
    </w:p>
    <w:p>
      <w:pPr>
        <w:spacing w:after="0" w:line="237"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GasLog’s current assets totaled $241.8 million, while current liabilities totaled $425.6 million, resulting in a negative working capital position of $183.8 million. Current liabilities include $52.3 million of unearned revenue in relation to hires received in advance of September 30, 2020 (which represents a non-cash liability that will be recognized as revenue in October as the services are rendered).</w:t>
      </w:r>
    </w:p>
    <w:p>
      <w:pPr>
        <w:spacing w:after="0" w:line="173" w:lineRule="exact"/>
        <w:rPr>
          <w:sz w:val="20"/>
          <w:szCs w:val="20"/>
          <w:color w:val="auto"/>
        </w:rPr>
      </w:pPr>
    </w:p>
    <w:p>
      <w:pPr>
        <w:ind w:right="40" w:firstLine="383"/>
        <w:spacing w:after="0" w:line="253" w:lineRule="auto"/>
        <w:rPr>
          <w:sz w:val="20"/>
          <w:szCs w:val="20"/>
          <w:color w:val="auto"/>
        </w:rPr>
      </w:pPr>
      <w:r>
        <w:rPr>
          <w:rFonts w:ascii="Times New Roman" w:cs="Times New Roman" w:eastAsia="Times New Roman" w:hAnsi="Times New Roman"/>
          <w:sz w:val="18"/>
          <w:szCs w:val="18"/>
          <w:color w:val="auto"/>
        </w:rPr>
        <w:t>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commercial and financial market conditions, we anticipate that our primary sources of funds over the next twelve months will be available cash, cash from operations and existing borrowings, including the credit agreements entered into on July 16, 2020 and July 30, 2020, which refinanced in full the debt maturities due in 2021, as well as the sale-and-leaseback transaction we concluded in October 2020 that released incremental liquidity of $26.4 million. We believe that these anticipated sources of funds will be sufficient to meet our liquidity needs and to comply with our banking covenants for at least twelve months from the end of the reporting period and therefore it is appropriate to prepare the financial statements on a going concern basis. Additionally, we may enter into new debt facilities in the future, as well as public and/or private equity or debt instruments, although there can be no assurance that we will be able to obtain additional debt or equity financing on terms acceptable to us, which will also depend on financial, commercial and other factors, as well as a significant recovery in capital market conditions and sustainable improvement of the LNG market, that are beyond our control. Our long-term ability to repay our debts and maintain compliance with our debt covenants beyond the next twelve months without reliance on additional sources of finance is also dependent on a sustainable longer-term recovery in the LNG charter market from the market disruption observed in the first half of 2020 as a result of the COVID-19 outbreak.</w:t>
      </w:r>
    </w:p>
    <w:p>
      <w:pPr>
        <w:spacing w:after="0" w:line="187" w:lineRule="exact"/>
        <w:rPr>
          <w:sz w:val="20"/>
          <w:szCs w:val="20"/>
          <w:color w:val="auto"/>
        </w:rPr>
      </w:pPr>
    </w:p>
    <w:p>
      <w:pPr>
        <w:ind w:right="60" w:firstLine="383"/>
        <w:spacing w:after="0" w:line="254" w:lineRule="auto"/>
        <w:rPr>
          <w:sz w:val="20"/>
          <w:szCs w:val="20"/>
          <w:color w:val="auto"/>
        </w:rPr>
      </w:pPr>
      <w:r>
        <w:rPr>
          <w:rFonts w:ascii="Times New Roman" w:cs="Times New Roman" w:eastAsia="Times New Roman" w:hAnsi="Times New Roman"/>
          <w:sz w:val="18"/>
          <w:szCs w:val="18"/>
          <w:color w:val="auto"/>
        </w:rPr>
        <w:t>Finally, the Partnership announced today that its cost of capital remains elevated and there continues to be a high degree of COVID-19-related uncertainty in the near-term LNG and LNG shipping markets. By the end of 2020, all five of the Partnership’s Steam vessels will have ended their initial multi-year time charters with subsidiaries of Royal Dutch Shell plc (“Shell”), while three additional tri-fuel diesel electric vessel (“TFDE”) vessels will conclude their multi-year charters next year. Although the Partnership has been successful in finding continued employment for certain of its available vessels, term employment to date has been concluded at current market rates which are below those achieved during the initial charters. Given these factors, combined with the Partnership’s capital allocation strategy, which is focused on deleveraging, the Partnership decided to decrease the common unit distribution to $0.01 per common unit beginning with the third quarter of 2020. This action will further strengthen the Partnership’s balance sheet, lower the fleet’s breakeven, reduce its cost of capital and further enhance its competitive positioning.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Cash Flows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Nine-month period ended September 30, 2019, compared to the nine-month period ended September 30, 2020</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following table summarizes our net cash flows from operating, investing and financing activities for the periods indicated:</w:t>
      </w:r>
    </w:p>
    <w:p>
      <w:pPr>
        <w:spacing w:after="0" w:line="226"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4940" w:type="dxa"/>
            <w:vAlign w:val="bottom"/>
          </w:tcPr>
          <w:p>
            <w:pPr>
              <w:spacing w:after="0"/>
              <w:rPr>
                <w:sz w:val="18"/>
                <w:szCs w:val="18"/>
                <w:color w:val="auto"/>
              </w:rPr>
            </w:pPr>
          </w:p>
        </w:tc>
        <w:tc>
          <w:tcPr>
            <w:tcW w:w="2900" w:type="dxa"/>
            <w:vAlign w:val="bottom"/>
            <w:gridSpan w:val="4"/>
          </w:tcPr>
          <w:p>
            <w:pPr>
              <w:ind w:left="40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18"/>
                <w:szCs w:val="18"/>
                <w:color w:val="auto"/>
              </w:rPr>
            </w:pPr>
          </w:p>
        </w:tc>
        <w:tc>
          <w:tcPr>
            <w:tcW w:w="150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0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0" w:type="dxa"/>
            <w:vAlign w:val="bottom"/>
          </w:tcPr>
          <w:p>
            <w:pPr>
              <w:spacing w:after="0"/>
              <w:rPr>
                <w:sz w:val="1"/>
                <w:szCs w:val="1"/>
                <w:color w:val="auto"/>
              </w:rPr>
            </w:pPr>
          </w:p>
        </w:tc>
      </w:tr>
      <w:tr>
        <w:trPr>
          <w:trHeight w:val="238"/>
        </w:trPr>
        <w:tc>
          <w:tcPr>
            <w:tcW w:w="494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Amounts in thousands of U.S. Dollars</w:t>
            </w: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60" w:type="dxa"/>
            <w:vAlign w:val="bottom"/>
          </w:tcPr>
          <w:p>
            <w:pPr>
              <w:spacing w:after="0"/>
              <w:rPr>
                <w:sz w:val="20"/>
                <w:szCs w:val="20"/>
                <w:color w:val="auto"/>
              </w:rPr>
            </w:pPr>
          </w:p>
        </w:tc>
        <w:tc>
          <w:tcPr>
            <w:tcW w:w="13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940" w:type="dxa"/>
            <w:vAlign w:val="bottom"/>
            <w:vMerge w:val="continue"/>
          </w:tcPr>
          <w:p>
            <w:pPr>
              <w:spacing w:after="0"/>
              <w:rPr>
                <w:sz w:val="18"/>
                <w:szCs w:val="18"/>
                <w:color w:val="auto"/>
              </w:rPr>
            </w:pPr>
          </w:p>
        </w:tc>
        <w:tc>
          <w:tcPr>
            <w:tcW w:w="1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5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147,819</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166,325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5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(430,263)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(537,202)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50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123,805</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282,738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Net Cash Provided by Operating Activities</w:t>
      </w:r>
    </w:p>
    <w:p>
      <w:pPr>
        <w:spacing w:after="0" w:line="237" w:lineRule="exact"/>
        <w:rPr>
          <w:sz w:val="20"/>
          <w:szCs w:val="20"/>
          <w:color w:val="auto"/>
        </w:rPr>
      </w:pPr>
    </w:p>
    <w:p>
      <w:pPr>
        <w:ind w:right="20" w:firstLine="324"/>
        <w:spacing w:after="0" w:line="269" w:lineRule="auto"/>
        <w:rPr>
          <w:sz w:val="20"/>
          <w:szCs w:val="20"/>
          <w:color w:val="auto"/>
        </w:rPr>
      </w:pPr>
      <w:r>
        <w:rPr>
          <w:rFonts w:ascii="Times New Roman" w:cs="Times New Roman" w:eastAsia="Times New Roman" w:hAnsi="Times New Roman"/>
          <w:sz w:val="16"/>
          <w:szCs w:val="16"/>
          <w:color w:val="auto"/>
        </w:rPr>
        <w:t>Net cash provided by operating activities increased by $18.5 million, from $147.8 million during the nine-month period ended September 30, 2019 to $166.3 million during the nine-month period ended September 30, 2020. The increase is mainly attributable to a decrease of $28.5 million movements of the working capital accounts (mainly driven by $42.8 million decrease in unearned revenue collected, the $7.0 million decrease in movements of cash collateral relating to swaps partially offset by a decrease of $32.4 million in movements of balances with related parties, mainly due to the collection of balances due from the LNG carrier pooling arrangement operated by GasLog, and Golar LNG Ltd. (the “Cool Pool”), a decrease of $10.4 million in cash paid for interest and a decrease of $3.4 million in realized gain of forwards, partially offset by an increase of $15.3 million in realized loss from interest rate swaps held for trading, an increase of $6.7 million in vessel operating and supervision costs and a net increase of $1.8 million from the remaining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895" w:right="339" w:bottom="326" w:gutter="0" w:footer="0" w:header="0"/>
        </w:sectPr>
      </w:pPr>
    </w:p>
    <w:bookmarkStart w:id="24" w:name="page25"/>
    <w:bookmarkEnd w:id="24"/>
    <w:p>
      <w:pPr>
        <w:ind w:left="340"/>
        <w:spacing w:after="0"/>
        <w:rPr>
          <w:sz w:val="20"/>
          <w:szCs w:val="20"/>
          <w:color w:val="auto"/>
        </w:rPr>
      </w:pPr>
      <w:r>
        <w:rPr>
          <w:rFonts w:ascii="Times New Roman" w:cs="Times New Roman" w:eastAsia="Times New Roman" w:hAnsi="Times New Roman"/>
          <w:sz w:val="16"/>
          <w:szCs w:val="16"/>
          <w:i w:val="1"/>
          <w:iCs w:val="1"/>
          <w:color w:val="auto"/>
        </w:rPr>
        <w:t>Net Cash Used in Investing Activities</w:t>
      </w:r>
    </w:p>
    <w:p>
      <w:pPr>
        <w:spacing w:after="0" w:line="237" w:lineRule="exact"/>
        <w:rPr>
          <w:sz w:val="20"/>
          <w:szCs w:val="20"/>
          <w:color w:val="auto"/>
        </w:rPr>
      </w:pPr>
    </w:p>
    <w:p>
      <w:pPr>
        <w:ind w:right="100" w:firstLine="324"/>
        <w:spacing w:after="0" w:line="272" w:lineRule="auto"/>
        <w:rPr>
          <w:sz w:val="20"/>
          <w:szCs w:val="20"/>
          <w:color w:val="auto"/>
        </w:rPr>
      </w:pPr>
      <w:r>
        <w:rPr>
          <w:rFonts w:ascii="Times New Roman" w:cs="Times New Roman" w:eastAsia="Times New Roman" w:hAnsi="Times New Roman"/>
          <w:sz w:val="16"/>
          <w:szCs w:val="16"/>
          <w:color w:val="auto"/>
        </w:rPr>
        <w:t>Net cash used in investing activities increased by $106.9 million, from $430.3 million in the nine-month period ended September 30, 2019 to $537.2 million in the nine-month period ended September 30, 2020. The increase is mainly attributable to an increase of $101.9 million in net cash used in payments for the construction costs of newbuildings and other fixed assets, an increase of $5.3 million in net cash used in payments for right-of-use assets and a decrease of $3.7 million in cash from interest income, partially offset by a net increase of $3.5 million in cash from short-term investments in the nine-month period ended September 30, 2020 compared to the same period of 2019.</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Net Cash Provided by Financing Activities</w:t>
      </w:r>
    </w:p>
    <w:p>
      <w:pPr>
        <w:spacing w:after="0" w:line="237"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6"/>
          <w:szCs w:val="16"/>
          <w:color w:val="auto"/>
        </w:rPr>
        <w:t>Net cash provided by financing activities increased by $158.9 million, from $123.8 million in the nine-month period ended September 30, 2019 to $282.7 million in the nine-month period ended September 30, 2020. The increase is mainly attributable to an increase of $871.8 million in proceeds from bank loans and bonds, an increase of $36.0 million in proceeds from the Private Placement, a decrease of $45.1 million in dividend payments, an increase of $31.6 million in proceeds from entering into interest rate swaps and a decrease of $20.8 million in cash used for purchases of treasury shares, partially offset by an increase of $799.0 million bank loan and bond repayments, an increase of $30.9 million relating to the payment for the termination of interest rate and cross currency swaps, an increase of $14.4 million in payments of loan issuance costs, an increase of $1.9 million in payments for bond repurchase at a premium and an increase of $0.9 million in payments for lease liabilities.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Contracted Charter Revenues and Days from Time Charters</w:t>
      </w:r>
    </w:p>
    <w:p>
      <w:pPr>
        <w:spacing w:after="0" w:line="237" w:lineRule="exact"/>
        <w:rPr>
          <w:sz w:val="20"/>
          <w:szCs w:val="20"/>
          <w:color w:val="auto"/>
        </w:rPr>
      </w:pPr>
    </w:p>
    <w:p>
      <w:pPr>
        <w:ind w:right="700" w:firstLine="324"/>
        <w:spacing w:after="0" w:line="298" w:lineRule="auto"/>
        <w:rPr>
          <w:sz w:val="20"/>
          <w:szCs w:val="20"/>
          <w:color w:val="auto"/>
        </w:rPr>
      </w:pPr>
      <w:r>
        <w:rPr>
          <w:rFonts w:ascii="Times New Roman" w:cs="Times New Roman" w:eastAsia="Times New Roman" w:hAnsi="Times New Roman"/>
          <w:sz w:val="16"/>
          <w:szCs w:val="16"/>
          <w:color w:val="auto"/>
        </w:rPr>
        <w:t>The following table summarizes GasLog’s (including the vessels contributed or sold to GasLog Partners) contracted charter revenues and contract cover after September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620" w:type="dxa"/>
            <w:vAlign w:val="bottom"/>
          </w:tcPr>
          <w:p>
            <w:pPr>
              <w:spacing w:after="0"/>
              <w:rPr>
                <w:sz w:val="17"/>
                <w:szCs w:val="17"/>
                <w:color w:val="auto"/>
              </w:rPr>
            </w:pPr>
          </w:p>
        </w:tc>
        <w:tc>
          <w:tcPr>
            <w:tcW w:w="5620" w:type="dxa"/>
            <w:vAlign w:val="bottom"/>
            <w:gridSpan w:val="8"/>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Contracted Charter Revenues and Days from Time Charters</w:t>
            </w:r>
          </w:p>
        </w:tc>
      </w:tr>
      <w:tr>
        <w:trPr>
          <w:trHeight w:val="203"/>
        </w:trPr>
        <w:tc>
          <w:tcPr>
            <w:tcW w:w="5620" w:type="dxa"/>
            <w:vAlign w:val="bottom"/>
          </w:tcPr>
          <w:p>
            <w:pPr>
              <w:spacing w:after="0"/>
              <w:rPr>
                <w:sz w:val="17"/>
                <w:szCs w:val="17"/>
                <w:color w:val="auto"/>
              </w:rPr>
            </w:pPr>
          </w:p>
        </w:tc>
        <w:tc>
          <w:tcPr>
            <w:tcW w:w="84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After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03"/>
        </w:trPr>
        <w:tc>
          <w:tcPr>
            <w:tcW w:w="562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280" w:type="dxa"/>
            <w:vAlign w:val="bottom"/>
          </w:tcPr>
          <w:p>
            <w:pPr>
              <w:spacing w:after="0"/>
              <w:rPr>
                <w:sz w:val="17"/>
                <w:szCs w:val="17"/>
                <w:color w:val="auto"/>
              </w:rPr>
            </w:pPr>
          </w:p>
        </w:tc>
      </w:tr>
      <w:tr>
        <w:trPr>
          <w:trHeight w:val="215"/>
        </w:trPr>
        <w:tc>
          <w:tcPr>
            <w:tcW w:w="5620" w:type="dxa"/>
            <w:vAlign w:val="bottom"/>
          </w:tcPr>
          <w:p>
            <w:pPr>
              <w:spacing w:after="0"/>
              <w:rPr>
                <w:sz w:val="18"/>
                <w:szCs w:val="18"/>
                <w:color w:val="auto"/>
              </w:rPr>
            </w:pPr>
          </w:p>
        </w:tc>
        <w:tc>
          <w:tcPr>
            <w:tcW w:w="84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30,</w:t>
            </w:r>
          </w:p>
        </w:tc>
        <w:tc>
          <w:tcPr>
            <w:tcW w:w="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For the years ending December 31,</w:t>
            </w:r>
          </w:p>
        </w:tc>
        <w:tc>
          <w:tcPr>
            <w:tcW w:w="1280" w:type="dxa"/>
            <w:vAlign w:val="bottom"/>
            <w:tcBorders>
              <w:bottom w:val="single" w:sz="8" w:color="auto"/>
            </w:tcBorders>
          </w:tcPr>
          <w:p>
            <w:pPr>
              <w:spacing w:after="0"/>
              <w:rPr>
                <w:sz w:val="18"/>
                <w:szCs w:val="18"/>
                <w:color w:val="auto"/>
              </w:rPr>
            </w:pPr>
          </w:p>
        </w:tc>
      </w:tr>
      <w:tr>
        <w:trPr>
          <w:trHeight w:val="211"/>
        </w:trPr>
        <w:tc>
          <w:tcPr>
            <w:tcW w:w="5620" w:type="dxa"/>
            <w:vAlign w:val="bottom"/>
          </w:tcPr>
          <w:p>
            <w:pPr>
              <w:spacing w:after="0"/>
              <w:rPr>
                <w:sz w:val="18"/>
                <w:szCs w:val="18"/>
                <w:color w:val="auto"/>
              </w:rPr>
            </w:pPr>
          </w:p>
        </w:tc>
        <w:tc>
          <w:tcPr>
            <w:tcW w:w="8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2020</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2021</w:t>
            </w:r>
          </w:p>
        </w:tc>
        <w:tc>
          <w:tcPr>
            <w:tcW w:w="7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76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12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2024-2032</w:t>
            </w:r>
          </w:p>
        </w:tc>
        <w:tc>
          <w:tcPr>
            <w:tcW w:w="128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198"/>
        </w:trPr>
        <w:tc>
          <w:tcPr>
            <w:tcW w:w="56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780" w:type="dxa"/>
            <w:vAlign w:val="bottom"/>
            <w:gridSpan w:val="7"/>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millions of U.S. dollars, except days and percentages)</w:t>
            </w:r>
          </w:p>
        </w:tc>
      </w:tr>
      <w:tr>
        <w:trPr>
          <w:trHeight w:val="243"/>
        </w:trPr>
        <w:tc>
          <w:tcPr>
            <w:tcW w:w="56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Contracted time charter revenues</w:t>
            </w:r>
            <w:r>
              <w:rPr>
                <w:rFonts w:ascii="Times New Roman" w:cs="Times New Roman" w:eastAsia="Times New Roman" w:hAnsi="Times New Roman"/>
                <w:sz w:val="26"/>
                <w:szCs w:val="26"/>
                <w:color w:val="auto"/>
                <w:vertAlign w:val="superscript"/>
              </w:rPr>
              <w:t>(1)</w:t>
            </w:r>
          </w:p>
        </w:tc>
        <w:tc>
          <w:tcPr>
            <w:tcW w:w="840" w:type="dxa"/>
            <w:vAlign w:val="bottom"/>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156.5</w:t>
            </w:r>
          </w:p>
        </w:tc>
        <w:tc>
          <w:tcPr>
            <w:tcW w:w="900" w:type="dxa"/>
            <w:vAlign w:val="bottom"/>
            <w:gridSpan w:val="3"/>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572.3</w:t>
            </w:r>
          </w:p>
        </w:tc>
        <w:tc>
          <w:tcPr>
            <w:tcW w:w="72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556.3</w:t>
            </w:r>
          </w:p>
        </w:tc>
        <w:tc>
          <w:tcPr>
            <w:tcW w:w="760" w:type="dxa"/>
            <w:vAlign w:val="bottom"/>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519.7</w:t>
            </w:r>
          </w:p>
        </w:tc>
        <w:tc>
          <w:tcPr>
            <w:tcW w:w="1120" w:type="dxa"/>
            <w:vAlign w:val="bottom"/>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1,782.1</w:t>
            </w:r>
          </w:p>
        </w:tc>
        <w:tc>
          <w:tcPr>
            <w:tcW w:w="1280" w:type="dxa"/>
            <w:vAlign w:val="bottom"/>
            <w:shd w:val="clear" w:color="auto" w:fill="E5FFFF"/>
          </w:tcPr>
          <w:p>
            <w:pPr>
              <w:jc w:val="right"/>
              <w:ind w:right="459"/>
              <w:spacing w:after="0"/>
              <w:rPr>
                <w:sz w:val="20"/>
                <w:szCs w:val="20"/>
                <w:color w:val="auto"/>
              </w:rPr>
            </w:pPr>
            <w:r>
              <w:rPr>
                <w:rFonts w:ascii="Times New Roman" w:cs="Times New Roman" w:eastAsia="Times New Roman" w:hAnsi="Times New Roman"/>
                <w:sz w:val="16"/>
                <w:szCs w:val="16"/>
                <w:color w:val="auto"/>
              </w:rPr>
              <w:t>3,586.9</w:t>
            </w: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Total contracted days</w:t>
            </w:r>
            <w:r>
              <w:rPr>
                <w:rFonts w:ascii="Times New Roman" w:cs="Times New Roman" w:eastAsia="Times New Roman" w:hAnsi="Times New Roman"/>
                <w:sz w:val="26"/>
                <w:szCs w:val="26"/>
                <w:color w:val="auto"/>
                <w:vertAlign w:val="superscript"/>
              </w:rPr>
              <w:t>(1)</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2,501</w:t>
            </w:r>
          </w:p>
        </w:tc>
        <w:tc>
          <w:tcPr>
            <w:tcW w:w="9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8,442</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7,856</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6,975</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23,868</w:t>
            </w: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49,642</w:t>
            </w:r>
          </w:p>
        </w:tc>
      </w:tr>
      <w:tr>
        <w:trPr>
          <w:trHeight w:val="243"/>
        </w:trPr>
        <w:tc>
          <w:tcPr>
            <w:tcW w:w="5620" w:type="dxa"/>
            <w:vAlign w:val="bottom"/>
            <w:shd w:val="clear" w:color="auto" w:fill="E5FFFF"/>
          </w:tcPr>
          <w:p>
            <w:pPr>
              <w:spacing w:after="0" w:line="243" w:lineRule="exact"/>
              <w:rPr>
                <w:sz w:val="20"/>
                <w:szCs w:val="20"/>
                <w:color w:val="auto"/>
              </w:rPr>
            </w:pPr>
            <w:r>
              <w:rPr>
                <w:rFonts w:ascii="Times New Roman" w:cs="Times New Roman" w:eastAsia="Times New Roman" w:hAnsi="Times New Roman"/>
                <w:sz w:val="16"/>
                <w:szCs w:val="16"/>
                <w:color w:val="auto"/>
              </w:rPr>
              <w:t>Total available days</w:t>
            </w:r>
            <w:r>
              <w:rPr>
                <w:rFonts w:ascii="Times New Roman" w:cs="Times New Roman" w:eastAsia="Times New Roman" w:hAnsi="Times New Roman"/>
                <w:sz w:val="26"/>
                <w:szCs w:val="26"/>
                <w:color w:val="auto"/>
                <w:vertAlign w:val="superscript"/>
              </w:rPr>
              <w:t>(2)</w:t>
            </w:r>
          </w:p>
        </w:tc>
        <w:tc>
          <w:tcPr>
            <w:tcW w:w="840" w:type="dxa"/>
            <w:vAlign w:val="bottom"/>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2,880</w:t>
            </w:r>
          </w:p>
        </w:tc>
        <w:tc>
          <w:tcPr>
            <w:tcW w:w="900" w:type="dxa"/>
            <w:vAlign w:val="bottom"/>
            <w:gridSpan w:val="3"/>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12,176</w:t>
            </w:r>
          </w:p>
        </w:tc>
        <w:tc>
          <w:tcPr>
            <w:tcW w:w="72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12,775</w:t>
            </w:r>
          </w:p>
        </w:tc>
        <w:tc>
          <w:tcPr>
            <w:tcW w:w="760" w:type="dxa"/>
            <w:vAlign w:val="bottom"/>
            <w:shd w:val="clear" w:color="auto" w:fill="E5FFFF"/>
          </w:tcPr>
          <w:p>
            <w:pPr>
              <w:jc w:val="right"/>
              <w:ind w:right="119"/>
              <w:spacing w:after="0"/>
              <w:rPr>
                <w:sz w:val="20"/>
                <w:szCs w:val="20"/>
                <w:color w:val="auto"/>
              </w:rPr>
            </w:pPr>
            <w:r>
              <w:rPr>
                <w:rFonts w:ascii="Times New Roman" w:cs="Times New Roman" w:eastAsia="Times New Roman" w:hAnsi="Times New Roman"/>
                <w:sz w:val="16"/>
                <w:szCs w:val="16"/>
                <w:color w:val="auto"/>
              </w:rPr>
              <w:t>12,535</w:t>
            </w:r>
          </w:p>
        </w:tc>
        <w:tc>
          <w:tcPr>
            <w:tcW w:w="1120" w:type="dxa"/>
            <w:vAlign w:val="bottom"/>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113,250</w:t>
            </w:r>
          </w:p>
        </w:tc>
        <w:tc>
          <w:tcPr>
            <w:tcW w:w="1280" w:type="dxa"/>
            <w:vAlign w:val="bottom"/>
            <w:shd w:val="clear" w:color="auto" w:fill="E5FFFF"/>
          </w:tcPr>
          <w:p>
            <w:pPr>
              <w:jc w:val="right"/>
              <w:ind w:right="459"/>
              <w:spacing w:after="0"/>
              <w:rPr>
                <w:sz w:val="20"/>
                <w:szCs w:val="20"/>
                <w:color w:val="auto"/>
              </w:rPr>
            </w:pPr>
            <w:r>
              <w:rPr>
                <w:rFonts w:ascii="Times New Roman" w:cs="Times New Roman" w:eastAsia="Times New Roman" w:hAnsi="Times New Roman"/>
                <w:sz w:val="16"/>
                <w:szCs w:val="16"/>
                <w:color w:val="auto"/>
              </w:rPr>
              <w:t>153,616</w:t>
            </w:r>
          </w:p>
        </w:tc>
      </w:tr>
      <w:tr>
        <w:trPr>
          <w:trHeight w:val="243"/>
        </w:trPr>
        <w:tc>
          <w:tcPr>
            <w:tcW w:w="5620" w:type="dxa"/>
            <w:vAlign w:val="bottom"/>
          </w:tcPr>
          <w:p>
            <w:pPr>
              <w:spacing w:after="0" w:line="243" w:lineRule="exact"/>
              <w:rPr>
                <w:sz w:val="20"/>
                <w:szCs w:val="20"/>
                <w:color w:val="auto"/>
              </w:rPr>
            </w:pPr>
            <w:r>
              <w:rPr>
                <w:rFonts w:ascii="Times New Roman" w:cs="Times New Roman" w:eastAsia="Times New Roman" w:hAnsi="Times New Roman"/>
                <w:sz w:val="16"/>
                <w:szCs w:val="16"/>
                <w:color w:val="auto"/>
              </w:rPr>
              <w:t>Total unfixed days</w:t>
            </w:r>
            <w:r>
              <w:rPr>
                <w:rFonts w:ascii="Times New Roman" w:cs="Times New Roman" w:eastAsia="Times New Roman" w:hAnsi="Times New Roman"/>
                <w:sz w:val="26"/>
                <w:szCs w:val="26"/>
                <w:color w:val="auto"/>
                <w:vertAlign w:val="superscript"/>
              </w:rPr>
              <w:t>(3)</w:t>
            </w:r>
          </w:p>
        </w:tc>
        <w:tc>
          <w:tcPr>
            <w:tcW w:w="84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rPr>
              <w:t>379</w:t>
            </w:r>
          </w:p>
        </w:tc>
        <w:tc>
          <w:tcPr>
            <w:tcW w:w="90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color w:val="auto"/>
              </w:rPr>
              <w:t>3,734</w:t>
            </w:r>
          </w:p>
        </w:tc>
        <w:tc>
          <w:tcPr>
            <w:tcW w:w="7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4,919</w:t>
            </w:r>
          </w:p>
        </w:tc>
        <w:tc>
          <w:tcPr>
            <w:tcW w:w="76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5,560</w:t>
            </w:r>
          </w:p>
        </w:tc>
        <w:tc>
          <w:tcPr>
            <w:tcW w:w="1120" w:type="dxa"/>
            <w:vAlign w:val="bottom"/>
          </w:tcPr>
          <w:p>
            <w:pPr>
              <w:jc w:val="right"/>
              <w:ind w:right="199"/>
              <w:spacing w:after="0"/>
              <w:rPr>
                <w:sz w:val="20"/>
                <w:szCs w:val="20"/>
                <w:color w:val="auto"/>
              </w:rPr>
            </w:pPr>
            <w:r>
              <w:rPr>
                <w:rFonts w:ascii="Times New Roman" w:cs="Times New Roman" w:eastAsia="Times New Roman" w:hAnsi="Times New Roman"/>
                <w:sz w:val="16"/>
                <w:szCs w:val="16"/>
                <w:color w:val="auto"/>
              </w:rPr>
              <w:t>89,382</w:t>
            </w:r>
          </w:p>
        </w:tc>
        <w:tc>
          <w:tcPr>
            <w:tcW w:w="1280" w:type="dxa"/>
            <w:vAlign w:val="bottom"/>
          </w:tcPr>
          <w:p>
            <w:pPr>
              <w:jc w:val="right"/>
              <w:ind w:right="459"/>
              <w:spacing w:after="0"/>
              <w:rPr>
                <w:sz w:val="20"/>
                <w:szCs w:val="20"/>
                <w:color w:val="auto"/>
              </w:rPr>
            </w:pPr>
            <w:r>
              <w:rPr>
                <w:rFonts w:ascii="Times New Roman" w:cs="Times New Roman" w:eastAsia="Times New Roman" w:hAnsi="Times New Roman"/>
                <w:sz w:val="16"/>
                <w:szCs w:val="16"/>
                <w:color w:val="auto"/>
              </w:rPr>
              <w:t>103,974</w:t>
            </w:r>
          </w:p>
        </w:tc>
      </w:tr>
      <w:tr>
        <w:trPr>
          <w:trHeight w:val="216"/>
        </w:trPr>
        <w:tc>
          <w:tcPr>
            <w:tcW w:w="56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Percentage of total contracted days/total available days</w:t>
            </w:r>
          </w:p>
        </w:tc>
        <w:tc>
          <w:tcPr>
            <w:tcW w:w="8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86.8%</w:t>
            </w:r>
          </w:p>
        </w:tc>
        <w:tc>
          <w:tcPr>
            <w:tcW w:w="90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69.3%</w:t>
            </w:r>
          </w:p>
        </w:tc>
        <w:tc>
          <w:tcPr>
            <w:tcW w:w="720" w:type="dxa"/>
            <w:vAlign w:val="bottom"/>
            <w:shd w:val="clear" w:color="auto" w:fill="E5FFFF"/>
          </w:tcPr>
          <w:p>
            <w:pPr>
              <w:jc w:val="right"/>
              <w:ind w:right="19"/>
              <w:spacing w:after="0"/>
              <w:rPr>
                <w:sz w:val="20"/>
                <w:szCs w:val="20"/>
                <w:color w:val="auto"/>
              </w:rPr>
            </w:pPr>
            <w:r>
              <w:rPr>
                <w:rFonts w:ascii="Times New Roman" w:cs="Times New Roman" w:eastAsia="Times New Roman" w:hAnsi="Times New Roman"/>
                <w:sz w:val="16"/>
                <w:szCs w:val="16"/>
                <w:color w:val="auto"/>
              </w:rPr>
              <w:t>61.5%</w:t>
            </w:r>
          </w:p>
        </w:tc>
        <w:tc>
          <w:tcPr>
            <w:tcW w:w="7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55.6%</w:t>
            </w:r>
          </w:p>
        </w:tc>
        <w:tc>
          <w:tcPr>
            <w:tcW w:w="1120" w:type="dxa"/>
            <w:vAlign w:val="bottom"/>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21.1%</w:t>
            </w:r>
          </w:p>
        </w:tc>
        <w:tc>
          <w:tcPr>
            <w:tcW w:w="1280" w:type="dxa"/>
            <w:vAlign w:val="bottom"/>
            <w:shd w:val="clear" w:color="auto" w:fill="E5FFFF"/>
          </w:tcPr>
          <w:p>
            <w:pPr>
              <w:jc w:val="right"/>
              <w:ind w:right="319"/>
              <w:spacing w:after="0"/>
              <w:rPr>
                <w:sz w:val="20"/>
                <w:szCs w:val="20"/>
                <w:color w:val="auto"/>
              </w:rPr>
            </w:pPr>
            <w:r>
              <w:rPr>
                <w:rFonts w:ascii="Times New Roman" w:cs="Times New Roman" w:eastAsia="Times New Roman" w:hAnsi="Times New Roman"/>
                <w:sz w:val="16"/>
                <w:szCs w:val="16"/>
                <w:color w:val="auto"/>
              </w:rPr>
              <w:t>32.3%</w:t>
            </w:r>
          </w:p>
        </w:tc>
      </w:tr>
    </w:tbl>
    <w:p>
      <w:pPr>
        <w:spacing w:after="0" w:line="198" w:lineRule="exact"/>
        <w:rPr>
          <w:sz w:val="20"/>
          <w:szCs w:val="20"/>
          <w:color w:val="auto"/>
        </w:rPr>
      </w:pPr>
    </w:p>
    <w:p>
      <w:pPr>
        <w:ind w:left="340"/>
        <w:spacing w:after="0" w:line="282" w:lineRule="auto"/>
        <w:rPr>
          <w:sz w:val="20"/>
          <w:szCs w:val="20"/>
          <w:color w:val="auto"/>
        </w:rPr>
      </w:pPr>
      <w:r>
        <w:rPr>
          <w:rFonts w:ascii="Times New Roman" w:cs="Times New Roman" w:eastAsia="Times New Roman" w:hAnsi="Times New Roman"/>
          <w:sz w:val="18"/>
          <w:szCs w:val="18"/>
          <w:color w:val="auto"/>
        </w:rPr>
        <w:t>After giving effect to the charter parties signed from September 30, 2020 until November 10, 2020, the contracted time charter revenues and the percentage of total contracted days to total available days for the fourth quarter 2020 increased to $164.1 million and 94.7%, respectively.</w:t>
      </w:r>
    </w:p>
    <w:p>
      <w:pPr>
        <w:spacing w:after="0" w:line="1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____________</w:t>
      </w:r>
    </w:p>
    <w:p>
      <w:pPr>
        <w:spacing w:after="0" w:line="226" w:lineRule="exact"/>
        <w:rPr>
          <w:sz w:val="20"/>
          <w:szCs w:val="20"/>
          <w:color w:val="auto"/>
        </w:rPr>
      </w:pPr>
    </w:p>
    <w:p>
      <w:pPr>
        <w:ind w:left="340" w:hanging="332"/>
        <w:spacing w:after="0"/>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 xml:space="preserve">Reflects time charter revenues and contracted days for 14 of our currently wholly-owned ships, the 15 ships currently owned by the Partnership, the two bareboat vessels and the four newbuildings on order for which we have secured time charters. Does not include charter revenues for the </w:t>
      </w:r>
      <w:r>
        <w:rPr>
          <w:rFonts w:ascii="Times New Roman" w:cs="Times New Roman" w:eastAsia="Times New Roman" w:hAnsi="Times New Roman"/>
          <w:sz w:val="14"/>
          <w:szCs w:val="14"/>
          <w:i w:val="1"/>
          <w:iCs w:val="1"/>
          <w:color w:val="auto"/>
        </w:rPr>
        <w:t>Methane Nile Eagle</w:t>
      </w:r>
      <w:r>
        <w:rPr>
          <w:rFonts w:ascii="Times New Roman" w:cs="Times New Roman" w:eastAsia="Times New Roman" w:hAnsi="Times New Roman"/>
          <w:sz w:val="14"/>
          <w:szCs w:val="14"/>
          <w:color w:val="auto"/>
        </w:rPr>
        <w:t>, in which we hold a 25% minority interest. Contracted revenue calculations assume: (a) 365 revenue days per annum, with 30 off-hire days when the ship undergoes scheduled dry-docking (every five years); (b) all LNG carriers on order are delivered on schedule; and (c) no exercise of any option to extend the terms of charters. For time charters that include a fixed operating cost component subject to annual escalation, revenue calculations include that fixed annual escalation. For time charters that give the charterer the option to set the charter hire rate at prevailing market rates during an initial portion of the time charter’s term, revenue calculations assume that the charterer does not elect such option. Revenue calculations for such charters include an estimate of the amount of the operating cost component and the management fee component. For time charters that are based on a variable rate of hire within an agreed range during the charter period, the lower end of the range is used for this calculation.</w:t>
      </w:r>
    </w:p>
    <w:p>
      <w:pPr>
        <w:spacing w:after="0" w:line="277" w:lineRule="exact"/>
        <w:rPr>
          <w:rFonts w:ascii="Times New Roman" w:cs="Times New Roman" w:eastAsia="Times New Roman" w:hAnsi="Times New Roman"/>
          <w:sz w:val="12"/>
          <w:szCs w:val="12"/>
          <w:color w:val="auto"/>
        </w:rPr>
      </w:pPr>
    </w:p>
    <w:p>
      <w:pPr>
        <w:ind w:left="340" w:right="120" w:hanging="332"/>
        <w:spacing w:after="0" w:line="261" w:lineRule="auto"/>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Available days represent total calendar days after deducting 30 off-hire days when the ship undergoes scheduled dry-docking. The available days for the vessels operating in the spot/short-term market are included.</w:t>
      </w:r>
    </w:p>
    <w:p>
      <w:pPr>
        <w:spacing w:after="0" w:line="162" w:lineRule="exact"/>
        <w:rPr>
          <w:rFonts w:ascii="Times New Roman" w:cs="Times New Roman" w:eastAsia="Times New Roman" w:hAnsi="Times New Roman"/>
          <w:sz w:val="12"/>
          <w:szCs w:val="12"/>
          <w:color w:val="auto"/>
        </w:rPr>
      </w:pPr>
    </w:p>
    <w:p>
      <w:pPr>
        <w:ind w:left="340" w:right="280" w:hanging="332"/>
        <w:spacing w:after="0" w:line="261" w:lineRule="auto"/>
        <w:tabs>
          <w:tab w:leader="none" w:pos="340" w:val="left"/>
        </w:tabs>
        <w:numPr>
          <w:ilvl w:val="0"/>
          <w:numId w:val="15"/>
        </w:numPr>
        <w:rPr>
          <w:rFonts w:ascii="Times New Roman" w:cs="Times New Roman" w:eastAsia="Times New Roman" w:hAnsi="Times New Roman"/>
          <w:sz w:val="12"/>
          <w:szCs w:val="12"/>
          <w:color w:val="auto"/>
        </w:rPr>
      </w:pPr>
      <w:r>
        <w:rPr>
          <w:rFonts w:ascii="Times New Roman" w:cs="Times New Roman" w:eastAsia="Times New Roman" w:hAnsi="Times New Roman"/>
          <w:sz w:val="14"/>
          <w:szCs w:val="14"/>
          <w:color w:val="auto"/>
        </w:rPr>
        <w:t>Represents available days for ships after the expiration of existing charters (assuming charterers do not exercise any option to extend the terms of charters) and the available days for the vessels operating in the spot/short-term market.</w:t>
      </w:r>
    </w:p>
    <w:p>
      <w:pPr>
        <w:spacing w:after="0" w:line="388" w:lineRule="exact"/>
        <w:rPr>
          <w:sz w:val="20"/>
          <w:szCs w:val="20"/>
          <w:color w:val="auto"/>
        </w:rPr>
      </w:pPr>
    </w:p>
    <w:p>
      <w:pPr>
        <w:ind w:firstLine="324"/>
        <w:spacing w:after="0" w:line="267" w:lineRule="auto"/>
        <w:rPr>
          <w:sz w:val="20"/>
          <w:szCs w:val="20"/>
          <w:color w:val="auto"/>
        </w:rPr>
      </w:pPr>
      <w:r>
        <w:rPr>
          <w:rFonts w:ascii="Times New Roman" w:cs="Times New Roman" w:eastAsia="Times New Roman" w:hAnsi="Times New Roman"/>
          <w:sz w:val="16"/>
          <w:szCs w:val="16"/>
          <w:color w:val="auto"/>
        </w:rPr>
        <w:t>Other than the assumptions reflected in the footnotes to the table, including our assumption that our newbuildings are delivered on schedule, the table does not reflect events occurring after September 30, 2020. The table reflects only our contracted charter revenues for the ships in our owned fleet and bareboat fleet for which we have secured time charters, and it does not reflect the costs or expenses we will incur in fulfilling our obligations under the charters, nor does it include other revenues we may earn, such as revenues for technical management of customer-owned ships. In particular, the table does not reflect any revenues from any additional ships we may acquire in the future, nor does it reflect the options under our time charters that permit our charterers to extend the time charter terms for successive multi-year periods. The entry into new time charter contracts for the vessels that are operating in the spot term market and any additional ships we may acquire, or the exercise of options extending the terms of our existing charters, would result in an increase in the number of contracted days and the contracted revenue for our fleet in the future. Although the contracted charter revenues are based on contracted charter hire rate provisions, they reflect certain assumptions, including assumptions relating to future ship operating costs. We consider the assumptions to be reasonable as of the date of this report, but if these assumptions prove to be incorrect, our actual time charter revenues could differ from those reflected in the table. Furthermore, any contract is subject to various risks, including performance by the counterparties or an early termination of the contract pursuant to its terms. If the charterers are unable or unwilling to make charter payments to us, or if we agree to renegotiate charter terms at the request of a charterer or if contracts are prematurely terminated for any reason, we would be exposed to prevailing market conditions at the time and our results of operations and financial condition may be materially adversely affected.</w:t>
      </w:r>
    </w:p>
    <w:p>
      <w:pPr>
        <w:spacing w:after="0" w:line="174" w:lineRule="exact"/>
        <w:rPr>
          <w:sz w:val="20"/>
          <w:szCs w:val="20"/>
          <w:color w:val="auto"/>
        </w:rPr>
      </w:pPr>
    </w:p>
    <w:p>
      <w:pPr>
        <w:ind w:right="120" w:firstLine="324"/>
        <w:spacing w:after="0" w:line="272" w:lineRule="auto"/>
        <w:rPr>
          <w:sz w:val="20"/>
          <w:szCs w:val="20"/>
          <w:color w:val="auto"/>
        </w:rPr>
      </w:pPr>
      <w:r>
        <w:rPr>
          <w:rFonts w:ascii="Times New Roman" w:cs="Times New Roman" w:eastAsia="Times New Roman" w:hAnsi="Times New Roman"/>
          <w:sz w:val="16"/>
          <w:szCs w:val="16"/>
          <w:color w:val="auto"/>
        </w:rPr>
        <w:t>Please see the disclosure under the heading “Risk Factors” in our Annual Report on Form 20-F filed with the SEC on March 6, 2020. For these reasons, the contracted charter revenue information presented above is not fact and should not be relied upon as being necessarily indicative of future results and readers are cautioned not to place undue reliance on this information. Neither the Company’s independent auditors, nor any other independent accountants, have compiled, examined or performed any procedures with respect to the information presented in the table, nor have they expressed any opinion or any other form of assurance on such information or its achievability and assume no responsibility for, and disclaim any association with, the information in the table.</w:t>
      </w:r>
    </w:p>
    <w:p>
      <w:pPr>
        <w:sectPr>
          <w:pgSz w:w="11900" w:h="16838" w:orient="portrait"/>
          <w:cols w:equalWidth="0" w:num="1">
            <w:col w:w="11240"/>
          </w:cols>
          <w:pgMar w:left="320" w:top="907" w:right="339" w:bottom="134"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b w:val="1"/>
          <w:bCs w:val="1"/>
          <w:color w:val="auto"/>
        </w:rPr>
        <w:t>Significant Accounting Policies</w:t>
      </w:r>
    </w:p>
    <w:p>
      <w:pPr>
        <w:spacing w:after="0" w:line="237"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For a description of all of our significant accounting policies, see Note 2 of our annual audited consolidated financial statements included in our Annual Report on Form 20-F filed on March 6, 2020 and Note 2 of our unaudited condensed consolidated financial statements included elsewhere in this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860"/>
          </w:cols>
          <w:pgMar w:left="320" w:top="1109" w:right="71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6"/>
          <w:szCs w:val="16"/>
          <w:b w:val="1"/>
          <w:bCs w:val="1"/>
          <w:color w:val="auto"/>
        </w:rPr>
        <w:t>GASLOG LTD.</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0480" w:type="dxa"/>
            <w:vAlign w:val="bottom"/>
          </w:tcPr>
          <w:p>
            <w:pPr>
              <w:ind w:left="3280"/>
              <w:spacing w:after="0"/>
              <w:rPr>
                <w:sz w:val="20"/>
                <w:szCs w:val="20"/>
                <w:color w:val="auto"/>
              </w:rPr>
            </w:pPr>
            <w:r>
              <w:rPr>
                <w:rFonts w:ascii="Times New Roman" w:cs="Times New Roman" w:eastAsia="Times New Roman" w:hAnsi="Times New Roman"/>
                <w:sz w:val="16"/>
                <w:szCs w:val="16"/>
                <w:b w:val="1"/>
                <w:bCs w:val="1"/>
                <w:color w:val="auto"/>
              </w:rPr>
              <w:t>INDEX TO UNAUDITED CONDENSED CONSOLIDATED FINANCIAL STATEMENTS</w:t>
            </w:r>
          </w:p>
        </w:tc>
        <w:tc>
          <w:tcPr>
            <w:tcW w:w="760" w:type="dxa"/>
            <w:vAlign w:val="bottom"/>
          </w:tcPr>
          <w:p>
            <w:pPr>
              <w:spacing w:after="0"/>
              <w:rPr>
                <w:sz w:val="18"/>
                <w:szCs w:val="18"/>
                <w:color w:val="auto"/>
              </w:rPr>
            </w:pPr>
          </w:p>
        </w:tc>
      </w:tr>
      <w:tr>
        <w:trPr>
          <w:trHeight w:val="641"/>
        </w:trPr>
        <w:tc>
          <w:tcPr>
            <w:tcW w:w="10480" w:type="dxa"/>
            <w:vAlign w:val="bottom"/>
          </w:tcPr>
          <w:p>
            <w:pPr>
              <w:spacing w:after="0"/>
              <w:rPr>
                <w:sz w:val="24"/>
                <w:szCs w:val="24"/>
                <w:color w:val="auto"/>
              </w:rPr>
            </w:pPr>
          </w:p>
        </w:tc>
        <w:tc>
          <w:tcPr>
            <w:tcW w:w="7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Page</w:t>
            </w:r>
          </w:p>
        </w:tc>
      </w:tr>
      <w:tr>
        <w:trPr>
          <w:trHeight w:val="212"/>
        </w:trPr>
        <w:tc>
          <w:tcPr>
            <w:tcW w:w="10480" w:type="dxa"/>
            <w:vAlign w:val="bottom"/>
          </w:tcPr>
          <w:p>
            <w:pPr>
              <w:spacing w:after="0"/>
              <w:rPr>
                <w:sz w:val="18"/>
                <w:szCs w:val="18"/>
                <w:color w:val="auto"/>
              </w:rPr>
            </w:pPr>
          </w:p>
        </w:tc>
        <w:tc>
          <w:tcPr>
            <w:tcW w:w="760" w:type="dxa"/>
            <w:vAlign w:val="bottom"/>
          </w:tcPr>
          <w:p>
            <w:pPr>
              <w:spacing w:after="0"/>
              <w:rPr>
                <w:sz w:val="18"/>
                <w:szCs w:val="18"/>
                <w:color w:val="auto"/>
              </w:rPr>
            </w:pPr>
          </w:p>
        </w:tc>
      </w:tr>
      <w:tr>
        <w:trPr>
          <w:trHeight w:val="216"/>
        </w:trPr>
        <w:tc>
          <w:tcPr>
            <w:tcW w:w="104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financial position as of December 31, 2019 and September 30, 2020</w:t>
            </w:r>
          </w:p>
        </w:tc>
        <w:tc>
          <w:tcPr>
            <w:tcW w:w="7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F-2</w:t>
            </w:r>
          </w:p>
        </w:tc>
      </w:tr>
      <w:tr>
        <w:trPr>
          <w:trHeight w:val="213"/>
        </w:trPr>
        <w:tc>
          <w:tcPr>
            <w:tcW w:w="1048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profit or loss for the three and nine months ended September 30, 2019 and 2020</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F-3</w:t>
            </w:r>
          </w:p>
        </w:tc>
      </w:tr>
      <w:tr>
        <w:trPr>
          <w:trHeight w:val="219"/>
        </w:trPr>
        <w:tc>
          <w:tcPr>
            <w:tcW w:w="104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comprehensive income or loss for the three and nine months ended September 30, 2019 and 2020</w:t>
            </w:r>
          </w:p>
        </w:tc>
        <w:tc>
          <w:tcPr>
            <w:tcW w:w="7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F-4</w:t>
            </w:r>
          </w:p>
        </w:tc>
      </w:tr>
      <w:tr>
        <w:trPr>
          <w:trHeight w:val="213"/>
        </w:trPr>
        <w:tc>
          <w:tcPr>
            <w:tcW w:w="10480" w:type="dxa"/>
            <w:vAlign w:val="bottom"/>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changes in equity for the nine months ended September 30, 2019 and 2020</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F-5</w:t>
            </w:r>
          </w:p>
        </w:tc>
      </w:tr>
      <w:tr>
        <w:trPr>
          <w:trHeight w:val="219"/>
        </w:trPr>
        <w:tc>
          <w:tcPr>
            <w:tcW w:w="104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Unaudited condensed consolidated statements of cash flows for the nine months ended September 30, 2019 and 2020</w:t>
            </w:r>
          </w:p>
        </w:tc>
        <w:tc>
          <w:tcPr>
            <w:tcW w:w="760" w:type="dxa"/>
            <w:vAlign w:val="bottom"/>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F-6</w:t>
            </w:r>
          </w:p>
        </w:tc>
      </w:tr>
      <w:tr>
        <w:trPr>
          <w:trHeight w:val="210"/>
        </w:trPr>
        <w:tc>
          <w:tcPr>
            <w:tcW w:w="10480" w:type="dxa"/>
            <w:vAlign w:val="bottom"/>
          </w:tcPr>
          <w:p>
            <w:pPr>
              <w:spacing w:after="0"/>
              <w:rPr>
                <w:sz w:val="20"/>
                <w:szCs w:val="20"/>
                <w:color w:val="auto"/>
              </w:rPr>
            </w:pPr>
            <w:r>
              <w:rPr>
                <w:rFonts w:ascii="Times New Roman" w:cs="Times New Roman" w:eastAsia="Times New Roman" w:hAnsi="Times New Roman"/>
                <w:sz w:val="16"/>
                <w:szCs w:val="16"/>
                <w:color w:val="auto"/>
              </w:rPr>
              <w:t>Notes to the unaudited condensed consolidated financial statements</w:t>
            </w:r>
          </w:p>
        </w:tc>
        <w:tc>
          <w:tcPr>
            <w:tcW w:w="76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rPr>
              <w:t>F-7</w:t>
            </w:r>
          </w:p>
        </w:tc>
      </w:tr>
    </w:tbl>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financial position</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As of December 31, 2019 and September 30,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760" w:type="dxa"/>
            <w:vAlign w:val="bottom"/>
          </w:tcPr>
          <w:p>
            <w:pPr>
              <w:spacing w:after="0"/>
              <w:rPr>
                <w:sz w:val="18"/>
                <w:szCs w:val="18"/>
                <w:color w:val="auto"/>
              </w:rPr>
            </w:pP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920" w:type="dxa"/>
            <w:vAlign w:val="bottom"/>
            <w:gridSpan w:val="3"/>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December 31, 2019</w:t>
            </w:r>
          </w:p>
        </w:tc>
        <w:tc>
          <w:tcPr>
            <w:tcW w:w="166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September 30, 2020</w:t>
            </w:r>
          </w:p>
        </w:tc>
        <w:tc>
          <w:tcPr>
            <w:tcW w:w="0" w:type="dxa"/>
            <w:vAlign w:val="bottom"/>
          </w:tcPr>
          <w:p>
            <w:pPr>
              <w:spacing w:after="0"/>
              <w:rPr>
                <w:sz w:val="1"/>
                <w:szCs w:val="1"/>
                <w:color w:val="auto"/>
              </w:rPr>
            </w:pPr>
          </w:p>
        </w:tc>
      </w:tr>
      <w:tr>
        <w:trPr>
          <w:trHeight w:val="213"/>
        </w:trPr>
        <w:tc>
          <w:tcPr>
            <w:tcW w:w="67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68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340" w:type="dxa"/>
            <w:vAlign w:val="bottom"/>
            <w:tcBorders>
              <w:top w:val="single" w:sz="8" w:color="auto"/>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auto"/>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assets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Goodwill</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9,511</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9,511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Investment in associates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21,620</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21,921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Deferred financing costs</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11,592</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24,221</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24,653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3,572</w:t>
            </w:r>
          </w:p>
        </w:tc>
        <w:tc>
          <w:tcPr>
            <w:tcW w:w="2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Tangible fixed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4,427,065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4,881,775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Vessels under construction</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203,323</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140,791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Right-of-use assets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206,495</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205,126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67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assets</w:t>
            </w:r>
          </w:p>
        </w:tc>
        <w:tc>
          <w:tcPr>
            <w:tcW w:w="6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4,907,399</w:t>
            </w:r>
          </w:p>
        </w:tc>
        <w:tc>
          <w:tcPr>
            <w:tcW w:w="2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5,292,823</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Trade and other receivables</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24,900</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21,662</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Dividends receivable and other amounts due from related parties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573</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429</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383</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Inventories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8,172</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10,408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Prepayments and other current assets</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6</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13,475</w:t>
            </w:r>
          </w:p>
        </w:tc>
        <w:tc>
          <w:tcPr>
            <w:tcW w:w="15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35,457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Short-term investments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4,500</w:t>
            </w:r>
          </w:p>
        </w:tc>
        <w:tc>
          <w:tcPr>
            <w:tcW w:w="220" w:type="dxa"/>
            <w:vAlign w:val="bottom"/>
          </w:tcPr>
          <w:p>
            <w:pPr>
              <w:spacing w:after="0"/>
              <w:rPr>
                <w:sz w:val="18"/>
                <w:szCs w:val="18"/>
                <w:color w:val="auto"/>
              </w:rPr>
            </w:pPr>
          </w:p>
        </w:tc>
        <w:tc>
          <w:tcPr>
            <w:tcW w:w="14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w:t>
            </w:r>
          </w:p>
        </w:tc>
        <w:tc>
          <w:tcPr>
            <w:tcW w:w="6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263,747</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173,470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current assets</w:t>
            </w:r>
          </w:p>
        </w:tc>
        <w:tc>
          <w:tcPr>
            <w:tcW w:w="68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315,796</w:t>
            </w:r>
          </w:p>
        </w:tc>
        <w:tc>
          <w:tcPr>
            <w:tcW w:w="2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241,797</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5,223,195</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5,534,620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60" w:type="dxa"/>
            <w:vAlign w:val="bottom"/>
            <w:tcBorders>
              <w:top w:val="single" w:sz="8" w:color="E5FFFF"/>
              <w:bottom w:val="single" w:sz="8" w:color="E5FFFF"/>
            </w:tcBorders>
            <w:vMerge w:val="restart"/>
          </w:tcPr>
          <w:p>
            <w:pPr>
              <w:spacing w:after="0"/>
              <w:rPr>
                <w:sz w:val="20"/>
                <w:szCs w:val="20"/>
                <w:color w:val="auto"/>
              </w:rPr>
            </w:pPr>
            <w:r>
              <w:rPr>
                <w:rFonts w:ascii="Times New Roman" w:cs="Times New Roman" w:eastAsia="Times New Roman" w:hAnsi="Times New Roman"/>
                <w:sz w:val="16"/>
                <w:szCs w:val="16"/>
                <w:b w:val="1"/>
                <w:bCs w:val="1"/>
                <w:color w:val="auto"/>
              </w:rPr>
              <w:t>Equity and liabilities</w:t>
            </w:r>
          </w:p>
        </w:tc>
        <w:tc>
          <w:tcPr>
            <w:tcW w:w="68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34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E5FFFF"/>
            </w:tcBorders>
          </w:tcPr>
          <w:p>
            <w:pPr>
              <w:spacing w:after="0" w:line="20" w:lineRule="exact"/>
              <w:rPr>
                <w:sz w:val="1"/>
                <w:szCs w:val="1"/>
                <w:color w:val="auto"/>
              </w:rPr>
            </w:pPr>
          </w:p>
        </w:tc>
        <w:tc>
          <w:tcPr>
            <w:tcW w:w="220" w:type="dxa"/>
            <w:vAlign w:val="bottom"/>
            <w:tcBorders>
              <w:top w:val="single" w:sz="8" w:color="E5FF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5FFFF"/>
            </w:tcBorders>
          </w:tcPr>
          <w:p>
            <w:pPr>
              <w:spacing w:after="0" w:line="20" w:lineRule="exact"/>
              <w:rPr>
                <w:sz w:val="1"/>
                <w:szCs w:val="1"/>
                <w:color w:val="auto"/>
              </w:rPr>
            </w:pPr>
          </w:p>
        </w:tc>
        <w:tc>
          <w:tcPr>
            <w:tcW w:w="80" w:type="dxa"/>
            <w:vAlign w:val="bottom"/>
            <w:tcBorders>
              <w:top w:val="single" w:sz="8" w:color="E5FF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760" w:type="dxa"/>
            <w:vAlign w:val="bottom"/>
            <w:vMerge w:val="continue"/>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Equity</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34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340" w:type="dxa"/>
            <w:vAlign w:val="bottom"/>
            <w:shd w:val="clear" w:color="auto" w:fill="E5FFFF"/>
          </w:tcPr>
          <w:p>
            <w:pPr>
              <w:spacing w:after="0"/>
              <w:rPr>
                <w:sz w:val="19"/>
                <w:szCs w:val="19"/>
                <w:color w:val="auto"/>
              </w:rPr>
            </w:pPr>
          </w:p>
        </w:tc>
        <w:tc>
          <w:tcPr>
            <w:tcW w:w="20" w:type="dxa"/>
            <w:vAlign w:val="bottom"/>
            <w:shd w:val="clear" w:color="auto" w:fill="E5FFFF"/>
          </w:tcPr>
          <w:p>
            <w:pPr>
              <w:spacing w:after="0"/>
              <w:rPr>
                <w:sz w:val="19"/>
                <w:szCs w:val="19"/>
                <w:color w:val="auto"/>
              </w:rPr>
            </w:pP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Preference 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46</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46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 capital</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810</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954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Contributed surplus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760,671</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767,100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Reserves</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16,799</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17,054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Treasury shares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13</w:t>
            </w:r>
          </w:p>
        </w:tc>
        <w:tc>
          <w:tcPr>
            <w:tcW w:w="220" w:type="dxa"/>
            <w:vAlign w:val="bottom"/>
          </w:tcPr>
          <w:p>
            <w:pPr>
              <w:spacing w:after="0"/>
              <w:rPr>
                <w:sz w:val="18"/>
                <w:szCs w:val="18"/>
                <w:color w:val="auto"/>
              </w:rPr>
            </w:pPr>
          </w:p>
        </w:tc>
        <w:tc>
          <w:tcPr>
            <w:tcW w:w="192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(2,159)</w:t>
            </w: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(1,379)</w:t>
            </w: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Accumulated deficit</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(87,832)</w:t>
            </w:r>
          </w:p>
        </w:tc>
        <w:tc>
          <w:tcPr>
            <w:tcW w:w="1660" w:type="dxa"/>
            <w:vAlign w:val="bottom"/>
            <w:gridSpan w:val="4"/>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(161,013)</w:t>
            </w:r>
          </w:p>
        </w:tc>
        <w:tc>
          <w:tcPr>
            <w:tcW w:w="0" w:type="dxa"/>
            <w:vAlign w:val="bottom"/>
          </w:tcPr>
          <w:p>
            <w:pPr>
              <w:spacing w:after="0"/>
              <w:rPr>
                <w:sz w:val="1"/>
                <w:szCs w:val="1"/>
                <w:color w:val="auto"/>
              </w:rPr>
            </w:pPr>
          </w:p>
        </w:tc>
      </w:tr>
      <w:tr>
        <w:trPr>
          <w:trHeight w:val="196"/>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Equity attributable to owners of the Group</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688,335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622,762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6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961,518</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941,952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7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equity</w:t>
            </w:r>
          </w:p>
        </w:tc>
        <w:tc>
          <w:tcPr>
            <w:tcW w:w="68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34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1,649,853</w:t>
            </w:r>
          </w:p>
        </w:tc>
        <w:tc>
          <w:tcPr>
            <w:tcW w:w="240" w:type="dxa"/>
            <w:vAlign w:val="bottom"/>
            <w:tcBorders>
              <w:bottom w:val="single" w:sz="8" w:color="E5FFFF"/>
            </w:tcBorders>
          </w:tcPr>
          <w:p>
            <w:pPr>
              <w:spacing w:after="0"/>
              <w:rPr>
                <w:sz w:val="17"/>
                <w:szCs w:val="17"/>
                <w:color w:val="auto"/>
              </w:rPr>
            </w:pPr>
          </w:p>
        </w:tc>
        <w:tc>
          <w:tcPr>
            <w:tcW w:w="220" w:type="dxa"/>
            <w:vAlign w:val="bottom"/>
            <w:tcBorders>
              <w:bottom w:val="single" w:sz="8" w:color="E5FFFF"/>
            </w:tcBorders>
          </w:tcPr>
          <w:p>
            <w:pPr>
              <w:spacing w:after="0"/>
              <w:rPr>
                <w:sz w:val="17"/>
                <w:szCs w:val="17"/>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1,564,714</w:t>
            </w:r>
          </w:p>
        </w:tc>
        <w:tc>
          <w:tcPr>
            <w:tcW w:w="20" w:type="dxa"/>
            <w:vAlign w:val="bottom"/>
            <w:tcBorders>
              <w:bottom w:val="single" w:sz="8" w:color="E5FFFF"/>
            </w:tcBorders>
          </w:tcPr>
          <w:p>
            <w:pPr>
              <w:spacing w:after="0"/>
              <w:rPr>
                <w:sz w:val="17"/>
                <w:szCs w:val="17"/>
                <w:color w:val="auto"/>
              </w:rPr>
            </w:pPr>
          </w:p>
        </w:tc>
        <w:tc>
          <w:tcPr>
            <w:tcW w:w="80" w:type="dxa"/>
            <w:vAlign w:val="bottom"/>
            <w:tcBorders>
              <w:bottom w:val="single" w:sz="8" w:color="E5FFFF"/>
            </w:tcBorders>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68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3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Trade accounts payable</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27,615</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27,047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Ship management creditors</w:t>
            </w:r>
          </w:p>
        </w:tc>
        <w:tc>
          <w:tcPr>
            <w:tcW w:w="680" w:type="dxa"/>
            <w:vAlign w:val="bottom"/>
            <w:shd w:val="clear" w:color="auto" w:fill="E5FFFF"/>
          </w:tcPr>
          <w:p>
            <w:pPr>
              <w:spacing w:after="0"/>
              <w:rPr>
                <w:sz w:val="19"/>
                <w:szCs w:val="19"/>
                <w:color w:val="auto"/>
              </w:rPr>
            </w:pP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601</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346</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Amounts due to related parties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8</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200</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180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8,095</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36,803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payables and accruals</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12</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136,242</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129,772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Borrowings, current portion</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255,422</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221,670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Lease liability, current portion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9,363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9,732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current liabilities</w:t>
            </w:r>
          </w:p>
        </w:tc>
        <w:tc>
          <w:tcPr>
            <w:tcW w:w="6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437,538</w:t>
            </w:r>
          </w:p>
        </w:tc>
        <w:tc>
          <w:tcPr>
            <w:tcW w:w="2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425,550</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Non-current liabilities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15</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41,837</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97,269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Borrowings, non-current portion</w:t>
            </w:r>
          </w:p>
        </w:tc>
        <w:tc>
          <w:tcPr>
            <w:tcW w:w="68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7</w:t>
            </w: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2,891,973</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3,250,584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6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Lease liability, non-current portion</w:t>
            </w:r>
          </w:p>
        </w:tc>
        <w:tc>
          <w:tcPr>
            <w:tcW w:w="6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5</w:t>
            </w:r>
          </w:p>
        </w:tc>
        <w:tc>
          <w:tcPr>
            <w:tcW w:w="220" w:type="dxa"/>
            <w:vAlign w:val="bottom"/>
            <w:shd w:val="clear" w:color="auto" w:fill="E5FFFF"/>
          </w:tcPr>
          <w:p>
            <w:pPr>
              <w:spacing w:after="0"/>
              <w:rPr>
                <w:sz w:val="19"/>
                <w:szCs w:val="19"/>
                <w:color w:val="auto"/>
              </w:rPr>
            </w:pPr>
          </w:p>
        </w:tc>
        <w:tc>
          <w:tcPr>
            <w:tcW w:w="1920" w:type="dxa"/>
            <w:vAlign w:val="bottom"/>
            <w:gridSpan w:val="3"/>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195,567</w:t>
            </w:r>
          </w:p>
        </w:tc>
        <w:tc>
          <w:tcPr>
            <w:tcW w:w="1580" w:type="dxa"/>
            <w:vAlign w:val="bottom"/>
            <w:gridSpan w:val="3"/>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188,359</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760" w:type="dxa"/>
            <w:vAlign w:val="bottom"/>
          </w:tcPr>
          <w:p>
            <w:pPr>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2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6,427</w:t>
            </w:r>
          </w:p>
        </w:tc>
        <w:tc>
          <w:tcPr>
            <w:tcW w:w="1580" w:type="dxa"/>
            <w:vAlign w:val="bottom"/>
            <w:gridSpan w:val="3"/>
          </w:tcPr>
          <w:p>
            <w:pPr>
              <w:jc w:val="right"/>
              <w:ind w:right="20"/>
              <w:spacing w:after="0"/>
              <w:rPr>
                <w:sz w:val="20"/>
                <w:szCs w:val="20"/>
                <w:color w:val="auto"/>
              </w:rPr>
            </w:pPr>
            <w:r>
              <w:rPr>
                <w:rFonts w:ascii="Times New Roman" w:cs="Times New Roman" w:eastAsia="Times New Roman" w:hAnsi="Times New Roman"/>
                <w:sz w:val="16"/>
                <w:szCs w:val="16"/>
                <w:color w:val="auto"/>
              </w:rPr>
              <w:t>8,144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67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non-current liabilities</w:t>
            </w:r>
          </w:p>
        </w:tc>
        <w:tc>
          <w:tcPr>
            <w:tcW w:w="68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34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3,135,804</w:t>
            </w:r>
          </w:p>
        </w:tc>
        <w:tc>
          <w:tcPr>
            <w:tcW w:w="240" w:type="dxa"/>
            <w:vAlign w:val="bottom"/>
            <w:tcBorders>
              <w:top w:val="single" w:sz="8" w:color="E5FFFF"/>
            </w:tcBorders>
            <w:shd w:val="clear" w:color="auto" w:fill="E5FFFF"/>
          </w:tcPr>
          <w:p>
            <w:pPr>
              <w:spacing w:after="0"/>
              <w:rPr>
                <w:sz w:val="17"/>
                <w:szCs w:val="17"/>
                <w:color w:val="auto"/>
              </w:rPr>
            </w:pPr>
          </w:p>
        </w:tc>
        <w:tc>
          <w:tcPr>
            <w:tcW w:w="2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3,544,356</w:t>
            </w:r>
          </w:p>
        </w:tc>
        <w:tc>
          <w:tcPr>
            <w:tcW w:w="20" w:type="dxa"/>
            <w:vAlign w:val="bottom"/>
            <w:tcBorders>
              <w:top w:val="single" w:sz="8" w:color="E5FFFF"/>
            </w:tcBorders>
            <w:shd w:val="clear" w:color="auto" w:fill="E5FFFF"/>
          </w:tcPr>
          <w:p>
            <w:pPr>
              <w:spacing w:after="0"/>
              <w:rPr>
                <w:sz w:val="17"/>
                <w:szCs w:val="17"/>
                <w:color w:val="auto"/>
              </w:rPr>
            </w:pPr>
          </w:p>
        </w:tc>
        <w:tc>
          <w:tcPr>
            <w:tcW w:w="80" w:type="dxa"/>
            <w:vAlign w:val="bottom"/>
            <w:tcBorders>
              <w:top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7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 equity and liabilities</w:t>
            </w: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5,223,195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5,534,620</w:t>
            </w:r>
          </w:p>
        </w:tc>
        <w:tc>
          <w:tcPr>
            <w:tcW w:w="2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profit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 except per share data)</w:t>
      </w:r>
    </w:p>
    <w:p>
      <w:pPr>
        <w:spacing w:after="0" w:line="200" w:lineRule="exact"/>
        <w:rPr>
          <w:sz w:val="20"/>
          <w:szCs w:val="20"/>
          <w:color w:val="auto"/>
        </w:rPr>
      </w:pPr>
    </w:p>
    <w:p>
      <w:pPr>
        <w:spacing w:after="0" w:line="25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80" w:type="dxa"/>
            <w:vAlign w:val="bottom"/>
            <w:gridSpan w:val="4"/>
          </w:tcPr>
          <w:p>
            <w:pPr>
              <w:jc w:val="right"/>
              <w:ind w:right="64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68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49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4980" w:type="dxa"/>
            <w:vAlign w:val="bottom"/>
          </w:tcPr>
          <w:p>
            <w:pPr>
              <w:spacing w:after="0"/>
              <w:rPr>
                <w:sz w:val="18"/>
                <w:szCs w:val="18"/>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220" w:type="dxa"/>
            <w:vAlign w:val="bottom"/>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c>
          <w:tcPr>
            <w:tcW w:w="1240" w:type="dxa"/>
            <w:vAlign w:val="bottom"/>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0" w:type="dxa"/>
            <w:vAlign w:val="bottom"/>
          </w:tcPr>
          <w:p>
            <w:pPr>
              <w:spacing w:after="0"/>
              <w:rPr>
                <w:sz w:val="18"/>
                <w:szCs w:val="18"/>
                <w:color w:val="auto"/>
              </w:rPr>
            </w:pPr>
          </w:p>
        </w:tc>
        <w:tc>
          <w:tcPr>
            <w:tcW w:w="1120" w:type="dxa"/>
            <w:vAlign w:val="bottom"/>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Pr>
          <w:p>
            <w:pPr>
              <w:spacing w:after="0"/>
              <w:rPr>
                <w:sz w:val="18"/>
                <w:szCs w:val="18"/>
                <w:color w:val="auto"/>
              </w:rPr>
            </w:pPr>
          </w:p>
        </w:tc>
        <w:tc>
          <w:tcPr>
            <w:tcW w:w="1240" w:type="dxa"/>
            <w:vAlign w:val="bottom"/>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100" w:type="dxa"/>
            <w:vAlign w:val="bottom"/>
          </w:tcPr>
          <w:p>
            <w:pPr>
              <w:spacing w:after="0"/>
              <w:rPr>
                <w:sz w:val="18"/>
                <w:szCs w:val="18"/>
                <w:color w:val="auto"/>
              </w:rPr>
            </w:pPr>
          </w:p>
        </w:tc>
      </w:tr>
      <w:tr>
        <w:trPr>
          <w:trHeight w:val="202"/>
        </w:trPr>
        <w:tc>
          <w:tcPr>
            <w:tcW w:w="49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Revenues</w:t>
            </w:r>
          </w:p>
        </w:tc>
        <w:tc>
          <w:tcPr>
            <w:tcW w:w="46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9</w:t>
            </w: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165,586</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156,729</w:t>
            </w:r>
          </w:p>
        </w:tc>
        <w:tc>
          <w:tcPr>
            <w:tcW w:w="2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486,384</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481,487</w:t>
            </w:r>
          </w:p>
        </w:tc>
        <w:tc>
          <w:tcPr>
            <w:tcW w:w="100" w:type="dxa"/>
            <w:vAlign w:val="bottom"/>
          </w:tcPr>
          <w:p>
            <w:pPr>
              <w:spacing w:after="0"/>
              <w:rPr>
                <w:sz w:val="17"/>
                <w:szCs w:val="17"/>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Net pool allocation</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(184)</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(4,264)</w:t>
            </w: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r>
      <w:tr>
        <w:trPr>
          <w:trHeight w:val="216"/>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Voyage expenses and commissions</w:t>
            </w: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(6,656)</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(5,159)</w:t>
            </w:r>
          </w:p>
        </w:tc>
        <w:tc>
          <w:tcPr>
            <w:tcW w:w="13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(19,440)</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(18,074)</w:t>
            </w:r>
          </w:p>
        </w:tc>
        <w:tc>
          <w:tcPr>
            <w:tcW w:w="100" w:type="dxa"/>
            <w:vAlign w:val="bottom"/>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Vessel operating and supervision costs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11</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(33,796)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(39,161)</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(100,124)</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(106,818)</w:t>
            </w:r>
          </w:p>
        </w:tc>
        <w:tc>
          <w:tcPr>
            <w:tcW w:w="100" w:type="dxa"/>
            <w:vAlign w:val="bottom"/>
          </w:tcPr>
          <w:p>
            <w:pPr>
              <w:spacing w:after="0"/>
              <w:rPr>
                <w:sz w:val="18"/>
                <w:szCs w:val="18"/>
                <w:color w:val="auto"/>
              </w:rPr>
            </w:pPr>
          </w:p>
        </w:tc>
      </w:tr>
      <w:tr>
        <w:trPr>
          <w:trHeight w:val="222"/>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4, 5</w:t>
            </w: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(43,237)</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(45,106)</w:t>
            </w:r>
          </w:p>
        </w:tc>
        <w:tc>
          <w:tcPr>
            <w:tcW w:w="13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(124,186)</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(130,250)</w:t>
            </w:r>
          </w:p>
        </w:tc>
        <w:tc>
          <w:tcPr>
            <w:tcW w:w="100" w:type="dxa"/>
            <w:vAlign w:val="bottom"/>
          </w:tcPr>
          <w:p>
            <w:pPr>
              <w:spacing w:after="0"/>
              <w:rPr>
                <w:sz w:val="19"/>
                <w:szCs w:val="19"/>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General and administrative expenses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10</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(11,324)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(14,677)</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(32,873)</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(35,452)</w:t>
            </w:r>
          </w:p>
        </w:tc>
        <w:tc>
          <w:tcPr>
            <w:tcW w:w="100" w:type="dxa"/>
            <w:vAlign w:val="bottom"/>
          </w:tcPr>
          <w:p>
            <w:pPr>
              <w:spacing w:after="0"/>
              <w:rPr>
                <w:sz w:val="18"/>
                <w:szCs w:val="18"/>
                <w:color w:val="auto"/>
              </w:rPr>
            </w:pPr>
          </w:p>
        </w:tc>
      </w:tr>
      <w:tr>
        <w:trPr>
          <w:trHeight w:val="222"/>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00" w:type="dxa"/>
            <w:vAlign w:val="bottom"/>
          </w:tcPr>
          <w:p>
            <w:pPr>
              <w:spacing w:after="0"/>
              <w:rPr>
                <w:sz w:val="19"/>
                <w:szCs w:val="19"/>
                <w:color w:val="auto"/>
              </w:rPr>
            </w:pPr>
          </w:p>
        </w:tc>
      </w:tr>
      <w:tr>
        <w:trPr>
          <w:trHeight w:val="21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4</w:t>
            </w:r>
          </w:p>
        </w:tc>
        <w:tc>
          <w:tcPr>
            <w:tcW w:w="24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(22,454)</w:t>
            </w:r>
          </w:p>
        </w:tc>
        <w:tc>
          <w:tcPr>
            <w:tcW w:w="100" w:type="dxa"/>
            <w:vAlign w:val="bottom"/>
          </w:tcPr>
          <w:p>
            <w:pPr>
              <w:spacing w:after="0"/>
              <w:rPr>
                <w:sz w:val="18"/>
                <w:szCs w:val="18"/>
                <w:color w:val="auto"/>
              </w:rPr>
            </w:pPr>
          </w:p>
        </w:tc>
      </w:tr>
      <w:tr>
        <w:trPr>
          <w:trHeight w:val="196"/>
        </w:trPr>
        <w:tc>
          <w:tcPr>
            <w:tcW w:w="498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 from operations</w:t>
            </w:r>
          </w:p>
        </w:tc>
        <w:tc>
          <w:tcPr>
            <w:tcW w:w="460" w:type="dxa"/>
            <w:vAlign w:val="bottom"/>
            <w:tcBorders>
              <w:top w:val="single" w:sz="8" w:color="E5FFFF"/>
            </w:tcBorders>
            <w:shd w:val="clear" w:color="auto" w:fill="E5FFFF"/>
          </w:tcPr>
          <w:p>
            <w:pPr>
              <w:spacing w:after="0"/>
              <w:rPr>
                <w:sz w:val="17"/>
                <w:szCs w:val="17"/>
                <w:color w:val="auto"/>
              </w:rPr>
            </w:pPr>
          </w:p>
        </w:tc>
        <w:tc>
          <w:tcPr>
            <w:tcW w:w="240" w:type="dxa"/>
            <w:vAlign w:val="bottom"/>
            <w:tcBorders>
              <w:top w:val="single" w:sz="8" w:color="E5FFFF"/>
            </w:tcBorders>
            <w:shd w:val="clear" w:color="auto" w:fill="E5FFFF"/>
          </w:tcPr>
          <w:p>
            <w:pPr>
              <w:spacing w:after="0"/>
              <w:rPr>
                <w:sz w:val="17"/>
                <w:szCs w:val="17"/>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70,389</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52,626</w:t>
            </w:r>
          </w:p>
        </w:tc>
        <w:tc>
          <w:tcPr>
            <w:tcW w:w="200" w:type="dxa"/>
            <w:vAlign w:val="bottom"/>
            <w:tcBorders>
              <w:top w:val="single" w:sz="8" w:color="E5FFFF"/>
            </w:tcBorders>
            <w:shd w:val="clear" w:color="auto" w:fill="E5FFFF"/>
          </w:tcPr>
          <w:p>
            <w:pPr>
              <w:spacing w:after="0"/>
              <w:rPr>
                <w:sz w:val="17"/>
                <w:szCs w:val="17"/>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205,497</w:t>
            </w:r>
          </w:p>
        </w:tc>
        <w:tc>
          <w:tcPr>
            <w:tcW w:w="2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167,867</w:t>
            </w:r>
          </w:p>
        </w:tc>
        <w:tc>
          <w:tcPr>
            <w:tcW w:w="100" w:type="dxa"/>
            <w:vAlign w:val="bottom"/>
          </w:tcPr>
          <w:p>
            <w:pPr>
              <w:spacing w:after="0"/>
              <w:rPr>
                <w:sz w:val="17"/>
                <w:szCs w:val="17"/>
                <w:color w:val="auto"/>
              </w:rPr>
            </w:pPr>
          </w:p>
        </w:tc>
      </w:tr>
      <w:tr>
        <w:trPr>
          <w:trHeight w:val="196"/>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(46,461)</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(41,103)</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(138,865)</w:t>
            </w:r>
          </w:p>
        </w:tc>
        <w:tc>
          <w:tcPr>
            <w:tcW w:w="2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(126,101)</w:t>
            </w:r>
          </w:p>
        </w:tc>
        <w:tc>
          <w:tcPr>
            <w:tcW w:w="100" w:type="dxa"/>
            <w:vAlign w:val="bottom"/>
          </w:tcPr>
          <w:p>
            <w:pPr>
              <w:spacing w:after="0"/>
              <w:rPr>
                <w:sz w:val="17"/>
                <w:szCs w:val="17"/>
                <w:color w:val="auto"/>
              </w:rPr>
            </w:pPr>
          </w:p>
        </w:tc>
      </w:tr>
      <w:tr>
        <w:trPr>
          <w:trHeight w:val="216"/>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1,189</w:t>
            </w:r>
          </w:p>
        </w:tc>
        <w:tc>
          <w:tcPr>
            <w:tcW w:w="220" w:type="dxa"/>
            <w:vAlign w:val="bottom"/>
            <w:shd w:val="clear" w:color="auto" w:fill="E5FFFF"/>
          </w:tcPr>
          <w:p>
            <w:pPr>
              <w:spacing w:after="0"/>
              <w:rPr>
                <w:sz w:val="18"/>
                <w:szCs w:val="18"/>
                <w:color w:val="auto"/>
              </w:rPr>
            </w:pP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40</w:t>
            </w: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4,357</w:t>
            </w: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685</w:t>
            </w:r>
          </w:p>
        </w:tc>
        <w:tc>
          <w:tcPr>
            <w:tcW w:w="100" w:type="dxa"/>
            <w:vAlign w:val="bottom"/>
          </w:tcPr>
          <w:p>
            <w:pPr>
              <w:spacing w:after="0"/>
              <w:rPr>
                <w:sz w:val="18"/>
                <w:szCs w:val="18"/>
                <w:color w:val="auto"/>
              </w:rPr>
            </w:pPr>
          </w:p>
        </w:tc>
      </w:tr>
      <w:tr>
        <w:trPr>
          <w:trHeight w:val="210"/>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Loss on derivatives</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16</w:t>
            </w:r>
          </w:p>
        </w:tc>
        <w:tc>
          <w:tcPr>
            <w:tcW w:w="24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(16,758)</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(2,095)</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(67,801)</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(86,686)</w:t>
            </w:r>
          </w:p>
        </w:tc>
        <w:tc>
          <w:tcPr>
            <w:tcW w:w="100" w:type="dxa"/>
            <w:vAlign w:val="bottom"/>
          </w:tcPr>
          <w:p>
            <w:pPr>
              <w:spacing w:after="0"/>
              <w:rPr>
                <w:sz w:val="18"/>
                <w:szCs w:val="18"/>
                <w:color w:val="auto"/>
              </w:rPr>
            </w:pPr>
          </w:p>
        </w:tc>
      </w:tr>
      <w:tr>
        <w:trPr>
          <w:trHeight w:val="222"/>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46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6"/>
                <w:szCs w:val="16"/>
                <w:color w:val="auto"/>
                <w:w w:val="99"/>
              </w:rPr>
              <w:t>3</w:t>
            </w:r>
          </w:p>
        </w:tc>
        <w:tc>
          <w:tcPr>
            <w:tcW w:w="240" w:type="dxa"/>
            <w:vAlign w:val="bottom"/>
            <w:shd w:val="clear" w:color="auto" w:fill="E5FFFF"/>
          </w:tcPr>
          <w:p>
            <w:pPr>
              <w:spacing w:after="0"/>
              <w:rPr>
                <w:sz w:val="19"/>
                <w:szCs w:val="19"/>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530</w:t>
            </w:r>
          </w:p>
        </w:tc>
        <w:tc>
          <w:tcPr>
            <w:tcW w:w="22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648</w:t>
            </w:r>
          </w:p>
        </w:tc>
        <w:tc>
          <w:tcPr>
            <w:tcW w:w="11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1,088</w:t>
            </w: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1,576</w:t>
            </w:r>
          </w:p>
        </w:tc>
        <w:tc>
          <w:tcPr>
            <w:tcW w:w="100" w:type="dxa"/>
            <w:vAlign w:val="bottom"/>
          </w:tcPr>
          <w:p>
            <w:pPr>
              <w:spacing w:after="0"/>
              <w:rPr>
                <w:sz w:val="19"/>
                <w:szCs w:val="19"/>
                <w:color w:val="auto"/>
              </w:rPr>
            </w:pPr>
          </w:p>
        </w:tc>
      </w:tr>
      <w:tr>
        <w:trPr>
          <w:trHeight w:val="196"/>
        </w:trPr>
        <w:tc>
          <w:tcPr>
            <w:tcW w:w="498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b w:val="1"/>
                <w:bCs w:val="1"/>
                <w:color w:val="auto"/>
              </w:rPr>
              <w:t>Total other expenses, net</w:t>
            </w:r>
          </w:p>
        </w:tc>
        <w:tc>
          <w:tcPr>
            <w:tcW w:w="460" w:type="dxa"/>
            <w:vAlign w:val="bottom"/>
            <w:tcBorders>
              <w:bottom w:val="single" w:sz="8" w:color="E5FFFF"/>
            </w:tcBorders>
          </w:tcPr>
          <w:p>
            <w:pPr>
              <w:spacing w:after="0"/>
              <w:rPr>
                <w:sz w:val="17"/>
                <w:szCs w:val="17"/>
                <w:color w:val="auto"/>
              </w:rPr>
            </w:pPr>
          </w:p>
        </w:tc>
        <w:tc>
          <w:tcPr>
            <w:tcW w:w="240" w:type="dxa"/>
            <w:vAlign w:val="bottom"/>
            <w:tcBorders>
              <w:bottom w:val="single" w:sz="8" w:color="E5FFFF"/>
            </w:tcBorders>
          </w:tcPr>
          <w:p>
            <w:pPr>
              <w:spacing w:after="0"/>
              <w:rPr>
                <w:sz w:val="17"/>
                <w:szCs w:val="17"/>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(61,500)</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(42,510)</w:t>
            </w:r>
          </w:p>
        </w:tc>
        <w:tc>
          <w:tcPr>
            <w:tcW w:w="200" w:type="dxa"/>
            <w:vAlign w:val="bottom"/>
            <w:tcBorders>
              <w:bottom w:val="single" w:sz="8" w:color="E5FFFF"/>
            </w:tcBorders>
          </w:tcPr>
          <w:p>
            <w:pPr>
              <w:spacing w:after="0"/>
              <w:rPr>
                <w:sz w:val="17"/>
                <w:szCs w:val="17"/>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(201,221)</w:t>
            </w:r>
          </w:p>
        </w:tc>
        <w:tc>
          <w:tcPr>
            <w:tcW w:w="220" w:type="dxa"/>
            <w:vAlign w:val="bottom"/>
            <w:tcBorders>
              <w:bottom w:val="single" w:sz="8" w:color="E5FFFF"/>
            </w:tcBorders>
          </w:tcPr>
          <w:p>
            <w:pPr>
              <w:spacing w:after="0"/>
              <w:rPr>
                <w:sz w:val="17"/>
                <w:szCs w:val="17"/>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(210,526)</w:t>
            </w:r>
          </w:p>
        </w:tc>
        <w:tc>
          <w:tcPr>
            <w:tcW w:w="100" w:type="dxa"/>
            <w:vAlign w:val="bottom"/>
            <w:tcBorders>
              <w:bottom w:val="single" w:sz="8" w:color="E5FFFF"/>
            </w:tcBorders>
          </w:tcPr>
          <w:p>
            <w:pPr>
              <w:spacing w:after="0"/>
              <w:rPr>
                <w:sz w:val="17"/>
                <w:szCs w:val="17"/>
                <w:color w:val="auto"/>
              </w:rPr>
            </w:pPr>
          </w:p>
        </w:tc>
      </w:tr>
      <w:tr>
        <w:trPr>
          <w:trHeight w:val="216"/>
        </w:trPr>
        <w:tc>
          <w:tcPr>
            <w:tcW w:w="498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Profit/(loss) for the period</w:t>
            </w:r>
          </w:p>
        </w:tc>
        <w:tc>
          <w:tcPr>
            <w:tcW w:w="460" w:type="dxa"/>
            <w:vAlign w:val="bottom"/>
            <w:tcBorders>
              <w:bottom w:val="single" w:sz="8" w:color="E5FFFF"/>
            </w:tcBorders>
            <w:shd w:val="clear" w:color="auto" w:fill="E5FFFF"/>
          </w:tcPr>
          <w:p>
            <w:pPr>
              <w:spacing w:after="0"/>
              <w:rPr>
                <w:sz w:val="18"/>
                <w:szCs w:val="18"/>
                <w:color w:val="auto"/>
              </w:rPr>
            </w:pPr>
          </w:p>
        </w:tc>
        <w:tc>
          <w:tcPr>
            <w:tcW w:w="240" w:type="dxa"/>
            <w:vAlign w:val="bottom"/>
            <w:tcBorders>
              <w:bottom w:val="single" w:sz="8" w:color="E5FFFF"/>
            </w:tcBorders>
            <w:shd w:val="clear" w:color="auto" w:fill="E5FFFF"/>
          </w:tcPr>
          <w:p>
            <w:pPr>
              <w:spacing w:after="0"/>
              <w:rPr>
                <w:sz w:val="18"/>
                <w:szCs w:val="18"/>
                <w:color w:val="auto"/>
              </w:rPr>
            </w:pPr>
          </w:p>
        </w:tc>
        <w:tc>
          <w:tcPr>
            <w:tcW w:w="12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8,889</w:t>
            </w:r>
          </w:p>
        </w:tc>
        <w:tc>
          <w:tcPr>
            <w:tcW w:w="22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10,116</w:t>
            </w:r>
          </w:p>
        </w:tc>
        <w:tc>
          <w:tcPr>
            <w:tcW w:w="200" w:type="dxa"/>
            <w:vAlign w:val="bottom"/>
            <w:tcBorders>
              <w:bottom w:val="single" w:sz="8" w:color="E5FFFF"/>
            </w:tcBorders>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4,276</w:t>
            </w:r>
          </w:p>
        </w:tc>
        <w:tc>
          <w:tcPr>
            <w:tcW w:w="220" w:type="dxa"/>
            <w:vAlign w:val="bottom"/>
            <w:tcBorders>
              <w:bottom w:val="single" w:sz="8" w:color="E5FFFF"/>
            </w:tcBorders>
            <w:shd w:val="clear" w:color="auto" w:fill="E5FFFF"/>
          </w:tcPr>
          <w:p>
            <w:pPr>
              <w:spacing w:after="0"/>
              <w:rPr>
                <w:sz w:val="18"/>
                <w:szCs w:val="18"/>
                <w:color w:val="auto"/>
              </w:rPr>
            </w:pPr>
          </w:p>
        </w:tc>
        <w:tc>
          <w:tcPr>
            <w:tcW w:w="12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(42,659</w:t>
            </w:r>
          </w:p>
        </w:tc>
        <w:tc>
          <w:tcPr>
            <w:tcW w:w="100" w:type="dxa"/>
            <w:vAlign w:val="bottom"/>
            <w:tcBorders>
              <w:bottom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b w:val="1"/>
                <w:bCs w:val="1"/>
                <w:color w:val="auto"/>
                <w:w w:val="73"/>
              </w:rPr>
              <w:t>)</w:t>
            </w:r>
          </w:p>
        </w:tc>
      </w:tr>
      <w:tr>
        <w:trPr>
          <w:trHeight w:val="200"/>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Attributable to:</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9"/>
        </w:trPr>
        <w:tc>
          <w:tcPr>
            <w:tcW w:w="49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Owners of the Group</w:t>
            </w:r>
          </w:p>
        </w:tc>
        <w:tc>
          <w:tcPr>
            <w:tcW w:w="460" w:type="dxa"/>
            <w:vAlign w:val="bottom"/>
            <w:shd w:val="clear" w:color="auto" w:fill="E5FFFF"/>
          </w:tcPr>
          <w:p>
            <w:pPr>
              <w:spacing w:after="0"/>
              <w:rPr>
                <w:sz w:val="19"/>
                <w:szCs w:val="19"/>
                <w:color w:val="auto"/>
              </w:rPr>
            </w:pPr>
          </w:p>
        </w:tc>
        <w:tc>
          <w:tcPr>
            <w:tcW w:w="240" w:type="dxa"/>
            <w:vAlign w:val="bottom"/>
            <w:shd w:val="clear" w:color="auto" w:fill="E5FFFF"/>
          </w:tcPr>
          <w:p>
            <w:pPr>
              <w:spacing w:after="0"/>
              <w:rPr>
                <w:sz w:val="19"/>
                <w:szCs w:val="19"/>
                <w:color w:val="auto"/>
              </w:rPr>
            </w:pP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(13,545)</w:t>
            </w:r>
          </w:p>
        </w:tc>
        <w:tc>
          <w:tcPr>
            <w:tcW w:w="14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(354)</w:t>
            </w:r>
          </w:p>
        </w:tc>
        <w:tc>
          <w:tcPr>
            <w:tcW w:w="134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(50,490)</w:t>
            </w:r>
          </w:p>
        </w:tc>
        <w:tc>
          <w:tcPr>
            <w:tcW w:w="134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(73,181)</w:t>
            </w:r>
          </w:p>
        </w:tc>
      </w:tr>
      <w:tr>
        <w:trPr>
          <w:trHeight w:val="213"/>
        </w:trPr>
        <w:tc>
          <w:tcPr>
            <w:tcW w:w="4980" w:type="dxa"/>
            <w:vAlign w:val="bottom"/>
          </w:tcPr>
          <w:p>
            <w:pPr>
              <w:spacing w:after="0"/>
              <w:rPr>
                <w:sz w:val="20"/>
                <w:szCs w:val="20"/>
                <w:color w:val="auto"/>
              </w:rPr>
            </w:pPr>
            <w:r>
              <w:rPr>
                <w:rFonts w:ascii="Times New Roman" w:cs="Times New Roman" w:eastAsia="Times New Roman" w:hAnsi="Times New Roman"/>
                <w:sz w:val="16"/>
                <w:szCs w:val="16"/>
                <w:color w:val="auto"/>
              </w:rPr>
              <w:t>Non-controlling interests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22,434</w:t>
            </w:r>
          </w:p>
        </w:tc>
        <w:tc>
          <w:tcPr>
            <w:tcW w:w="220" w:type="dxa"/>
            <w:vAlign w:val="bottom"/>
          </w:tcPr>
          <w:p>
            <w:pPr>
              <w:spacing w:after="0"/>
              <w:rPr>
                <w:sz w:val="18"/>
                <w:szCs w:val="18"/>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color w:val="auto"/>
              </w:rPr>
              <w:t>10,470</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54,766</w:t>
            </w:r>
          </w:p>
        </w:tc>
        <w:tc>
          <w:tcPr>
            <w:tcW w:w="22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30,522</w:t>
            </w:r>
          </w:p>
        </w:tc>
      </w:tr>
      <w:tr>
        <w:trPr>
          <w:trHeight w:val="219"/>
        </w:trPr>
        <w:tc>
          <w:tcPr>
            <w:tcW w:w="4980" w:type="dxa"/>
            <w:vAlign w:val="bottom"/>
            <w:tcBorders>
              <w:top w:val="single" w:sz="8" w:color="E5FFFF"/>
              <w:bottom w:val="single" w:sz="8" w:color="E5FFFF"/>
            </w:tcBorders>
            <w:shd w:val="clear" w:color="auto" w:fill="E5FFFF"/>
          </w:tcPr>
          <w:p>
            <w:pPr>
              <w:spacing w:after="0"/>
              <w:rPr>
                <w:sz w:val="19"/>
                <w:szCs w:val="19"/>
                <w:color w:val="auto"/>
              </w:rPr>
            </w:pPr>
          </w:p>
        </w:tc>
        <w:tc>
          <w:tcPr>
            <w:tcW w:w="460" w:type="dxa"/>
            <w:vAlign w:val="bottom"/>
            <w:tcBorders>
              <w:top w:val="single" w:sz="8" w:color="E5FFFF"/>
              <w:bottom w:val="single" w:sz="8" w:color="E5FFFF"/>
            </w:tcBorders>
            <w:shd w:val="clear" w:color="auto" w:fill="E5FFFF"/>
          </w:tcPr>
          <w:p>
            <w:pPr>
              <w:spacing w:after="0"/>
              <w:rPr>
                <w:sz w:val="19"/>
                <w:szCs w:val="19"/>
                <w:color w:val="auto"/>
              </w:rPr>
            </w:pPr>
          </w:p>
        </w:tc>
        <w:tc>
          <w:tcPr>
            <w:tcW w:w="240" w:type="dxa"/>
            <w:vAlign w:val="bottom"/>
            <w:tcBorders>
              <w:top w:val="single" w:sz="8" w:color="E5FFFF"/>
              <w:bottom w:val="single" w:sz="8" w:color="E5FFFF"/>
            </w:tcBorders>
            <w:shd w:val="clear" w:color="auto" w:fill="E5FFFF"/>
          </w:tcPr>
          <w:p>
            <w:pPr>
              <w:spacing w:after="0"/>
              <w:rPr>
                <w:sz w:val="19"/>
                <w:szCs w:val="19"/>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8,889</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10,116</w:t>
            </w:r>
          </w:p>
        </w:tc>
        <w:tc>
          <w:tcPr>
            <w:tcW w:w="200" w:type="dxa"/>
            <w:vAlign w:val="bottom"/>
            <w:tcBorders>
              <w:top w:val="single" w:sz="8" w:color="E5FFFF"/>
              <w:bottom w:val="single" w:sz="8" w:color="E5FFFF"/>
            </w:tcBorders>
            <w:shd w:val="clear" w:color="auto" w:fill="E5FFFF"/>
          </w:tcPr>
          <w:p>
            <w:pPr>
              <w:spacing w:after="0"/>
              <w:rPr>
                <w:sz w:val="19"/>
                <w:szCs w:val="19"/>
                <w:color w:val="auto"/>
              </w:rPr>
            </w:pPr>
          </w:p>
        </w:tc>
        <w:tc>
          <w:tcPr>
            <w:tcW w:w="11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4,276</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(42,659</w:t>
            </w:r>
          </w:p>
        </w:tc>
        <w:tc>
          <w:tcPr>
            <w:tcW w:w="100" w:type="dxa"/>
            <w:vAlign w:val="bottom"/>
            <w:tcBorders>
              <w:top w:val="single" w:sz="8" w:color="E5FFFF"/>
              <w:bottom w:val="single" w:sz="8" w:color="E5FFFF"/>
            </w:tcBorders>
            <w:shd w:val="clear" w:color="auto" w:fill="E5FFFF"/>
          </w:tcPr>
          <w:p>
            <w:pPr>
              <w:jc w:val="right"/>
              <w:ind w:right="20"/>
              <w:spacing w:after="0"/>
              <w:rPr>
                <w:sz w:val="20"/>
                <w:szCs w:val="20"/>
                <w:color w:val="auto"/>
              </w:rPr>
            </w:pPr>
            <w:r>
              <w:rPr>
                <w:rFonts w:ascii="Times New Roman" w:cs="Times New Roman" w:eastAsia="Times New Roman" w:hAnsi="Times New Roman"/>
                <w:sz w:val="8"/>
                <w:szCs w:val="8"/>
                <w:color w:val="auto"/>
                <w:w w:val="73"/>
              </w:rPr>
              <w:t>)</w:t>
            </w:r>
          </w:p>
        </w:tc>
      </w:tr>
      <w:tr>
        <w:trPr>
          <w:trHeight w:val="413"/>
        </w:trPr>
        <w:tc>
          <w:tcPr>
            <w:tcW w:w="49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Loss per share – basic and diluted</w:t>
            </w:r>
          </w:p>
        </w:tc>
        <w:tc>
          <w:tcPr>
            <w:tcW w:w="4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19</w:t>
            </w:r>
          </w:p>
        </w:tc>
        <w:tc>
          <w:tcPr>
            <w:tcW w:w="240" w:type="dxa"/>
            <w:vAlign w:val="bottom"/>
          </w:tcPr>
          <w:p>
            <w:pPr>
              <w:spacing w:after="0"/>
              <w:rPr>
                <w:sz w:val="24"/>
                <w:szCs w:val="24"/>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(0.20)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(0.03)</w:t>
            </w:r>
          </w:p>
        </w:tc>
        <w:tc>
          <w:tcPr>
            <w:tcW w:w="13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(0.72)</w:t>
            </w:r>
          </w:p>
        </w:tc>
        <w:tc>
          <w:tcPr>
            <w:tcW w:w="134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(0.94)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06374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comprehensive income or loss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three and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00" w:type="dxa"/>
            <w:vAlign w:val="bottom"/>
            <w:gridSpan w:val="4"/>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740" w:type="dxa"/>
            <w:vAlign w:val="bottom"/>
            <w:gridSpan w:val="4"/>
          </w:tcPr>
          <w:p>
            <w:pPr>
              <w:jc w:val="right"/>
              <w:ind w:right="341"/>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30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4860" w:type="dxa"/>
            <w:vAlign w:val="bottom"/>
          </w:tcPr>
          <w:p>
            <w:pPr>
              <w:spacing w:after="0"/>
              <w:rPr>
                <w:sz w:val="20"/>
                <w:szCs w:val="20"/>
                <w:color w:val="auto"/>
              </w:rPr>
            </w:pPr>
          </w:p>
        </w:tc>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Note</w:t>
            </w: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Pr>
          <w:p>
            <w:pPr>
              <w:spacing w:after="0"/>
              <w:rPr>
                <w:sz w:val="20"/>
                <w:szCs w:val="20"/>
                <w:color w:val="auto"/>
              </w:rPr>
            </w:pPr>
          </w:p>
        </w:tc>
        <w:tc>
          <w:tcPr>
            <w:tcW w:w="122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60" w:type="dxa"/>
            <w:vAlign w:val="bottom"/>
          </w:tcPr>
          <w:p>
            <w:pPr>
              <w:spacing w:after="0"/>
              <w:rPr>
                <w:sz w:val="20"/>
                <w:szCs w:val="20"/>
                <w:color w:val="auto"/>
              </w:rPr>
            </w:pPr>
          </w:p>
        </w:tc>
      </w:tr>
      <w:tr>
        <w:trPr>
          <w:trHeight w:val="210"/>
        </w:trPr>
        <w:tc>
          <w:tcPr>
            <w:tcW w:w="48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Profit/(loss) for the period</w:t>
            </w:r>
          </w:p>
        </w:tc>
        <w:tc>
          <w:tcPr>
            <w:tcW w:w="460" w:type="dxa"/>
            <w:vAlign w:val="bottom"/>
            <w:tcBorders>
              <w:top w:val="single" w:sz="8" w:color="auto"/>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8,889</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10,116</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4,276</w:t>
            </w:r>
          </w:p>
        </w:tc>
        <w:tc>
          <w:tcPr>
            <w:tcW w:w="2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(42,659)</w:t>
            </w:r>
          </w:p>
        </w:tc>
        <w:tc>
          <w:tcPr>
            <w:tcW w:w="6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income/(loss):</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Items that may be reclassified subsequently to profit or loss:</w:t>
            </w: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198"/>
        </w:trPr>
        <w:tc>
          <w:tcPr>
            <w:tcW w:w="4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Effective portion of changes in fair value of cash flow hedges,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34"/>
        </w:trPr>
        <w:tc>
          <w:tcPr>
            <w:tcW w:w="4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net of amounts recycled to profit or loss</w:t>
            </w:r>
          </w:p>
        </w:tc>
        <w:tc>
          <w:tcPr>
            <w:tcW w:w="4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15</w:t>
            </w:r>
          </w:p>
        </w:tc>
        <w:tc>
          <w:tcPr>
            <w:tcW w:w="240" w:type="dxa"/>
            <w:vAlign w:val="bottom"/>
          </w:tcPr>
          <w:p>
            <w:pPr>
              <w:spacing w:after="0"/>
              <w:rPr>
                <w:sz w:val="20"/>
                <w:szCs w:val="20"/>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(833)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690</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(3,297)</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210"/>
        </w:trPr>
        <w:tc>
          <w:tcPr>
            <w:tcW w:w="48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(loss)/income for the period</w:t>
            </w:r>
          </w:p>
        </w:tc>
        <w:tc>
          <w:tcPr>
            <w:tcW w:w="4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(833)</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690</w:t>
            </w:r>
          </w:p>
        </w:tc>
        <w:tc>
          <w:tcPr>
            <w:tcW w:w="2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(3,297)</w:t>
            </w:r>
          </w:p>
        </w:tc>
        <w:tc>
          <w:tcPr>
            <w:tcW w:w="22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(1,539)</w:t>
            </w:r>
          </w:p>
        </w:tc>
        <w:tc>
          <w:tcPr>
            <w:tcW w:w="60" w:type="dxa"/>
            <w:vAlign w:val="bottom"/>
          </w:tcPr>
          <w:p>
            <w:pPr>
              <w:spacing w:after="0"/>
              <w:rPr>
                <w:sz w:val="18"/>
                <w:szCs w:val="18"/>
                <w:color w:val="auto"/>
              </w:rPr>
            </w:pPr>
          </w:p>
        </w:tc>
      </w:tr>
      <w:tr>
        <w:trPr>
          <w:trHeight w:val="217"/>
        </w:trPr>
        <w:tc>
          <w:tcPr>
            <w:tcW w:w="486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b w:val="1"/>
                <w:bCs w:val="1"/>
                <w:color w:val="auto"/>
              </w:rPr>
              <w:t>Total comprehensive income/(loss) for the period</w:t>
            </w:r>
          </w:p>
        </w:tc>
        <w:tc>
          <w:tcPr>
            <w:tcW w:w="460" w:type="dxa"/>
            <w:vAlign w:val="bottom"/>
            <w:tcBorders>
              <w:bottom w:val="single" w:sz="8" w:color="E5FFFF"/>
            </w:tcBorders>
          </w:tcPr>
          <w:p>
            <w:pPr>
              <w:spacing w:after="0"/>
              <w:rPr>
                <w:sz w:val="18"/>
                <w:szCs w:val="18"/>
                <w:color w:val="auto"/>
              </w:rPr>
            </w:pPr>
          </w:p>
        </w:tc>
        <w:tc>
          <w:tcPr>
            <w:tcW w:w="2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8,056</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10,806</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2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6"/>
        </w:trPr>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Attributable to:</w:t>
            </w: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860" w:type="dxa"/>
            <w:vAlign w:val="bottom"/>
          </w:tcPr>
          <w:p>
            <w:pPr>
              <w:spacing w:after="0"/>
              <w:rPr>
                <w:sz w:val="20"/>
                <w:szCs w:val="20"/>
                <w:color w:val="auto"/>
              </w:rPr>
            </w:pPr>
            <w:r>
              <w:rPr>
                <w:rFonts w:ascii="Times New Roman" w:cs="Times New Roman" w:eastAsia="Times New Roman" w:hAnsi="Times New Roman"/>
                <w:sz w:val="18"/>
                <w:szCs w:val="18"/>
                <w:color w:val="auto"/>
              </w:rPr>
              <w:t>Owners of the Group</w:t>
            </w: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(14,378)</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336</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(53,787)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(74,720)</w:t>
            </w:r>
          </w:p>
        </w:tc>
        <w:tc>
          <w:tcPr>
            <w:tcW w:w="60" w:type="dxa"/>
            <w:vAlign w:val="bottom"/>
          </w:tcPr>
          <w:p>
            <w:pPr>
              <w:spacing w:after="0"/>
              <w:rPr>
                <w:sz w:val="18"/>
                <w:szCs w:val="18"/>
                <w:color w:val="auto"/>
              </w:rPr>
            </w:pPr>
          </w:p>
        </w:tc>
      </w:tr>
      <w:tr>
        <w:trPr>
          <w:trHeight w:val="216"/>
        </w:trPr>
        <w:tc>
          <w:tcPr>
            <w:tcW w:w="48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Non-controlling interests</w:t>
            </w:r>
          </w:p>
        </w:tc>
        <w:tc>
          <w:tcPr>
            <w:tcW w:w="4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22,434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10,470</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54,766</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30,522</w:t>
            </w:r>
          </w:p>
        </w:tc>
        <w:tc>
          <w:tcPr>
            <w:tcW w:w="60" w:type="dxa"/>
            <w:vAlign w:val="bottom"/>
          </w:tcPr>
          <w:p>
            <w:pPr>
              <w:spacing w:after="0"/>
              <w:rPr>
                <w:sz w:val="18"/>
                <w:szCs w:val="18"/>
                <w:color w:val="auto"/>
              </w:rPr>
            </w:pPr>
          </w:p>
        </w:tc>
      </w:tr>
      <w:tr>
        <w:trPr>
          <w:trHeight w:val="210"/>
        </w:trPr>
        <w:tc>
          <w:tcPr>
            <w:tcW w:w="4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8,056</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10,806</w:t>
            </w:r>
          </w:p>
        </w:tc>
        <w:tc>
          <w:tcPr>
            <w:tcW w:w="2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220" w:type="dxa"/>
            <w:vAlign w:val="bottom"/>
          </w:tcPr>
          <w:p>
            <w:pPr>
              <w:spacing w:after="0"/>
              <w:rPr>
                <w:sz w:val="18"/>
                <w:szCs w:val="18"/>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(44,198</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7"/>
        </w:trPr>
        <w:tc>
          <w:tcPr>
            <w:tcW w:w="48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00"/>
          </w:cols>
          <w:pgMar w:left="320" w:top="907" w:right="37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changes in equity</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Share</w:t>
            </w: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61"/>
              <w:spacing w:after="0"/>
              <w:rPr>
                <w:sz w:val="20"/>
                <w:szCs w:val="20"/>
                <w:color w:val="auto"/>
              </w:rPr>
            </w:pPr>
            <w:r>
              <w:rPr>
                <w:rFonts w:ascii="Times New Roman" w:cs="Times New Roman" w:eastAsia="Times New Roman" w:hAnsi="Times New Roman"/>
                <w:sz w:val="18"/>
                <w:szCs w:val="18"/>
                <w:b w:val="1"/>
                <w:bCs w:val="1"/>
                <w:color w:val="auto"/>
                <w:w w:val="98"/>
              </w:rPr>
              <w:t>Retained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capital</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w w:val="96"/>
              </w:rPr>
              <w:t>Preference</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w w:val="98"/>
              </w:rPr>
              <w:t>Contributed</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8"/>
              </w:rPr>
              <w:t>Treasury</w:t>
            </w:r>
          </w:p>
        </w:tc>
        <w:tc>
          <w:tcPr>
            <w:tcW w:w="12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earnings/(Accu</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Attributable</w:t>
            </w:r>
          </w:p>
        </w:tc>
        <w:tc>
          <w:tcPr>
            <w:tcW w:w="9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Non -</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tcPr>
          <w:p>
            <w:pPr>
              <w:spacing w:after="0"/>
              <w:rPr>
                <w:sz w:val="18"/>
                <w:szCs w:val="18"/>
                <w:color w:val="auto"/>
              </w:rPr>
            </w:pPr>
          </w:p>
        </w:tc>
        <w:tc>
          <w:tcPr>
            <w:tcW w:w="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(Note</w:t>
            </w:r>
          </w:p>
        </w:tc>
        <w:tc>
          <w:tcPr>
            <w:tcW w:w="9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7"/>
              </w:rPr>
              <w:t>shares</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surplus</w:t>
            </w: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26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rPr>
              <w:t>mulated</w:t>
            </w: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to owners of</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controlling</w:t>
            </w: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8"/>
        </w:trPr>
        <w:tc>
          <w:tcPr>
            <w:tcW w:w="2700" w:type="dxa"/>
            <w:vAlign w:val="bottom"/>
          </w:tcPr>
          <w:p>
            <w:pPr>
              <w:spacing w:after="0"/>
              <w:rPr>
                <w:sz w:val="20"/>
                <w:szCs w:val="20"/>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Pr>
          <w:p>
            <w:pPr>
              <w:spacing w:after="0"/>
              <w:rPr>
                <w:sz w:val="20"/>
                <w:szCs w:val="20"/>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(Note 13)</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(Note 13)</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Reserves</w:t>
            </w:r>
          </w:p>
        </w:tc>
        <w:tc>
          <w:tcPr>
            <w:tcW w:w="840" w:type="dxa"/>
            <w:vAlign w:val="bottom"/>
            <w:gridSpan w:val="2"/>
          </w:tcPr>
          <w:p>
            <w:pPr>
              <w:jc w:val="center"/>
              <w:ind w:right="21"/>
              <w:spacing w:after="0"/>
              <w:rPr>
                <w:sz w:val="20"/>
                <w:szCs w:val="20"/>
                <w:color w:val="auto"/>
              </w:rPr>
            </w:pPr>
            <w:r>
              <w:rPr>
                <w:rFonts w:ascii="Times New Roman" w:cs="Times New Roman" w:eastAsia="Times New Roman" w:hAnsi="Times New Roman"/>
                <w:sz w:val="18"/>
                <w:szCs w:val="18"/>
                <w:b w:val="1"/>
                <w:bCs w:val="1"/>
                <w:color w:val="auto"/>
                <w:w w:val="99"/>
              </w:rPr>
              <w:t>(Note 13)</w:t>
            </w:r>
          </w:p>
        </w:tc>
        <w:tc>
          <w:tcPr>
            <w:tcW w:w="1260" w:type="dxa"/>
            <w:vAlign w:val="bottom"/>
            <w:gridSpan w:val="2"/>
          </w:tcPr>
          <w:p>
            <w:pPr>
              <w:jc w:val="center"/>
              <w:ind w:right="1"/>
              <w:spacing w:after="0"/>
              <w:rPr>
                <w:sz w:val="20"/>
                <w:szCs w:val="20"/>
                <w:color w:val="auto"/>
              </w:rPr>
            </w:pPr>
            <w:r>
              <w:rPr>
                <w:rFonts w:ascii="Times New Roman" w:cs="Times New Roman" w:eastAsia="Times New Roman" w:hAnsi="Times New Roman"/>
                <w:sz w:val="18"/>
                <w:szCs w:val="18"/>
                <w:b w:val="1"/>
                <w:bCs w:val="1"/>
                <w:color w:val="auto"/>
                <w:w w:val="99"/>
              </w:rPr>
              <w:t>deficit)</w:t>
            </w: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the Group</w:t>
            </w:r>
          </w:p>
        </w:tc>
        <w:tc>
          <w:tcPr>
            <w:tcW w:w="9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interests</w:t>
            </w:r>
          </w:p>
        </w:tc>
        <w:tc>
          <w:tcPr>
            <w:tcW w:w="800" w:type="dxa"/>
            <w:vAlign w:val="bottom"/>
            <w:gridSpan w:val="3"/>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09"/>
        </w:trPr>
        <w:tc>
          <w:tcPr>
            <w:tcW w:w="27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2018</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850,576</w:t>
            </w:r>
          </w:p>
        </w:tc>
        <w:tc>
          <w:tcPr>
            <w:tcW w:w="100" w:type="dxa"/>
            <w:vAlign w:val="bottom"/>
            <w:tcBorders>
              <w:top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(3,266)</w:t>
            </w:r>
          </w:p>
        </w:tc>
        <w:tc>
          <w:tcPr>
            <w:tcW w:w="10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12,614</w:t>
            </w:r>
          </w:p>
        </w:tc>
        <w:tc>
          <w:tcPr>
            <w:tcW w:w="100" w:type="dxa"/>
            <w:vAlign w:val="bottom"/>
            <w:tcBorders>
              <w:top w:val="single" w:sz="8" w:color="E5FFFF"/>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879,742</w:t>
            </w:r>
          </w:p>
        </w:tc>
        <w:tc>
          <w:tcPr>
            <w:tcW w:w="10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1,103,380</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1,983,122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7"/>
        </w:trPr>
        <w:tc>
          <w:tcPr>
            <w:tcW w:w="2700" w:type="dxa"/>
            <w:vAlign w:val="bottom"/>
          </w:tcPr>
          <w:p>
            <w:pPr>
              <w:spacing w:after="0" w:line="236" w:lineRule="exact"/>
              <w:rPr>
                <w:sz w:val="20"/>
                <w:szCs w:val="20"/>
                <w:color w:val="auto"/>
              </w:rPr>
            </w:pPr>
            <w:r>
              <w:rPr>
                <w:rFonts w:ascii="Times New Roman" w:cs="Times New Roman" w:eastAsia="Times New Roman" w:hAnsi="Times New Roman"/>
                <w:sz w:val="17"/>
                <w:szCs w:val="17"/>
                <w:color w:val="auto"/>
              </w:rPr>
              <w:t>Opening adjustment</w:t>
            </w:r>
            <w:r>
              <w:rPr>
                <w:rFonts w:ascii="Times New Roman" w:cs="Times New Roman" w:eastAsia="Times New Roman" w:hAnsi="Times New Roman"/>
                <w:sz w:val="27"/>
                <w:szCs w:val="27"/>
                <w:color w:val="auto"/>
                <w:vertAlign w:val="superscript"/>
              </w:rPr>
              <w:t>(1)</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215</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215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128</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343</w:t>
            </w:r>
          </w:p>
        </w:tc>
        <w:tc>
          <w:tcPr>
            <w:tcW w:w="40" w:type="dxa"/>
            <w:vAlign w:val="bottom"/>
          </w:tcPr>
          <w:p>
            <w:pPr>
              <w:spacing w:after="0"/>
              <w:rPr>
                <w:sz w:val="20"/>
                <w:szCs w:val="20"/>
                <w:color w:val="auto"/>
              </w:rPr>
            </w:pPr>
          </w:p>
        </w:tc>
      </w:tr>
      <w:tr>
        <w:trPr>
          <w:trHeight w:val="209"/>
        </w:trPr>
        <w:tc>
          <w:tcPr>
            <w:tcW w:w="27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Balance as of January 1, 2019</w:t>
            </w:r>
          </w:p>
        </w:tc>
        <w:tc>
          <w:tcPr>
            <w:tcW w:w="70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top w:val="single" w:sz="8" w:color="E5FFFF"/>
            </w:tcBorders>
            <w:shd w:val="clear" w:color="auto" w:fill="E5FFFF"/>
          </w:tcPr>
          <w:p>
            <w:pPr>
              <w:spacing w:after="0"/>
              <w:rPr>
                <w:sz w:val="18"/>
                <w:szCs w:val="18"/>
                <w:color w:val="auto"/>
              </w:rPr>
            </w:pPr>
          </w:p>
        </w:tc>
        <w:tc>
          <w:tcPr>
            <w:tcW w:w="8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top w:val="single" w:sz="8" w:color="E5FFFF"/>
            </w:tcBorders>
            <w:shd w:val="clear" w:color="auto" w:fill="E5FFFF"/>
          </w:tcPr>
          <w:p>
            <w:pPr>
              <w:spacing w:after="0"/>
              <w:rPr>
                <w:sz w:val="18"/>
                <w:szCs w:val="18"/>
                <w:color w:val="auto"/>
              </w:rPr>
            </w:pPr>
          </w:p>
        </w:tc>
        <w:tc>
          <w:tcPr>
            <w:tcW w:w="9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850,576</w:t>
            </w:r>
          </w:p>
        </w:tc>
        <w:tc>
          <w:tcPr>
            <w:tcW w:w="100" w:type="dxa"/>
            <w:vAlign w:val="bottom"/>
            <w:tcBorders>
              <w:top w:val="single" w:sz="8" w:color="E5FFFF"/>
            </w:tcBorders>
            <w:shd w:val="clear" w:color="auto" w:fill="E5FFFF"/>
          </w:tcPr>
          <w:p>
            <w:pPr>
              <w:spacing w:after="0"/>
              <w:rPr>
                <w:sz w:val="18"/>
                <w:szCs w:val="18"/>
                <w:color w:val="auto"/>
              </w:rPr>
            </w:pPr>
          </w:p>
        </w:tc>
        <w:tc>
          <w:tcPr>
            <w:tcW w:w="7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18,962</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(3,266)</w:t>
            </w:r>
          </w:p>
        </w:tc>
        <w:tc>
          <w:tcPr>
            <w:tcW w:w="10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12,829</w:t>
            </w:r>
          </w:p>
        </w:tc>
        <w:tc>
          <w:tcPr>
            <w:tcW w:w="100" w:type="dxa"/>
            <w:vAlign w:val="bottom"/>
            <w:tcBorders>
              <w:top w:val="single" w:sz="8" w:color="E5FFFF"/>
            </w:tcBorders>
            <w:shd w:val="clear" w:color="auto" w:fill="E5FFFF"/>
          </w:tcPr>
          <w:p>
            <w:pPr>
              <w:spacing w:after="0"/>
              <w:rPr>
                <w:sz w:val="18"/>
                <w:szCs w:val="18"/>
                <w:color w:val="auto"/>
              </w:rPr>
            </w:pPr>
          </w:p>
        </w:tc>
        <w:tc>
          <w:tcPr>
            <w:tcW w:w="9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879,957</w:t>
            </w:r>
          </w:p>
        </w:tc>
        <w:tc>
          <w:tcPr>
            <w:tcW w:w="100" w:type="dxa"/>
            <w:vAlign w:val="bottom"/>
            <w:tcBorders>
              <w:top w:val="single" w:sz="8" w:color="E5FFFF"/>
            </w:tcBorders>
            <w:shd w:val="clear" w:color="auto" w:fill="E5FFFF"/>
          </w:tcPr>
          <w:p>
            <w:pPr>
              <w:spacing w:after="0"/>
              <w:rPr>
                <w:sz w:val="18"/>
                <w:szCs w:val="18"/>
                <w:color w:val="auto"/>
              </w:rPr>
            </w:pPr>
          </w:p>
        </w:tc>
        <w:tc>
          <w:tcPr>
            <w:tcW w:w="8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1,103,508</w:t>
            </w:r>
          </w:p>
        </w:tc>
        <w:tc>
          <w:tcPr>
            <w:tcW w:w="100" w:type="dxa"/>
            <w:vAlign w:val="bottom"/>
            <w:tcBorders>
              <w:top w:val="single" w:sz="8" w:color="E5FFFF"/>
            </w:tcBorders>
            <w:shd w:val="clear" w:color="auto" w:fill="E5FFFF"/>
          </w:tcPr>
          <w:p>
            <w:pPr>
              <w:spacing w:after="0"/>
              <w:rPr>
                <w:sz w:val="18"/>
                <w:szCs w:val="18"/>
                <w:color w:val="auto"/>
              </w:rPr>
            </w:pPr>
          </w:p>
        </w:tc>
        <w:tc>
          <w:tcPr>
            <w:tcW w:w="7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1,983,465</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 offering costs</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7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Dividend paid (common and</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preference shares)</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(43,934)</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(43,934)</w:t>
            </w:r>
          </w:p>
        </w:tc>
        <w:tc>
          <w:tcPr>
            <w:tcW w:w="94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(78,575)</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(122,509)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net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3,334</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3,334</w:t>
            </w:r>
          </w:p>
        </w:tc>
        <w:tc>
          <w:tcPr>
            <w:tcW w:w="40" w:type="dxa"/>
            <w:vAlign w:val="bottom"/>
          </w:tcPr>
          <w:p>
            <w:pPr>
              <w:spacing w:after="0"/>
              <w:rPr>
                <w:sz w:val="20"/>
                <w:szCs w:val="20"/>
                <w:color w:val="auto"/>
              </w:rPr>
            </w:pPr>
          </w:p>
        </w:tc>
      </w:tr>
      <w:tr>
        <w:trPr>
          <w:trHeight w:val="198"/>
        </w:trPr>
        <w:tc>
          <w:tcPr>
            <w:tcW w:w="27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Settlement of share-based</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(4,630)</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4,676</w:t>
            </w:r>
          </w:p>
        </w:tc>
        <w:tc>
          <w:tcPr>
            <w:tcW w:w="126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46</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net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(3,752)</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(3,752)</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(20,030)</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(23,782)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(Loss)/profit for the period</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(50,490)</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(50,490)</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54,766</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4,276</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 the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(3,297)</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(3,297)</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(3,297)</w:t>
            </w:r>
          </w:p>
        </w:tc>
      </w:tr>
      <w:tr>
        <w:trPr>
          <w:trHeight w:val="174"/>
        </w:trPr>
        <w:tc>
          <w:tcPr>
            <w:tcW w:w="2700" w:type="dxa"/>
            <w:vAlign w:val="bottom"/>
            <w:tcBorders>
              <w:top w:val="single" w:sz="8" w:color="E5FFFF"/>
            </w:tcBorders>
            <w:shd w:val="clear" w:color="auto" w:fill="E5FF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8"/>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(loss)/income for the period</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(3,297)</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(50,490)</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(53,787)</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54,766</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979</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09"/>
        </w:trPr>
        <w:tc>
          <w:tcPr>
            <w:tcW w:w="27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2019</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E5FFFF"/>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bottom w:val="single" w:sz="8" w:color="E5FFFF"/>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806,058</w:t>
            </w:r>
          </w:p>
        </w:tc>
        <w:tc>
          <w:tcPr>
            <w:tcW w:w="100" w:type="dxa"/>
            <w:vAlign w:val="bottom"/>
            <w:tcBorders>
              <w:bottom w:val="single" w:sz="8" w:color="E5FFFF"/>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14,369</w:t>
            </w:r>
          </w:p>
        </w:tc>
        <w:tc>
          <w:tcPr>
            <w:tcW w:w="100" w:type="dxa"/>
            <w:vAlign w:val="bottom"/>
            <w:tcBorders>
              <w:bottom w:val="single" w:sz="8" w:color="E5FF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(2,342)</w:t>
            </w:r>
          </w:p>
        </w:tc>
        <w:tc>
          <w:tcPr>
            <w:tcW w:w="100" w:type="dxa"/>
            <w:vAlign w:val="bottom"/>
            <w:tcBorders>
              <w:bottom w:val="single" w:sz="8" w:color="E5FFFF"/>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(37,661)</w:t>
            </w:r>
          </w:p>
        </w:tc>
        <w:tc>
          <w:tcPr>
            <w:tcW w:w="100" w:type="dxa"/>
            <w:vAlign w:val="bottom"/>
            <w:tcBorders>
              <w:bottom w:val="single" w:sz="8" w:color="E5FFFF"/>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781,280</w:t>
            </w:r>
          </w:p>
        </w:tc>
        <w:tc>
          <w:tcPr>
            <w:tcW w:w="100" w:type="dxa"/>
            <w:vAlign w:val="bottom"/>
            <w:tcBorders>
              <w:bottom w:val="single" w:sz="8" w:color="E5FFFF"/>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1,059,720</w:t>
            </w:r>
          </w:p>
        </w:tc>
        <w:tc>
          <w:tcPr>
            <w:tcW w:w="100" w:type="dxa"/>
            <w:vAlign w:val="bottom"/>
            <w:tcBorders>
              <w:bottom w:val="single" w:sz="8" w:color="E5FFFF"/>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1,841,000</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700" w:type="dxa"/>
            <w:vAlign w:val="bottom"/>
            <w:shd w:val="clear" w:color="auto" w:fill="E5FFFF"/>
          </w:tcPr>
          <w:p>
            <w:pPr>
              <w:spacing w:after="0"/>
              <w:rPr>
                <w:sz w:val="18"/>
                <w:szCs w:val="18"/>
                <w:color w:val="auto"/>
              </w:rPr>
            </w:pPr>
          </w:p>
        </w:tc>
        <w:tc>
          <w:tcPr>
            <w:tcW w:w="70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20" w:type="dxa"/>
            <w:vAlign w:val="bottom"/>
            <w:tcBorders>
              <w:bottom w:val="single" w:sz="8" w:color="auto"/>
            </w:tcBorders>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96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6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98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40" w:type="dxa"/>
            <w:vAlign w:val="bottom"/>
            <w:tcBorders>
              <w:bottom w:val="single" w:sz="8" w:color="auto"/>
            </w:tcBorders>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740" w:type="dxa"/>
            <w:vAlign w:val="bottom"/>
            <w:tcBorders>
              <w:bottom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0"/>
        </w:trPr>
        <w:tc>
          <w:tcPr>
            <w:tcW w:w="270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as of December 31, 2019</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810</w:t>
            </w:r>
          </w:p>
        </w:tc>
        <w:tc>
          <w:tcPr>
            <w:tcW w:w="100" w:type="dxa"/>
            <w:vAlign w:val="bottom"/>
            <w:tcBorders>
              <w:bottom w:val="single" w:sz="8" w:color="E5FFFF"/>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Borders>
              <w:bottom w:val="single" w:sz="8" w:color="E5FFFF"/>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760,671</w:t>
            </w:r>
          </w:p>
        </w:tc>
        <w:tc>
          <w:tcPr>
            <w:tcW w:w="100" w:type="dxa"/>
            <w:vAlign w:val="bottom"/>
            <w:tcBorders>
              <w:bottom w:val="single" w:sz="8" w:color="E5FFFF"/>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16,799</w:t>
            </w:r>
          </w:p>
        </w:tc>
        <w:tc>
          <w:tcPr>
            <w:tcW w:w="10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(2,159)</w:t>
            </w:r>
          </w:p>
        </w:tc>
        <w:tc>
          <w:tcPr>
            <w:tcW w:w="100" w:type="dxa"/>
            <w:vAlign w:val="bottom"/>
            <w:tcBorders>
              <w:bottom w:val="single" w:sz="8" w:color="E5FFFF"/>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(87,832)</w:t>
            </w:r>
          </w:p>
        </w:tc>
        <w:tc>
          <w:tcPr>
            <w:tcW w:w="100" w:type="dxa"/>
            <w:vAlign w:val="bottom"/>
            <w:tcBorders>
              <w:bottom w:val="single" w:sz="8" w:color="E5FF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688,335</w:t>
            </w:r>
          </w:p>
        </w:tc>
        <w:tc>
          <w:tcPr>
            <w:tcW w:w="100" w:type="dxa"/>
            <w:vAlign w:val="bottom"/>
            <w:tcBorders>
              <w:bottom w:val="single" w:sz="8" w:color="E5FFFF"/>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961,518</w:t>
            </w:r>
          </w:p>
        </w:tc>
        <w:tc>
          <w:tcPr>
            <w:tcW w:w="100" w:type="dxa"/>
            <w:vAlign w:val="bottom"/>
            <w:tcBorders>
              <w:bottom w:val="single" w:sz="8" w:color="E5FF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1,649,853</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78"/>
        </w:trPr>
        <w:tc>
          <w:tcPr>
            <w:tcW w:w="2700" w:type="dxa"/>
            <w:vAlign w:val="bottom"/>
            <w:shd w:val="clear" w:color="auto" w:fill="E5FFFF"/>
          </w:tcPr>
          <w:p>
            <w:pPr>
              <w:spacing w:after="0" w:line="177" w:lineRule="exact"/>
              <w:rPr>
                <w:sz w:val="20"/>
                <w:szCs w:val="20"/>
                <w:color w:val="auto"/>
              </w:rPr>
            </w:pPr>
            <w:r>
              <w:rPr>
                <w:rFonts w:ascii="Times New Roman" w:cs="Times New Roman" w:eastAsia="Times New Roman" w:hAnsi="Times New Roman"/>
                <w:sz w:val="18"/>
                <w:szCs w:val="18"/>
                <w:color w:val="auto"/>
              </w:rPr>
              <w:t>Proceeds from private placement,</w:t>
            </w:r>
          </w:p>
        </w:tc>
        <w:tc>
          <w:tcPr>
            <w:tcW w:w="70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20" w:type="dxa"/>
            <w:vAlign w:val="bottom"/>
            <w:shd w:val="clear" w:color="auto" w:fill="E5FFFF"/>
          </w:tcPr>
          <w:p>
            <w:pPr>
              <w:spacing w:after="0"/>
              <w:rPr>
                <w:sz w:val="15"/>
                <w:szCs w:val="15"/>
                <w:color w:val="auto"/>
              </w:rPr>
            </w:pPr>
          </w:p>
        </w:tc>
        <w:tc>
          <w:tcPr>
            <w:tcW w:w="80" w:type="dxa"/>
            <w:vAlign w:val="bottom"/>
            <w:shd w:val="clear" w:color="auto" w:fill="E5FFFF"/>
          </w:tcPr>
          <w:p>
            <w:pPr>
              <w:spacing w:after="0"/>
              <w:rPr>
                <w:sz w:val="15"/>
                <w:szCs w:val="15"/>
                <w:color w:val="auto"/>
              </w:rPr>
            </w:pPr>
          </w:p>
        </w:tc>
        <w:tc>
          <w:tcPr>
            <w:tcW w:w="9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7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116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98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840" w:type="dxa"/>
            <w:vAlign w:val="bottom"/>
            <w:shd w:val="clear" w:color="auto" w:fill="E5FFFF"/>
          </w:tcPr>
          <w:p>
            <w:pPr>
              <w:spacing w:after="0"/>
              <w:rPr>
                <w:sz w:val="15"/>
                <w:szCs w:val="15"/>
                <w:color w:val="auto"/>
              </w:rPr>
            </w:pPr>
          </w:p>
        </w:tc>
        <w:tc>
          <w:tcPr>
            <w:tcW w:w="100" w:type="dxa"/>
            <w:vAlign w:val="bottom"/>
            <w:shd w:val="clear" w:color="auto" w:fill="E5FFFF"/>
          </w:tcPr>
          <w:p>
            <w:pPr>
              <w:spacing w:after="0"/>
              <w:rPr>
                <w:sz w:val="15"/>
                <w:szCs w:val="15"/>
                <w:color w:val="auto"/>
              </w:rPr>
            </w:pPr>
          </w:p>
        </w:tc>
        <w:tc>
          <w:tcPr>
            <w:tcW w:w="740" w:type="dxa"/>
            <w:vAlign w:val="bottom"/>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4"/>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net of offering costs</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34,852</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34,996</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34,996</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Equity offering costs</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(142)</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700" w:type="dxa"/>
            <w:vAlign w:val="bottom"/>
            <w:shd w:val="clear" w:color="auto" w:fill="E5FFFF"/>
          </w:tcPr>
          <w:p>
            <w:pPr>
              <w:spacing w:after="0" w:line="198" w:lineRule="exact"/>
              <w:rPr>
                <w:sz w:val="20"/>
                <w:szCs w:val="20"/>
                <w:color w:val="auto"/>
              </w:rPr>
            </w:pPr>
            <w:r>
              <w:rPr>
                <w:rFonts w:ascii="Times New Roman" w:cs="Times New Roman" w:eastAsia="Times New Roman" w:hAnsi="Times New Roman"/>
                <w:sz w:val="18"/>
                <w:szCs w:val="18"/>
                <w:color w:val="auto"/>
              </w:rPr>
              <w:t>Dividend paid (common and</w:t>
            </w:r>
          </w:p>
        </w:tc>
        <w:tc>
          <w:tcPr>
            <w:tcW w:w="7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9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16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98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740" w:type="dxa"/>
            <w:vAlign w:val="bottom"/>
            <w:shd w:val="clear" w:color="auto" w:fill="E5FFFF"/>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preference shares) (Note 13)</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(28,423)</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(28,423)</w:t>
            </w:r>
          </w:p>
        </w:tc>
        <w:tc>
          <w:tcPr>
            <w:tcW w:w="94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(48,950)</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(77,373)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Share-based compensation, net of</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accrued dividend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4,579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4,579</w:t>
            </w:r>
          </w:p>
        </w:tc>
        <w:tc>
          <w:tcPr>
            <w:tcW w:w="40" w:type="dxa"/>
            <w:vAlign w:val="bottom"/>
          </w:tcPr>
          <w:p>
            <w:pPr>
              <w:spacing w:after="0"/>
              <w:rPr>
                <w:sz w:val="20"/>
                <w:szCs w:val="20"/>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Settlement of share-based</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(2,785)</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2,780</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Treasury shares, net</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(2,000)</w:t>
            </w:r>
          </w:p>
        </w:tc>
        <w:tc>
          <w:tcPr>
            <w:tcW w:w="9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(996)</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(2,996)</w:t>
            </w:r>
          </w:p>
        </w:tc>
      </w:tr>
      <w:tr>
        <w:trPr>
          <w:trHeight w:val="216"/>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(Loss)/profit for the period</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(73,181)</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(73,181)</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30,522</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(42,659)</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198"/>
        </w:trPr>
        <w:tc>
          <w:tcPr>
            <w:tcW w:w="27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Other comprehensive loss for the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4"/>
        </w:trPr>
        <w:tc>
          <w:tcPr>
            <w:tcW w:w="2700" w:type="dxa"/>
            <w:vAlign w:val="bottom"/>
          </w:tcPr>
          <w:p>
            <w:pPr>
              <w:spacing w:after="0"/>
              <w:rPr>
                <w:sz w:val="20"/>
                <w:szCs w:val="20"/>
                <w:color w:val="auto"/>
              </w:rPr>
            </w:pPr>
            <w:r>
              <w:rPr>
                <w:rFonts w:ascii="Times New Roman" w:cs="Times New Roman" w:eastAsia="Times New Roman" w:hAnsi="Times New Roman"/>
                <w:sz w:val="18"/>
                <w:szCs w:val="18"/>
                <w:color w:val="auto"/>
              </w:rPr>
              <w:t>period</w:t>
            </w: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(1,539)</w:t>
            </w:r>
          </w:p>
        </w:tc>
        <w:tc>
          <w:tcPr>
            <w:tcW w:w="84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(1,539)</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(1,539)</w:t>
            </w:r>
          </w:p>
        </w:tc>
      </w:tr>
      <w:tr>
        <w:trPr>
          <w:trHeight w:val="174"/>
        </w:trPr>
        <w:tc>
          <w:tcPr>
            <w:tcW w:w="2700" w:type="dxa"/>
            <w:vAlign w:val="bottom"/>
            <w:tcBorders>
              <w:top w:val="single" w:sz="8" w:color="E5FFFF"/>
            </w:tcBorders>
            <w:shd w:val="clear" w:color="auto" w:fill="E5FFFF"/>
          </w:tcPr>
          <w:p>
            <w:pPr>
              <w:spacing w:after="0" w:line="174" w:lineRule="exact"/>
              <w:rPr>
                <w:sz w:val="20"/>
                <w:szCs w:val="20"/>
                <w:color w:val="auto"/>
              </w:rPr>
            </w:pPr>
            <w:r>
              <w:rPr>
                <w:rFonts w:ascii="Times New Roman" w:cs="Times New Roman" w:eastAsia="Times New Roman" w:hAnsi="Times New Roman"/>
                <w:sz w:val="18"/>
                <w:szCs w:val="18"/>
                <w:b w:val="1"/>
                <w:bCs w:val="1"/>
                <w:color w:val="auto"/>
              </w:rPr>
              <w:t>Total comprehensive</w:t>
            </w:r>
          </w:p>
        </w:tc>
        <w:tc>
          <w:tcPr>
            <w:tcW w:w="70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20" w:type="dxa"/>
            <w:vAlign w:val="bottom"/>
            <w:tcBorders>
              <w:top w:val="single" w:sz="8" w:color="auto"/>
            </w:tcBorders>
            <w:shd w:val="clear" w:color="auto" w:fill="E5FFFF"/>
          </w:tcPr>
          <w:p>
            <w:pPr>
              <w:spacing w:after="0"/>
              <w:rPr>
                <w:sz w:val="15"/>
                <w:szCs w:val="15"/>
                <w:color w:val="auto"/>
              </w:rPr>
            </w:pPr>
          </w:p>
        </w:tc>
        <w:tc>
          <w:tcPr>
            <w:tcW w:w="80" w:type="dxa"/>
            <w:vAlign w:val="bottom"/>
            <w:tcBorders>
              <w:top w:val="single" w:sz="8" w:color="E5FFFF"/>
            </w:tcBorders>
            <w:shd w:val="clear" w:color="auto" w:fill="E5FFFF"/>
          </w:tcPr>
          <w:p>
            <w:pPr>
              <w:spacing w:after="0"/>
              <w:rPr>
                <w:sz w:val="15"/>
                <w:szCs w:val="15"/>
                <w:color w:val="auto"/>
              </w:rPr>
            </w:pPr>
          </w:p>
        </w:tc>
        <w:tc>
          <w:tcPr>
            <w:tcW w:w="9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116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98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840" w:type="dxa"/>
            <w:vAlign w:val="bottom"/>
            <w:tcBorders>
              <w:top w:val="single" w:sz="8" w:color="auto"/>
            </w:tcBorders>
            <w:shd w:val="clear" w:color="auto" w:fill="E5FFFF"/>
          </w:tcPr>
          <w:p>
            <w:pPr>
              <w:spacing w:after="0"/>
              <w:rPr>
                <w:sz w:val="15"/>
                <w:szCs w:val="15"/>
                <w:color w:val="auto"/>
              </w:rPr>
            </w:pPr>
          </w:p>
        </w:tc>
        <w:tc>
          <w:tcPr>
            <w:tcW w:w="100" w:type="dxa"/>
            <w:vAlign w:val="bottom"/>
            <w:tcBorders>
              <w:top w:val="single" w:sz="8" w:color="E5FFFF"/>
            </w:tcBorders>
            <w:shd w:val="clear" w:color="auto" w:fill="E5FFFF"/>
          </w:tcPr>
          <w:p>
            <w:pPr>
              <w:spacing w:after="0"/>
              <w:rPr>
                <w:sz w:val="15"/>
                <w:szCs w:val="15"/>
                <w:color w:val="auto"/>
              </w:rPr>
            </w:pPr>
          </w:p>
        </w:tc>
        <w:tc>
          <w:tcPr>
            <w:tcW w:w="740" w:type="dxa"/>
            <w:vAlign w:val="bottom"/>
            <w:tcBorders>
              <w:top w:val="single" w:sz="8" w:color="auto"/>
            </w:tcBorders>
            <w:shd w:val="clear" w:color="auto" w:fill="E5FFFF"/>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38"/>
        </w:trPr>
        <w:tc>
          <w:tcPr>
            <w:tcW w:w="27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(loss)/income for the period</w:t>
            </w:r>
          </w:p>
        </w:tc>
        <w:tc>
          <w:tcPr>
            <w:tcW w:w="80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90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w:t>
            </w:r>
          </w:p>
        </w:tc>
        <w:tc>
          <w:tcPr>
            <w:tcW w:w="106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(1,539)</w:t>
            </w:r>
          </w:p>
        </w:tc>
        <w:tc>
          <w:tcPr>
            <w:tcW w:w="840" w:type="dxa"/>
            <w:vAlign w:val="bottom"/>
            <w:gridSpan w:val="2"/>
            <w:shd w:val="clear" w:color="auto" w:fill="E5FFFF"/>
          </w:tcPr>
          <w:p>
            <w:pPr>
              <w:jc w:val="right"/>
              <w:ind w:right="21"/>
              <w:spacing w:after="0"/>
              <w:rPr>
                <w:sz w:val="20"/>
                <w:szCs w:val="20"/>
                <w:color w:val="auto"/>
              </w:rPr>
            </w:pPr>
            <w:r>
              <w:rPr>
                <w:rFonts w:ascii="Times New Roman" w:cs="Times New Roman" w:eastAsia="Times New Roman" w:hAnsi="Times New Roman"/>
                <w:sz w:val="18"/>
                <w:szCs w:val="18"/>
                <w:b w:val="1"/>
                <w:bCs w:val="1"/>
                <w:color w:val="auto"/>
              </w:rPr>
              <w:t>—</w:t>
            </w:r>
          </w:p>
        </w:tc>
        <w:tc>
          <w:tcPr>
            <w:tcW w:w="12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(73,181)</w:t>
            </w:r>
          </w:p>
        </w:tc>
        <w:tc>
          <w:tcPr>
            <w:tcW w:w="108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(74,720)</w:t>
            </w:r>
          </w:p>
        </w:tc>
        <w:tc>
          <w:tcPr>
            <w:tcW w:w="9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30,522</w:t>
            </w:r>
          </w:p>
        </w:tc>
        <w:tc>
          <w:tcPr>
            <w:tcW w:w="7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(44,198)</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17"/>
        </w:trPr>
        <w:tc>
          <w:tcPr>
            <w:tcW w:w="27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as of September 30, 2020</w:t>
            </w: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954</w:t>
            </w:r>
          </w:p>
        </w:tc>
        <w:tc>
          <w:tcPr>
            <w:tcW w:w="10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46</w:t>
            </w:r>
          </w:p>
        </w:tc>
        <w:tc>
          <w:tcPr>
            <w:tcW w:w="80" w:type="dxa"/>
            <w:vAlign w:val="bottom"/>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767,100</w:t>
            </w:r>
          </w:p>
        </w:tc>
        <w:tc>
          <w:tcPr>
            <w:tcW w:w="100" w:type="dxa"/>
            <w:vAlign w:val="bottom"/>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17,054</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(1,379</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(161,013</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622,762</w:t>
            </w:r>
          </w:p>
        </w:tc>
        <w:tc>
          <w:tcPr>
            <w:tcW w:w="10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941,952</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w w:val="99"/>
              </w:rPr>
              <w:t>1,564,714</w:t>
            </w:r>
          </w:p>
        </w:tc>
        <w:tc>
          <w:tcPr>
            <w:tcW w:w="2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-1259840</wp:posOffset>
            </wp:positionV>
            <wp:extent cx="7089140" cy="2743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08914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left="220" w:hanging="212"/>
        <w:spacing w:after="0"/>
        <w:tabs>
          <w:tab w:leader="none" w:pos="220" w:val="left"/>
        </w:tabs>
        <w:numPr>
          <w:ilvl w:val="0"/>
          <w:numId w:val="16"/>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4"/>
          <w:szCs w:val="14"/>
          <w:color w:val="auto"/>
        </w:rPr>
        <w:t xml:space="preserve">Restated so as to reflect an adjustment introduced due to the adoption of IFRS 16 </w:t>
      </w:r>
      <w:r>
        <w:rPr>
          <w:rFonts w:ascii="Times New Roman" w:cs="Times New Roman" w:eastAsia="Times New Roman" w:hAnsi="Times New Roman"/>
          <w:sz w:val="14"/>
          <w:szCs w:val="14"/>
          <w:i w:val="1"/>
          <w:iCs w:val="1"/>
          <w:color w:val="auto"/>
        </w:rPr>
        <w:t>Leases</w:t>
      </w:r>
      <w:r>
        <w:rPr>
          <w:rFonts w:ascii="Times New Roman" w:cs="Times New Roman" w:eastAsia="Times New Roman" w:hAnsi="Times New Roman"/>
          <w:sz w:val="14"/>
          <w:szCs w:val="14"/>
          <w:color w:val="auto"/>
        </w:rPr>
        <w:t xml:space="preserve"> on January 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93"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Unaudited condensed consolidated statements of cash flows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324485</wp:posOffset>
            </wp:positionV>
            <wp:extent cx="7132320" cy="3943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39433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754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3000" w:type="dxa"/>
            <w:vAlign w:val="bottom"/>
            <w:gridSpan w:val="5"/>
            <w:shd w:val="clear" w:color="auto" w:fill="E5FFFF"/>
          </w:tcPr>
          <w:p>
            <w:pPr>
              <w:jc w:val="right"/>
              <w:ind w:right="5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0" w:type="dxa"/>
            <w:vAlign w:val="bottom"/>
          </w:tcPr>
          <w:p>
            <w:pPr>
              <w:spacing w:after="0"/>
              <w:rPr>
                <w:sz w:val="1"/>
                <w:szCs w:val="1"/>
                <w:color w:val="auto"/>
              </w:rPr>
            </w:pPr>
          </w:p>
        </w:tc>
      </w:tr>
      <w:tr>
        <w:trPr>
          <w:trHeight w:val="203"/>
        </w:trPr>
        <w:tc>
          <w:tcPr>
            <w:tcW w:w="7540" w:type="dxa"/>
            <w:vAlign w:val="bottom"/>
            <w:shd w:val="clear" w:color="auto" w:fill="E5FFFF"/>
          </w:tcPr>
          <w:p>
            <w:pPr>
              <w:spacing w:after="0"/>
              <w:rPr>
                <w:sz w:val="17"/>
                <w:szCs w:val="17"/>
                <w:color w:val="auto"/>
              </w:rPr>
            </w:pP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560" w:type="dxa"/>
            <w:vAlign w:val="bottom"/>
            <w:gridSpan w:val="2"/>
            <w:shd w:val="clear" w:color="auto" w:fill="E5FFFF"/>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3"/>
            <w:shd w:val="clear" w:color="auto" w:fill="E5FFFF"/>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2"/>
        </w:trPr>
        <w:tc>
          <w:tcPr>
            <w:tcW w:w="7540" w:type="dxa"/>
            <w:vAlign w:val="bottom"/>
            <w:shd w:val="clear" w:color="auto" w:fill="E5FFFF"/>
          </w:tcPr>
          <w:p>
            <w:pPr>
              <w:spacing w:after="0"/>
              <w:rPr>
                <w:sz w:val="18"/>
                <w:szCs w:val="18"/>
                <w:color w:val="auto"/>
              </w:rPr>
            </w:pPr>
          </w:p>
        </w:tc>
        <w:tc>
          <w:tcPr>
            <w:tcW w:w="700" w:type="dxa"/>
            <w:vAlign w:val="bottom"/>
            <w:gridSpan w:val="2"/>
            <w:shd w:val="clear" w:color="auto" w:fill="E5FFFF"/>
          </w:tcPr>
          <w:p>
            <w:pPr>
              <w:ind w:left="120"/>
              <w:spacing w:after="0"/>
              <w:rPr>
                <w:sz w:val="20"/>
                <w:szCs w:val="20"/>
                <w:color w:val="auto"/>
              </w:rPr>
            </w:pPr>
            <w:r>
              <w:rPr>
                <w:rFonts w:ascii="Times New Roman" w:cs="Times New Roman" w:eastAsia="Times New Roman" w:hAnsi="Times New Roman"/>
                <w:sz w:val="16"/>
                <w:szCs w:val="16"/>
                <w:b w:val="1"/>
                <w:bCs w:val="1"/>
                <w:color w:val="auto"/>
              </w:rPr>
              <w:t>Note</w:t>
            </w:r>
          </w:p>
        </w:tc>
        <w:tc>
          <w:tcPr>
            <w:tcW w:w="1340" w:type="dxa"/>
            <w:vAlign w:val="bottom"/>
            <w:shd w:val="clear" w:color="auto" w:fill="E5FFFF"/>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2020</w:t>
            </w: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5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580" w:type="dxa"/>
            <w:vAlign w:val="bottom"/>
            <w:tcBorders>
              <w:top w:val="single" w:sz="8" w:color="auto"/>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Profit/(loss) for the period</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4,276</w:t>
            </w:r>
          </w:p>
        </w:tc>
        <w:tc>
          <w:tcPr>
            <w:tcW w:w="220" w:type="dxa"/>
            <w:vAlign w:val="bottom"/>
            <w:shd w:val="clear" w:color="auto" w:fill="E5FFFF"/>
          </w:tcPr>
          <w:p>
            <w:pPr>
              <w:spacing w:after="0"/>
              <w:rPr>
                <w:sz w:val="18"/>
                <w:szCs w:val="18"/>
                <w:color w:val="auto"/>
              </w:rPr>
            </w:pP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(42,659)</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Adjustments for:</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0" w:type="dxa"/>
            <w:vAlign w:val="bottom"/>
            <w:shd w:val="clear" w:color="auto" w:fill="E5FFFF"/>
          </w:tcPr>
          <w:p>
            <w:pPr>
              <w:spacing w:after="0"/>
              <w:rPr>
                <w:sz w:val="18"/>
                <w:szCs w:val="18"/>
                <w:color w:val="auto"/>
              </w:rPr>
            </w:pP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Depreciation</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124,186</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130,250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Impairment loss on vessels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22,454</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on disposal of non-current assets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4</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572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 of profit of associates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(1,088)</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(1,576)</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(4,357)</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(685)</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costs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138,865</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126,101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foreign exchange losses on cash and cash equivalents</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shd w:val="clear" w:color="auto" w:fill="E5FFFF"/>
          </w:tcPr>
          <w:p>
            <w:pPr>
              <w:spacing w:after="0"/>
              <w:rPr>
                <w:sz w:val="19"/>
                <w:szCs w:val="19"/>
                <w:color w:val="auto"/>
              </w:rPr>
            </w:pP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Realized foreign exchange losses</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773</w:t>
            </w:r>
          </w:p>
        </w:tc>
        <w:tc>
          <w:tcPr>
            <w:tcW w:w="220" w:type="dxa"/>
            <w:vAlign w:val="bottom"/>
            <w:shd w:val="clear" w:color="auto" w:fill="E5FFFF"/>
          </w:tcPr>
          <w:p>
            <w:pPr>
              <w:spacing w:after="0"/>
              <w:rPr>
                <w:sz w:val="17"/>
                <w:szCs w:val="17"/>
                <w:color w:val="auto"/>
              </w:rPr>
            </w:pP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3"/>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 held for trading including ineffective portion of cash flow</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0" w:type="dxa"/>
            <w:vAlign w:val="bottom"/>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754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hedges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16</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67,643</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74,638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Share-based compensation</w:t>
            </w:r>
          </w:p>
        </w:tc>
        <w:tc>
          <w:tcPr>
            <w:tcW w:w="580" w:type="dxa"/>
            <w:vAlign w:val="bottom"/>
            <w:tcBorders>
              <w:bottom w:val="single" w:sz="8" w:color="E5FFFF"/>
            </w:tcBorders>
            <w:shd w:val="clear" w:color="auto" w:fill="E5FFFF"/>
          </w:tcPr>
          <w:p>
            <w:pPr>
              <w:spacing w:after="0"/>
              <w:rPr>
                <w:sz w:val="19"/>
                <w:szCs w:val="19"/>
                <w:color w:val="auto"/>
              </w:rPr>
            </w:pPr>
          </w:p>
        </w:tc>
        <w:tc>
          <w:tcPr>
            <w:tcW w:w="120" w:type="dxa"/>
            <w:vAlign w:val="bottom"/>
            <w:tcBorders>
              <w:bottom w:val="single" w:sz="8" w:color="E5FFFF"/>
            </w:tcBorders>
            <w:shd w:val="clear" w:color="auto" w:fill="E5FFFF"/>
          </w:tcPr>
          <w:p>
            <w:pPr>
              <w:spacing w:after="0"/>
              <w:rPr>
                <w:sz w:val="19"/>
                <w:szCs w:val="19"/>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3,728</w:t>
            </w:r>
          </w:p>
        </w:tc>
        <w:tc>
          <w:tcPr>
            <w:tcW w:w="220" w:type="dxa"/>
            <w:vAlign w:val="bottom"/>
            <w:tcBorders>
              <w:bottom w:val="single" w:sz="8" w:color="E5FFFF"/>
            </w:tcBorders>
            <w:shd w:val="clear" w:color="auto" w:fill="E5FFFF"/>
          </w:tcPr>
          <w:p>
            <w:pPr>
              <w:spacing w:after="0"/>
              <w:rPr>
                <w:sz w:val="19"/>
                <w:szCs w:val="19"/>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4,983</w:t>
            </w:r>
          </w:p>
        </w:tc>
        <w:tc>
          <w:tcPr>
            <w:tcW w:w="80" w:type="dxa"/>
            <w:vAlign w:val="bottom"/>
            <w:tcBorders>
              <w:bottom w:val="single" w:sz="8" w:color="E5FFFF"/>
            </w:tcBorders>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7540" w:type="dxa"/>
            <w:vAlign w:val="bottom"/>
            <w:tcBorders>
              <w:bottom w:val="single" w:sz="8" w:color="E5FFFF"/>
            </w:tcBorders>
            <w:shd w:val="clear" w:color="auto" w:fill="E5FFFF"/>
          </w:tcPr>
          <w:p>
            <w:pPr>
              <w:spacing w:after="0"/>
              <w:rPr>
                <w:sz w:val="17"/>
                <w:szCs w:val="17"/>
                <w:color w:val="auto"/>
              </w:rPr>
            </w:pPr>
          </w:p>
        </w:tc>
        <w:tc>
          <w:tcPr>
            <w:tcW w:w="580" w:type="dxa"/>
            <w:vAlign w:val="bottom"/>
            <w:tcBorders>
              <w:bottom w:val="single" w:sz="8" w:color="E5FFFF"/>
            </w:tcBorders>
            <w:shd w:val="clear" w:color="auto" w:fill="E5FFFF"/>
          </w:tcPr>
          <w:p>
            <w:pPr>
              <w:spacing w:after="0"/>
              <w:rPr>
                <w:sz w:val="17"/>
                <w:szCs w:val="17"/>
                <w:color w:val="auto"/>
              </w:rPr>
            </w:pPr>
          </w:p>
        </w:tc>
        <w:tc>
          <w:tcPr>
            <w:tcW w:w="1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334,399</w:t>
            </w:r>
          </w:p>
        </w:tc>
        <w:tc>
          <w:tcPr>
            <w:tcW w:w="220" w:type="dxa"/>
            <w:vAlign w:val="bottom"/>
            <w:tcBorders>
              <w:bottom w:val="single" w:sz="8" w:color="E5FFFF"/>
            </w:tcBorders>
            <w:shd w:val="clear" w:color="auto" w:fill="E5FFFF"/>
          </w:tcPr>
          <w:p>
            <w:pPr>
              <w:spacing w:after="0"/>
              <w:rPr>
                <w:sz w:val="17"/>
                <w:szCs w:val="17"/>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314,078</w:t>
            </w:r>
          </w:p>
        </w:tc>
        <w:tc>
          <w:tcPr>
            <w:tcW w:w="80" w:type="dxa"/>
            <w:vAlign w:val="bottom"/>
            <w:tcBorders>
              <w:bottom w:val="single" w:sz="8" w:color="E5FFFF"/>
            </w:tcBorders>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7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Movements in working capital</w:t>
            </w:r>
          </w:p>
        </w:tc>
        <w:tc>
          <w:tcPr>
            <w:tcW w:w="5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(41,514)</w:t>
            </w:r>
          </w:p>
        </w:tc>
        <w:tc>
          <w:tcPr>
            <w:tcW w:w="22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(13,041)</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provided by operations</w:t>
            </w:r>
          </w:p>
        </w:tc>
        <w:tc>
          <w:tcPr>
            <w:tcW w:w="5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292,885</w:t>
            </w:r>
          </w:p>
        </w:tc>
        <w:tc>
          <w:tcPr>
            <w:tcW w:w="22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301,037</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paid</w:t>
            </w:r>
          </w:p>
        </w:tc>
        <w:tc>
          <w:tcPr>
            <w:tcW w:w="5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(145,066)</w:t>
            </w:r>
          </w:p>
        </w:tc>
        <w:tc>
          <w:tcPr>
            <w:tcW w:w="22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(134,712)</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operating activities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147,819</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166,325</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tangible fixed assets and vessels under construction</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(446,529)</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(540,337)</w:t>
            </w:r>
          </w:p>
        </w:tc>
        <w:tc>
          <w:tcPr>
            <w:tcW w:w="0" w:type="dxa"/>
            <w:vAlign w:val="bottom"/>
          </w:tcPr>
          <w:p>
            <w:pPr>
              <w:spacing w:after="0"/>
              <w:rPr>
                <w:sz w:val="1"/>
                <w:szCs w:val="1"/>
                <w:color w:val="auto"/>
              </w:rPr>
            </w:pPr>
          </w:p>
        </w:tc>
      </w:tr>
      <w:tr>
        <w:trPr>
          <w:trHeight w:val="22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sale of tangible fixed assets</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2,322</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Return of capital expenditures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10,451</w:t>
            </w:r>
          </w:p>
        </w:tc>
        <w:tc>
          <w:tcPr>
            <w:tcW w:w="220" w:type="dxa"/>
            <w:vAlign w:val="bottom"/>
            <w:shd w:val="clear" w:color="auto" w:fill="E5FFFF"/>
          </w:tcPr>
          <w:p>
            <w:pPr>
              <w:spacing w:after="0"/>
              <w:rPr>
                <w:sz w:val="18"/>
                <w:szCs w:val="18"/>
                <w:color w:val="auto"/>
              </w:rPr>
            </w:pP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Other investments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(158)</w:t>
            </w: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right-of-use assets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(488)</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(5,815)</w:t>
            </w:r>
          </w:p>
        </w:tc>
        <w:tc>
          <w:tcPr>
            <w:tcW w:w="0" w:type="dxa"/>
            <w:vAlign w:val="bottom"/>
          </w:tcPr>
          <w:p>
            <w:pPr>
              <w:spacing w:after="0"/>
              <w:rPr>
                <w:sz w:val="1"/>
                <w:szCs w:val="1"/>
                <w:color w:val="auto"/>
              </w:rPr>
            </w:pPr>
          </w:p>
        </w:tc>
      </w:tr>
      <w:tr>
        <w:trPr>
          <w:trHeight w:val="199"/>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received from associate</w:t>
            </w:r>
          </w:p>
        </w:tc>
        <w:tc>
          <w:tcPr>
            <w:tcW w:w="5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938</w:t>
            </w:r>
          </w:p>
        </w:tc>
        <w:tc>
          <w:tcPr>
            <w:tcW w:w="220" w:type="dxa"/>
            <w:vAlign w:val="bottom"/>
            <w:shd w:val="clear" w:color="auto" w:fill="E5FFFF"/>
          </w:tcPr>
          <w:p>
            <w:pPr>
              <w:spacing w:after="0"/>
              <w:rPr>
                <w:sz w:val="17"/>
                <w:szCs w:val="17"/>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1,325</w:t>
            </w:r>
          </w:p>
        </w:tc>
        <w:tc>
          <w:tcPr>
            <w:tcW w:w="80" w:type="dxa"/>
            <w:vAlign w:val="bottom"/>
            <w:shd w:val="clear" w:color="auto" w:fill="E5FFFF"/>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short-term investments</w:t>
            </w:r>
          </w:p>
        </w:tc>
        <w:tc>
          <w:tcPr>
            <w:tcW w:w="580" w:type="dxa"/>
            <w:vAlign w:val="bottom"/>
            <w:shd w:val="clear" w:color="auto" w:fill="E5FFFF"/>
          </w:tcPr>
          <w:p>
            <w:pPr>
              <w:spacing w:after="0"/>
              <w:rPr>
                <w:sz w:val="20"/>
                <w:szCs w:val="20"/>
                <w:color w:val="auto"/>
              </w:rPr>
            </w:pPr>
          </w:p>
        </w:tc>
        <w:tc>
          <w:tcPr>
            <w:tcW w:w="120" w:type="dxa"/>
            <w:vAlign w:val="bottom"/>
            <w:shd w:val="clear" w:color="auto" w:fill="E5FFFF"/>
          </w:tcPr>
          <w:p>
            <w:pPr>
              <w:spacing w:after="0"/>
              <w:rPr>
                <w:sz w:val="20"/>
                <w:szCs w:val="20"/>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(78,000)</w:t>
            </w: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Maturity of short-term investments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79,000</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4,500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Financial income received</w:t>
            </w:r>
          </w:p>
        </w:tc>
        <w:tc>
          <w:tcPr>
            <w:tcW w:w="580" w:type="dxa"/>
            <w:vAlign w:val="bottom"/>
            <w:tcBorders>
              <w:bottom w:val="single" w:sz="8" w:color="E5FFFF"/>
            </w:tcBorders>
            <w:shd w:val="clear" w:color="auto" w:fill="E5FFFF"/>
          </w:tcPr>
          <w:p>
            <w:pPr>
              <w:spacing w:after="0"/>
              <w:rPr>
                <w:sz w:val="18"/>
                <w:szCs w:val="18"/>
                <w:color w:val="auto"/>
              </w:rPr>
            </w:pPr>
          </w:p>
        </w:tc>
        <w:tc>
          <w:tcPr>
            <w:tcW w:w="120" w:type="dxa"/>
            <w:vAlign w:val="bottom"/>
            <w:tcBorders>
              <w:bottom w:val="single" w:sz="8" w:color="E5FFFF"/>
            </w:tcBorders>
            <w:shd w:val="clear" w:color="auto" w:fill="E5FFFF"/>
          </w:tcPr>
          <w:p>
            <w:pPr>
              <w:spacing w:after="0"/>
              <w:rPr>
                <w:sz w:val="18"/>
                <w:szCs w:val="18"/>
                <w:color w:val="auto"/>
              </w:rPr>
            </w:pPr>
          </w:p>
        </w:tc>
        <w:tc>
          <w:tcPr>
            <w:tcW w:w="13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4,523</w:t>
            </w:r>
          </w:p>
        </w:tc>
        <w:tc>
          <w:tcPr>
            <w:tcW w:w="220" w:type="dxa"/>
            <w:vAlign w:val="bottom"/>
            <w:tcBorders>
              <w:bottom w:val="single" w:sz="8" w:color="E5FFFF"/>
            </w:tcBorders>
            <w:shd w:val="clear" w:color="auto" w:fill="E5FFFF"/>
          </w:tcPr>
          <w:p>
            <w:pPr>
              <w:spacing w:after="0"/>
              <w:rPr>
                <w:sz w:val="18"/>
                <w:szCs w:val="18"/>
                <w:color w:val="auto"/>
              </w:rPr>
            </w:pPr>
          </w:p>
        </w:tc>
        <w:tc>
          <w:tcPr>
            <w:tcW w:w="1360" w:type="dxa"/>
            <w:vAlign w:val="bottom"/>
            <w:tcBorders>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803</w:t>
            </w:r>
          </w:p>
        </w:tc>
        <w:tc>
          <w:tcPr>
            <w:tcW w:w="80" w:type="dxa"/>
            <w:vAlign w:val="bottom"/>
            <w:tcBorders>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used in investing activities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(430,263)</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(537,202)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75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5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spacing w:after="0"/>
              <w:rPr>
                <w:sz w:val="18"/>
                <w:szCs w:val="18"/>
                <w:color w:val="auto"/>
              </w:rPr>
            </w:pPr>
          </w:p>
        </w:tc>
        <w:tc>
          <w:tcPr>
            <w:tcW w:w="20" w:type="dxa"/>
            <w:vAlign w:val="bottom"/>
            <w:tcBorders>
              <w:top w:val="single" w:sz="8" w:color="E5FFFF"/>
            </w:tcBorders>
            <w:shd w:val="clear" w:color="auto" w:fill="E5FFFF"/>
          </w:tcPr>
          <w:p>
            <w:pPr>
              <w:spacing w:after="0"/>
              <w:rPr>
                <w:sz w:val="18"/>
                <w:szCs w:val="18"/>
                <w:color w:val="auto"/>
              </w:rPr>
            </w:pPr>
          </w:p>
        </w:tc>
        <w:tc>
          <w:tcPr>
            <w:tcW w:w="80" w:type="dxa"/>
            <w:vAlign w:val="bottom"/>
            <w:tcBorders>
              <w:top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bank loans and bonds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807,180</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1,678,938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Bank loan and bond repayments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(519,379)</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(1,318,416)</w:t>
            </w:r>
          </w:p>
        </w:tc>
        <w:tc>
          <w:tcPr>
            <w:tcW w:w="0" w:type="dxa"/>
            <w:vAlign w:val="bottom"/>
          </w:tcPr>
          <w:p>
            <w:pPr>
              <w:spacing w:after="0"/>
              <w:rPr>
                <w:sz w:val="1"/>
                <w:szCs w:val="1"/>
                <w:color w:val="auto"/>
              </w:rPr>
            </w:pPr>
          </w:p>
        </w:tc>
      </w:tr>
      <w:tr>
        <w:trPr>
          <w:trHeight w:val="208"/>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for bond repurchase at a premium</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for interest rate swaps termination</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(26,867)</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31,622</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loan issuance costs</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9"/>
                <w:szCs w:val="19"/>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(11,269)</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(25,657)</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of equity raising costs</w:t>
            </w:r>
          </w:p>
        </w:tc>
        <w:tc>
          <w:tcPr>
            <w:tcW w:w="580" w:type="dxa"/>
            <w:vAlign w:val="bottom"/>
            <w:vMerge w:val="restart"/>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13</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(1,584)</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(816)</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private placement</w:t>
            </w:r>
          </w:p>
        </w:tc>
        <w:tc>
          <w:tcPr>
            <w:tcW w:w="580" w:type="dxa"/>
            <w:vAlign w:val="bottom"/>
            <w:vMerge w:val="continue"/>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36,000</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Dividends paid</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(119,993)</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(74,857)</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 for cross currency swaps’ (“CCS”) termination</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(4,051)</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Purchase of treasury shares or GasLog Partners’ common units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(23,782)</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(2,996)</w:t>
            </w: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Payments for lease liability</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6"/>
                <w:szCs w:val="16"/>
                <w:color w:val="auto"/>
              </w:rPr>
              <w:t>(7,368)</w:t>
            </w:r>
          </w:p>
        </w:tc>
        <w:tc>
          <w:tcPr>
            <w:tcW w:w="1440" w:type="dxa"/>
            <w:vAlign w:val="bottom"/>
            <w:gridSpan w:val="3"/>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color w:val="auto"/>
              </w:rPr>
              <w:t>(8,225)</w:t>
            </w:r>
          </w:p>
        </w:tc>
        <w:tc>
          <w:tcPr>
            <w:tcW w:w="0" w:type="dxa"/>
            <w:vAlign w:val="bottom"/>
          </w:tcPr>
          <w:p>
            <w:pPr>
              <w:spacing w:after="0"/>
              <w:rPr>
                <w:sz w:val="1"/>
                <w:szCs w:val="1"/>
                <w:color w:val="auto"/>
              </w:rPr>
            </w:pPr>
          </w:p>
        </w:tc>
      </w:tr>
      <w:tr>
        <w:trPr>
          <w:trHeight w:val="212"/>
        </w:trPr>
        <w:tc>
          <w:tcPr>
            <w:tcW w:w="75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cash provided by financing activities</w:t>
            </w:r>
          </w:p>
        </w:tc>
        <w:tc>
          <w:tcPr>
            <w:tcW w:w="58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123,805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282,738</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Effects of exchange rate changes on cash and cash equivalents</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(373)</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(2,138)</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75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Decrease in cash and cash equivalents</w:t>
            </w:r>
          </w:p>
        </w:tc>
        <w:tc>
          <w:tcPr>
            <w:tcW w:w="58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(159,012)</w:t>
            </w:r>
          </w:p>
        </w:tc>
        <w:tc>
          <w:tcPr>
            <w:tcW w:w="2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(90,277)</w:t>
            </w:r>
          </w:p>
        </w:tc>
        <w:tc>
          <w:tcPr>
            <w:tcW w:w="100" w:type="dxa"/>
            <w:vAlign w:val="bottom"/>
            <w:tcBorders>
              <w:top w:val="single" w:sz="8" w:color="E5FFFF"/>
            </w:tcBorders>
            <w:gridSpan w:val="2"/>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54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Cash and cash equivalents, beginning of the period</w:t>
            </w:r>
          </w:p>
        </w:tc>
        <w:tc>
          <w:tcPr>
            <w:tcW w:w="580" w:type="dxa"/>
            <w:vAlign w:val="bottom"/>
            <w:tcBorders>
              <w:top w:val="single" w:sz="8" w:color="E5FFFF"/>
              <w:bottom w:val="single" w:sz="8" w:color="E5FFFF"/>
            </w:tcBorders>
            <w:shd w:val="clear" w:color="auto" w:fill="E5FFFF"/>
          </w:tcPr>
          <w:p>
            <w:pPr>
              <w:spacing w:after="0"/>
              <w:rPr>
                <w:sz w:val="18"/>
                <w:szCs w:val="18"/>
                <w:color w:val="auto"/>
              </w:rPr>
            </w:pPr>
          </w:p>
        </w:tc>
        <w:tc>
          <w:tcPr>
            <w:tcW w:w="1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342,594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60" w:type="dxa"/>
            <w:vAlign w:val="bottom"/>
            <w:tcBorders>
              <w:top w:val="single" w:sz="8" w:color="auto"/>
              <w:bottom w:val="single" w:sz="8" w:color="auto"/>
            </w:tcBorders>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263,747</w:t>
            </w:r>
          </w:p>
        </w:tc>
        <w:tc>
          <w:tcPr>
            <w:tcW w:w="80" w:type="dxa"/>
            <w:vAlign w:val="bottom"/>
            <w:tcBorders>
              <w:top w:val="single" w:sz="8" w:color="E5FFFF"/>
              <w:bottom w:val="single" w:sz="8" w:color="E5FFFF"/>
            </w:tcBorders>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Cash and cash equivalents, end of the period</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183,582</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173,470</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r>
        <w:trPr>
          <w:trHeight w:val="426"/>
        </w:trPr>
        <w:tc>
          <w:tcPr>
            <w:tcW w:w="75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Non-cash investing and financing activities</w:t>
            </w:r>
          </w:p>
        </w:tc>
        <w:tc>
          <w:tcPr>
            <w:tcW w:w="580" w:type="dxa"/>
            <w:vAlign w:val="bottom"/>
            <w:tcBorders>
              <w:top w:val="single" w:sz="8" w:color="E5FFFF"/>
            </w:tcBorders>
            <w:shd w:val="clear" w:color="auto" w:fill="E5FFFF"/>
          </w:tcPr>
          <w:p>
            <w:pPr>
              <w:spacing w:after="0"/>
              <w:rPr>
                <w:sz w:val="24"/>
                <w:szCs w:val="24"/>
                <w:color w:val="auto"/>
              </w:rPr>
            </w:pPr>
          </w:p>
        </w:tc>
        <w:tc>
          <w:tcPr>
            <w:tcW w:w="120" w:type="dxa"/>
            <w:vAlign w:val="bottom"/>
            <w:tcBorders>
              <w:top w:val="single" w:sz="8" w:color="E5FFFF"/>
            </w:tcBorders>
            <w:shd w:val="clear" w:color="auto" w:fill="E5FFFF"/>
          </w:tcPr>
          <w:p>
            <w:pPr>
              <w:spacing w:after="0"/>
              <w:rPr>
                <w:sz w:val="24"/>
                <w:szCs w:val="24"/>
                <w:color w:val="auto"/>
              </w:rPr>
            </w:pPr>
          </w:p>
        </w:tc>
        <w:tc>
          <w:tcPr>
            <w:tcW w:w="1340" w:type="dxa"/>
            <w:vAlign w:val="bottom"/>
            <w:tcBorders>
              <w:top w:val="single" w:sz="8" w:color="auto"/>
            </w:tcBorders>
            <w:shd w:val="clear" w:color="auto" w:fill="E5FFFF"/>
          </w:tcPr>
          <w:p>
            <w:pPr>
              <w:spacing w:after="0"/>
              <w:rPr>
                <w:sz w:val="24"/>
                <w:szCs w:val="24"/>
                <w:color w:val="auto"/>
              </w:rPr>
            </w:pPr>
          </w:p>
        </w:tc>
        <w:tc>
          <w:tcPr>
            <w:tcW w:w="220" w:type="dxa"/>
            <w:vAlign w:val="bottom"/>
            <w:tcBorders>
              <w:top w:val="single" w:sz="8" w:color="E5FFFF"/>
            </w:tcBorders>
            <w:shd w:val="clear" w:color="auto" w:fill="E5FFFF"/>
          </w:tcPr>
          <w:p>
            <w:pPr>
              <w:spacing w:after="0"/>
              <w:rPr>
                <w:sz w:val="24"/>
                <w:szCs w:val="24"/>
                <w:color w:val="auto"/>
              </w:rPr>
            </w:pPr>
          </w:p>
        </w:tc>
        <w:tc>
          <w:tcPr>
            <w:tcW w:w="1340" w:type="dxa"/>
            <w:vAlign w:val="bottom"/>
            <w:tcBorders>
              <w:top w:val="single" w:sz="8" w:color="auto"/>
            </w:tcBorders>
            <w:shd w:val="clear" w:color="auto" w:fill="E5FFFF"/>
          </w:tcPr>
          <w:p>
            <w:pPr>
              <w:spacing w:after="0"/>
              <w:rPr>
                <w:sz w:val="24"/>
                <w:szCs w:val="24"/>
                <w:color w:val="auto"/>
              </w:rPr>
            </w:pPr>
          </w:p>
        </w:tc>
        <w:tc>
          <w:tcPr>
            <w:tcW w:w="20" w:type="dxa"/>
            <w:vAlign w:val="bottom"/>
            <w:tcBorders>
              <w:top w:val="single" w:sz="8" w:color="E5FFFF"/>
            </w:tcBorders>
            <w:shd w:val="clear" w:color="auto" w:fill="E5FFFF"/>
          </w:tcPr>
          <w:p>
            <w:pPr>
              <w:spacing w:after="0"/>
              <w:rPr>
                <w:sz w:val="24"/>
                <w:szCs w:val="24"/>
                <w:color w:val="auto"/>
              </w:rPr>
            </w:pPr>
          </w:p>
        </w:tc>
        <w:tc>
          <w:tcPr>
            <w:tcW w:w="80" w:type="dxa"/>
            <w:vAlign w:val="bottom"/>
            <w:tcBorders>
              <w:top w:val="single" w:sz="8" w:color="E5FFFF"/>
            </w:tcBorders>
            <w:shd w:val="clear" w:color="auto" w:fill="E5FF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15,705</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18,251</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Capital expenditures included in liabilities at the end of the period – Right-of-use assets</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220" w:type="dxa"/>
            <w:vAlign w:val="bottom"/>
            <w:shd w:val="clear" w:color="auto" w:fill="E5FFFF"/>
          </w:tcPr>
          <w:p>
            <w:pPr>
              <w:spacing w:after="0"/>
              <w:rPr>
                <w:sz w:val="19"/>
                <w:szCs w:val="19"/>
                <w:color w:val="auto"/>
              </w:rPr>
            </w:pPr>
          </w:p>
        </w:tc>
        <w:tc>
          <w:tcPr>
            <w:tcW w:w="1440" w:type="dxa"/>
            <w:vAlign w:val="bottom"/>
            <w:gridSpan w:val="3"/>
            <w:shd w:val="clear" w:color="auto" w:fill="E5FF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10"/>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Equity raising costs included in liabilities at the end of the period</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344</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Loan issuance costs included in liabilities at the end of the period</w:t>
            </w:r>
          </w:p>
        </w:tc>
        <w:tc>
          <w:tcPr>
            <w:tcW w:w="580" w:type="dxa"/>
            <w:vAlign w:val="bottom"/>
            <w:shd w:val="clear" w:color="auto" w:fill="E5FFFF"/>
          </w:tcPr>
          <w:p>
            <w:pPr>
              <w:jc w:val="center"/>
              <w:ind w:left="59"/>
              <w:spacing w:after="0"/>
              <w:rPr>
                <w:sz w:val="20"/>
                <w:szCs w:val="20"/>
                <w:color w:val="auto"/>
              </w:rPr>
            </w:pPr>
            <w:r>
              <w:rPr>
                <w:rFonts w:ascii="Times New Roman" w:cs="Times New Roman" w:eastAsia="Times New Roman" w:hAnsi="Times New Roman"/>
                <w:sz w:val="16"/>
                <w:szCs w:val="16"/>
                <w:color w:val="auto"/>
                <w:w w:val="99"/>
              </w:rPr>
              <w:t>17</w:t>
            </w: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1,606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Dividend declared included in liabilities at the end of the period</w:t>
            </w:r>
          </w:p>
        </w:tc>
        <w:tc>
          <w:tcPr>
            <w:tcW w:w="58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22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2,516</w:t>
            </w:r>
          </w:p>
        </w:tc>
        <w:tc>
          <w:tcPr>
            <w:tcW w:w="80" w:type="dxa"/>
            <w:vAlign w:val="bottom"/>
            <w:shd w:val="clear" w:color="auto" w:fill="E5FF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75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Liabilities related to leases at the end of the period</w:t>
            </w:r>
          </w:p>
        </w:tc>
        <w:tc>
          <w:tcPr>
            <w:tcW w:w="580" w:type="dxa"/>
            <w:vAlign w:val="bottom"/>
            <w:shd w:val="clear" w:color="auto" w:fill="E5FFFF"/>
          </w:tcPr>
          <w:p>
            <w:pPr>
              <w:spacing w:after="0"/>
              <w:rPr>
                <w:sz w:val="19"/>
                <w:szCs w:val="19"/>
                <w:color w:val="auto"/>
              </w:rPr>
            </w:pPr>
          </w:p>
        </w:tc>
        <w:tc>
          <w:tcPr>
            <w:tcW w:w="1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22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20"/>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E5FF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-7654290</wp:posOffset>
            </wp:positionV>
            <wp:extent cx="7132320" cy="13716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-7379970</wp:posOffset>
            </wp:positionV>
            <wp:extent cx="713232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-7105650</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-6831330</wp:posOffset>
            </wp:positionV>
            <wp:extent cx="713232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-6557010</wp:posOffset>
            </wp:positionV>
            <wp:extent cx="713232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-6282690</wp:posOffset>
            </wp:positionV>
            <wp:extent cx="7132320" cy="25717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25717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-5888355</wp:posOffset>
            </wp:positionV>
            <wp:extent cx="713232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-5596890</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-5305425</wp:posOffset>
            </wp:positionV>
            <wp:extent cx="713232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-5013960</wp:posOffset>
            </wp:positionV>
            <wp:extent cx="713232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-4739640</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-4465320</wp:posOffset>
            </wp:positionV>
            <wp:extent cx="71323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-4191000</wp:posOffset>
            </wp:positionV>
            <wp:extent cx="71323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-3916680</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-3634105</wp:posOffset>
            </wp:positionV>
            <wp:extent cx="7132320" cy="1460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-3350895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-3076575</wp:posOffset>
            </wp:positionV>
            <wp:extent cx="7132320" cy="1371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-2802255</wp:posOffset>
            </wp:positionV>
            <wp:extent cx="7132320" cy="13716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-2528570</wp:posOffset>
            </wp:positionV>
            <wp:extent cx="7132320" cy="1371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-2253615</wp:posOffset>
            </wp:positionV>
            <wp:extent cx="713232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-1979295</wp:posOffset>
            </wp:positionV>
            <wp:extent cx="713232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-1696720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-1405255</wp:posOffset>
            </wp:positionV>
            <wp:extent cx="713232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-1104900</wp:posOffset>
            </wp:positionV>
            <wp:extent cx="713232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-822325</wp:posOffset>
            </wp:positionV>
            <wp:extent cx="7132320" cy="1371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these unaudited condensed consolidated financial statements.</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91" w:right="339" w:bottom="515"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6"/>
          <w:szCs w:val="16"/>
          <w:b w:val="1"/>
          <w:bCs w:val="1"/>
          <w:color w:val="auto"/>
        </w:rPr>
        <w:t>GasLog Ltd. and its Subsidiaries</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Notes to the unaudited condensed consolidated financial statements</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 the nine months ended September 30, 2019 and 2020</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(Amounts expressed in thousands of U.S. Dollars, except share and per share data)</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 Organization and Operations</w:t>
      </w:r>
    </w:p>
    <w:p>
      <w:pPr>
        <w:spacing w:after="0" w:line="23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GasLog Ltd. (“GasLog”) was incorporated in Bermuda on July 16, 2003. GasLog and its subsidiaries (the “Group”) are primarily engaged in the ownership, operation and management of vessels in the liquefied natural gas (“LNG”) market, providing maritime services for the transportation of LNG on a worldwide basis and LNG vessel management services. The Group conducts its operations through its vessel-owning subsidiaries and through its vessel management services subsidiary. The Group’s operations are carried out from offices in Piraeus, London and Singapore. The registered office of GasLog is Clarendon House, 2 Church Street, Hamilton HM 11, Bermuda. GasLog’s chairman, Peter G. Livanos, is GasLog’s largest shareholder through his ownership of Ceres Shipping Ltd. (“Ceres Shipping”), which controls Blenheim Holdings Ltd. As of September 30, 2020, entities controlled by members of the Livanos family, including GasLog’s chairman, are deemed to beneficially own approximately 41.3% of GasLog’s issued and outstanding common shares. As a result of his ownership of GasLog’s common shares, Mr. Livanos can effectively control the outcome of most matters on which GasLog’s shareholders are entitled to vote.</w:t>
      </w:r>
    </w:p>
    <w:p>
      <w:pPr>
        <w:spacing w:after="0" w:line="186"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6"/>
          <w:szCs w:val="16"/>
          <w:color w:val="auto"/>
        </w:rPr>
        <w:t>As of September 30, 2020, GasLog held a 35.3% ownership interest (including the 2% interest through general partner units) in GasLog Partners LP (“GasLog Partners” or the “Partnership”) and, as a result of its ownership of the general partner and the fact that the general partner elects the majority of the Partnership’s directors in accordance with the Partnership Agreement, GasLog has the ability to control the Partnership’s affairs and policies. Consequently, GasLog Partners is consolidated in the Group’s financial statements.</w:t>
      </w:r>
    </w:p>
    <w:p>
      <w:pPr>
        <w:spacing w:after="0" w:line="183"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6"/>
          <w:szCs w:val="16"/>
          <w:color w:val="auto"/>
        </w:rPr>
        <w:t>The accompanying unaudited condensed consolidated financial statements include the financial statements of GasLog and its subsidiaries. All subsidiaries included in the unaudited condensed consolidated financial statements are 100% held (either directly or indirectly) by GasLog, except for GasLog Partners and its subsidiaries. In comparison to the Group’s structure for the year ended December 31, 2019, no new subsidiaries were established or acquired in the three and nine months ended September 30, 2020.</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 Basis of Presentation</w:t>
      </w:r>
    </w:p>
    <w:p>
      <w:pPr>
        <w:spacing w:after="0" w:line="235" w:lineRule="exact"/>
        <w:rPr>
          <w:sz w:val="20"/>
          <w:szCs w:val="20"/>
          <w:color w:val="auto"/>
        </w:rPr>
      </w:pPr>
    </w:p>
    <w:p>
      <w:pPr>
        <w:jc w:val="both"/>
        <w:ind w:right="80" w:firstLine="324"/>
        <w:spacing w:after="0" w:line="276" w:lineRule="auto"/>
        <w:rPr>
          <w:sz w:val="20"/>
          <w:szCs w:val="20"/>
          <w:color w:val="auto"/>
        </w:rPr>
      </w:pPr>
      <w:r>
        <w:rPr>
          <w:rFonts w:ascii="Times New Roman" w:cs="Times New Roman" w:eastAsia="Times New Roman" w:hAnsi="Times New Roman"/>
          <w:sz w:val="16"/>
          <w:szCs w:val="16"/>
          <w:color w:val="auto"/>
        </w:rPr>
        <w:t xml:space="preserve">These unaudited condensed consolidated financial statements have been prepared in accordance with International Accounting Standard (“IAS”) 34 </w:t>
      </w:r>
      <w:r>
        <w:rPr>
          <w:rFonts w:ascii="Times New Roman" w:cs="Times New Roman" w:eastAsia="Times New Roman" w:hAnsi="Times New Roman"/>
          <w:sz w:val="16"/>
          <w:szCs w:val="16"/>
          <w:i w:val="1"/>
          <w:iCs w:val="1"/>
          <w:color w:val="auto"/>
        </w:rPr>
        <w:t>Interim Financial</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Reporting </w:t>
      </w:r>
      <w:r>
        <w:rPr>
          <w:rFonts w:ascii="Times New Roman" w:cs="Times New Roman" w:eastAsia="Times New Roman" w:hAnsi="Times New Roman"/>
          <w:sz w:val="16"/>
          <w:szCs w:val="16"/>
          <w:color w:val="auto"/>
        </w:rPr>
        <w:t>as issued by the International Accounting Standards Board (“IASB”). Certain information and footnote disclosures required by IFRS for a complete set of annual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financial statements have been omitted, and, therefore, these unaudited condensed consolidated financial statements should be read in conjunction with the Group’s annual consolidated financial statements as of and for the year ended December 31, 2019 filed with the SEC on March 6, 2020.</w:t>
      </w:r>
    </w:p>
    <w:p>
      <w:pPr>
        <w:spacing w:after="0" w:line="182" w:lineRule="exact"/>
        <w:rPr>
          <w:sz w:val="20"/>
          <w:szCs w:val="20"/>
          <w:color w:val="auto"/>
        </w:rPr>
      </w:pPr>
    </w:p>
    <w:p>
      <w:pPr>
        <w:ind w:right="320" w:firstLine="324"/>
        <w:spacing w:after="0" w:line="298" w:lineRule="auto"/>
        <w:rPr>
          <w:sz w:val="20"/>
          <w:szCs w:val="20"/>
          <w:color w:val="auto"/>
        </w:rPr>
      </w:pPr>
      <w:r>
        <w:rPr>
          <w:rFonts w:ascii="Times New Roman" w:cs="Times New Roman" w:eastAsia="Times New Roman" w:hAnsi="Times New Roman"/>
          <w:sz w:val="16"/>
          <w:szCs w:val="16"/>
          <w:color w:val="auto"/>
        </w:rPr>
        <w:t>The critical accounting judgments and key sources of estimation uncertainty were disclosed in the Company’s annual consolidated financial statements for the year ended December 31, 2019 and remain unchanged.</w:t>
      </w:r>
    </w:p>
    <w:p>
      <w:pPr>
        <w:spacing w:after="0" w:line="164" w:lineRule="exact"/>
        <w:rPr>
          <w:sz w:val="20"/>
          <w:szCs w:val="20"/>
          <w:color w:val="auto"/>
        </w:rPr>
      </w:pPr>
    </w:p>
    <w:p>
      <w:pPr>
        <w:ind w:right="100" w:firstLine="324"/>
        <w:spacing w:after="0" w:line="281" w:lineRule="auto"/>
        <w:rPr>
          <w:sz w:val="20"/>
          <w:szCs w:val="20"/>
          <w:color w:val="auto"/>
        </w:rPr>
      </w:pPr>
      <w:r>
        <w:rPr>
          <w:rFonts w:ascii="Times New Roman" w:cs="Times New Roman" w:eastAsia="Times New Roman" w:hAnsi="Times New Roman"/>
          <w:sz w:val="16"/>
          <w:szCs w:val="16"/>
          <w:color w:val="auto"/>
        </w:rPr>
        <w:t>The unaudited condensed consolidated financial statements are expressed in U.S. dollars (“USD”), which is the functional currency of all of the subsidiaries in the Group because their vessels operate in international shipping markets in which revenues and expenses are primarily settled in USD, and the Group’s most significant assets and liabilities are paid for and settled in USD.</w:t>
      </w:r>
    </w:p>
    <w:p>
      <w:pPr>
        <w:spacing w:after="0" w:line="177" w:lineRule="exact"/>
        <w:rPr>
          <w:sz w:val="20"/>
          <w:szCs w:val="20"/>
          <w:color w:val="auto"/>
        </w:rPr>
      </w:pPr>
    </w:p>
    <w:p>
      <w:pPr>
        <w:jc w:val="both"/>
        <w:ind w:right="380" w:firstLine="324"/>
        <w:spacing w:after="0" w:line="281" w:lineRule="auto"/>
        <w:rPr>
          <w:sz w:val="20"/>
          <w:szCs w:val="20"/>
          <w:color w:val="auto"/>
        </w:rPr>
      </w:pPr>
      <w:r>
        <w:rPr>
          <w:rFonts w:ascii="Times New Roman" w:cs="Times New Roman" w:eastAsia="Times New Roman" w:hAnsi="Times New Roman"/>
          <w:sz w:val="16"/>
          <w:szCs w:val="16"/>
          <w:color w:val="auto"/>
        </w:rPr>
        <w:t>The financial statements are prepared on the historical cost basis, except for the revaluation of derivative financial instruments. The same accounting policies and methods of computation have been followed in these unaudited condensed consolidated financial statements as were applied in the preparation of the Group’s financial statements for the year ended December 31, 2019.</w:t>
      </w:r>
    </w:p>
    <w:p>
      <w:pPr>
        <w:spacing w:after="0" w:line="17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On November 10, 2020, GasLog’s board of directors authorized the unaudited condensed consolidated financial statements for issuance.</w:t>
      </w:r>
    </w:p>
    <w:p>
      <w:pPr>
        <w:spacing w:after="0" w:line="225" w:lineRule="exact"/>
        <w:rPr>
          <w:sz w:val="20"/>
          <w:szCs w:val="20"/>
          <w:color w:val="auto"/>
        </w:rPr>
      </w:pPr>
    </w:p>
    <w:p>
      <w:pPr>
        <w:ind w:firstLine="324"/>
        <w:spacing w:after="0" w:line="252" w:lineRule="auto"/>
        <w:rPr>
          <w:sz w:val="20"/>
          <w:szCs w:val="20"/>
          <w:color w:val="auto"/>
        </w:rPr>
      </w:pPr>
      <w:r>
        <w:rPr>
          <w:rFonts w:ascii="Times New Roman" w:cs="Times New Roman" w:eastAsia="Times New Roman" w:hAnsi="Times New Roman"/>
          <w:sz w:val="18"/>
          <w:szCs w:val="18"/>
          <w:color w:val="auto"/>
        </w:rPr>
        <w:t>As of September 30, 2020, GasLog’s current assets totaled $241,797, while current liabilities totaled $425,550, resulting in a negative working capital position of $183,753. Current liabilities include $52,270 of unearned revenue in relation to hires received in advance of September 30, 2020 (which represents a non-cash liability that will be recognized as revenue in October as the services are rendered). In considering going concern, management has reviewed the Company’s future cash requirements, covenant compliance and earnings projections, incorporating the negative impact of the COVID-19 pandemic on near-term market rates. Management monitors the Company’s liquidity position throughout the year to ensure that it has access to sufficient funds to meet its forecast cash requirements, including newbuilding and debt service commitments, and to monitor compliance with the financial covenants within its loan and bond facilities. Taking into account current and expected volatile commercial and financial market conditions, management anticipates that our primary sources of funds over the next twelve months will be available cash, cash from operations and existing borrowings, including the credit agreements entered into on July 16, 2020 and July 30, 2020, which refinanced in full the debt maturities due in 2021, as well as the sale and leaseback transaction we concluded in October 2020 that released incremental liquidity of $26,384. Management believes that these anticipated sources of funds will be sufficient for the Company to meet its liquidity needs and to comply with its banking covenants for at least twelve months from the end of the reporting period and therefore it is appropriate to prepare the financial statements on a going concern basis. Additionally, the Company may enter into new debt facilities in the future, as well as public and/or private equity or debt instruments, although there can be no assurance that the Company will be able to obtain additional debt or equity financing on terms acceptable to the Company, which will also depend on financial, commercial and other factors, as well as a significant recovery in capital market conditions and sustainable improvement of the LNG charter market, that are beyond the Company’s control. The Company’s long-term ability to repay its debts and maintain compliance with its debt covenants beyond the next twelve months without reliance on additional sources of finance is also dependent on a sustainable longer-term recovery in the LNG charter market from the market disruption observed in the first half of 2020 as a result of the COVID-19 outbreak.</w:t>
      </w:r>
    </w:p>
    <w:p>
      <w:pPr>
        <w:spacing w:after="0" w:line="19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Company continues its constant review of the possible implications of the COVID-19 outbreak and the associated effects on the LNG</w:t>
      </w:r>
    </w:p>
    <w:p>
      <w:pPr>
        <w:spacing w:after="0" w:line="200" w:lineRule="exact"/>
        <w:rPr>
          <w:sz w:val="20"/>
          <w:szCs w:val="20"/>
          <w:color w:val="auto"/>
        </w:rPr>
      </w:pPr>
    </w:p>
    <w:p>
      <w:pPr>
        <w:spacing w:after="0" w:line="23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3" w:right="359" w:bottom="758" w:gutter="0" w:footer="0" w:header="0"/>
        </w:sectPr>
      </w:pPr>
    </w:p>
    <w:bookmarkStart w:id="34" w:name="page35"/>
    <w:bookmarkEnd w:id="34"/>
    <w:p>
      <w:pPr>
        <w:ind w:right="80"/>
        <w:spacing w:after="0" w:line="298" w:lineRule="auto"/>
        <w:rPr>
          <w:sz w:val="20"/>
          <w:szCs w:val="20"/>
          <w:color w:val="auto"/>
        </w:rPr>
      </w:pPr>
      <w:r>
        <w:rPr>
          <w:rFonts w:ascii="Times New Roman" w:cs="Times New Roman" w:eastAsia="Times New Roman" w:hAnsi="Times New Roman"/>
          <w:sz w:val="16"/>
          <w:szCs w:val="16"/>
          <w:color w:val="auto"/>
        </w:rPr>
        <w:t>shipping market to allow current assessments of the impact of the virus to be incorporated into the latest full-year estimates in order to identify risks to future liquidity and covenant compliance and to enable management to pursue corrective actions, if required.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Adoption of new and revised IFRS</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 Standards and interpretations adopted in the current period</w:t>
      </w:r>
    </w:p>
    <w:p>
      <w:pPr>
        <w:spacing w:after="0" w:line="237" w:lineRule="exact"/>
        <w:rPr>
          <w:sz w:val="20"/>
          <w:szCs w:val="20"/>
          <w:color w:val="auto"/>
        </w:rPr>
      </w:pPr>
    </w:p>
    <w:p>
      <w:pPr>
        <w:ind w:right="300" w:firstLine="324"/>
        <w:spacing w:after="0" w:line="298" w:lineRule="auto"/>
        <w:rPr>
          <w:sz w:val="20"/>
          <w:szCs w:val="20"/>
          <w:color w:val="auto"/>
        </w:rPr>
      </w:pPr>
      <w:r>
        <w:rPr>
          <w:rFonts w:ascii="Times New Roman" w:cs="Times New Roman" w:eastAsia="Times New Roman" w:hAnsi="Times New Roman"/>
          <w:sz w:val="16"/>
          <w:szCs w:val="16"/>
          <w:color w:val="auto"/>
        </w:rPr>
        <w:t>At the date of authorization of these unaudited condensed consolidated financial statements, there were no IFRS standards and amendments adopted in the current period with a material effect on the Group’s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 Standards and amendments in issue not yet adopted</w:t>
      </w:r>
    </w:p>
    <w:p>
      <w:pPr>
        <w:spacing w:after="0" w:line="235" w:lineRule="exact"/>
        <w:rPr>
          <w:sz w:val="20"/>
          <w:szCs w:val="20"/>
          <w:color w:val="auto"/>
        </w:rPr>
      </w:pPr>
    </w:p>
    <w:p>
      <w:pPr>
        <w:ind w:firstLine="324"/>
        <w:spacing w:after="0" w:line="271" w:lineRule="auto"/>
        <w:rPr>
          <w:sz w:val="20"/>
          <w:szCs w:val="20"/>
          <w:color w:val="auto"/>
        </w:rPr>
      </w:pPr>
      <w:r>
        <w:rPr>
          <w:rFonts w:ascii="Times New Roman" w:cs="Times New Roman" w:eastAsia="Times New Roman" w:hAnsi="Times New Roman"/>
          <w:sz w:val="16"/>
          <w:szCs w:val="16"/>
          <w:color w:val="auto"/>
        </w:rPr>
        <w:t xml:space="preserve">In January 2020, the IASB issued a narrow-scope amendment to IAS 1 </w:t>
      </w:r>
      <w:r>
        <w:rPr>
          <w:rFonts w:ascii="Times New Roman" w:cs="Times New Roman" w:eastAsia="Times New Roman" w:hAnsi="Times New Roman"/>
          <w:sz w:val="16"/>
          <w:szCs w:val="16"/>
          <w:i w:val="1"/>
          <w:iCs w:val="1"/>
          <w:color w:val="auto"/>
        </w:rPr>
        <w:t>Presentation of Financial Statements</w:t>
      </w:r>
      <w:r>
        <w:rPr>
          <w:rFonts w:ascii="Times New Roman" w:cs="Times New Roman" w:eastAsia="Times New Roman" w:hAnsi="Times New Roman"/>
          <w:sz w:val="16"/>
          <w:szCs w:val="16"/>
          <w:color w:val="auto"/>
        </w:rPr>
        <w:t xml:space="preserve">, to clarify that liabilities are classified as either current or non-current, depending on the rights that exist at the end of the reporting period. Classification is unaffected by the expectations of the entity or events after the reporting date (for example, the receipt of a waiver or a breach of covenant). The amendment also defines the “settlement” of a liability as the extinguishment of a liability with cash, other economic resources or an entity’s own equity instruments. The amendment will be effective for annual periods beginning on or after January 1, 2022 and should be applied retrospectively in accordance with IAS 8 </w:t>
      </w:r>
      <w:r>
        <w:rPr>
          <w:rFonts w:ascii="Times New Roman" w:cs="Times New Roman" w:eastAsia="Times New Roman" w:hAnsi="Times New Roman"/>
          <w:sz w:val="16"/>
          <w:szCs w:val="16"/>
          <w:i w:val="1"/>
          <w:iCs w:val="1"/>
          <w:color w:val="auto"/>
        </w:rPr>
        <w:t>Accounting Policies, Changes in Accounting Estimates and Errors</w:t>
      </w:r>
      <w:r>
        <w:rPr>
          <w:rFonts w:ascii="Times New Roman" w:cs="Times New Roman" w:eastAsia="Times New Roman" w:hAnsi="Times New Roman"/>
          <w:sz w:val="16"/>
          <w:szCs w:val="16"/>
          <w:color w:val="auto"/>
        </w:rPr>
        <w:t>. Earlier application is permitted. Management anticipates that this amendment will not have a material impact on the Group’s financial statements.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80" w:type="dxa"/>
            <w:vAlign w:val="bottom"/>
            <w:gridSpan w:val="5"/>
          </w:tcPr>
          <w:p>
            <w:pPr>
              <w:spacing w:after="0"/>
              <w:rPr>
                <w:sz w:val="20"/>
                <w:szCs w:val="20"/>
                <w:color w:val="auto"/>
              </w:rPr>
            </w:pPr>
            <w:r>
              <w:rPr>
                <w:rFonts w:ascii="Times New Roman" w:cs="Times New Roman" w:eastAsia="Times New Roman" w:hAnsi="Times New Roman"/>
                <w:sz w:val="16"/>
                <w:szCs w:val="16"/>
                <w:b w:val="1"/>
                <w:bCs w:val="1"/>
                <w:color w:val="auto"/>
              </w:rPr>
              <w:t>3. Investment in Associates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5480" w:type="dxa"/>
            <w:vAlign w:val="bottom"/>
            <w:gridSpan w:val="5"/>
          </w:tcPr>
          <w:p>
            <w:pPr>
              <w:ind w:left="340"/>
              <w:spacing w:after="0"/>
              <w:rPr>
                <w:sz w:val="20"/>
                <w:szCs w:val="20"/>
                <w:color w:val="auto"/>
              </w:rPr>
            </w:pPr>
            <w:r>
              <w:rPr>
                <w:rFonts w:ascii="Times New Roman" w:cs="Times New Roman" w:eastAsia="Times New Roman" w:hAnsi="Times New Roman"/>
                <w:sz w:val="16"/>
                <w:szCs w:val="16"/>
                <w:color w:val="auto"/>
              </w:rPr>
              <w:t>The movements in investment in associates are reported in the following table:</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360" w:type="dxa"/>
            <w:vAlign w:val="bottom"/>
            <w:tcBorders>
              <w:bottom w:val="single" w:sz="8" w:color="E5FFFF"/>
            </w:tcBorders>
          </w:tcPr>
          <w:p>
            <w:pPr>
              <w:spacing w:after="0"/>
              <w:rPr>
                <w:sz w:val="20"/>
                <w:szCs w:val="20"/>
                <w:color w:val="auto"/>
              </w:rPr>
            </w:pPr>
          </w:p>
        </w:tc>
        <w:tc>
          <w:tcPr>
            <w:tcW w:w="800" w:type="dxa"/>
            <w:vAlign w:val="bottom"/>
            <w:tcBorders>
              <w:bottom w:val="single" w:sz="8" w:color="E5FFFF"/>
            </w:tcBorders>
          </w:tcPr>
          <w:p>
            <w:pPr>
              <w:spacing w:after="0"/>
              <w:rPr>
                <w:sz w:val="20"/>
                <w:szCs w:val="20"/>
                <w:color w:val="auto"/>
              </w:rPr>
            </w:pPr>
          </w:p>
        </w:tc>
        <w:tc>
          <w:tcPr>
            <w:tcW w:w="860" w:type="dxa"/>
            <w:vAlign w:val="bottom"/>
            <w:tcBorders>
              <w:bottom w:val="single" w:sz="8" w:color="E5FFFF"/>
            </w:tcBorders>
          </w:tcPr>
          <w:p>
            <w:pPr>
              <w:spacing w:after="0"/>
              <w:rPr>
                <w:sz w:val="20"/>
                <w:szCs w:val="20"/>
                <w:color w:val="auto"/>
              </w:rPr>
            </w:pPr>
          </w:p>
        </w:tc>
        <w:tc>
          <w:tcPr>
            <w:tcW w:w="3180" w:type="dxa"/>
            <w:vAlign w:val="bottom"/>
            <w:tcBorders>
              <w:bottom w:val="single" w:sz="8" w:color="E5FFFF"/>
            </w:tcBorders>
          </w:tcPr>
          <w:p>
            <w:pPr>
              <w:spacing w:after="0"/>
              <w:rPr>
                <w:sz w:val="20"/>
                <w:szCs w:val="20"/>
                <w:color w:val="auto"/>
              </w:rPr>
            </w:pPr>
          </w:p>
        </w:tc>
        <w:tc>
          <w:tcPr>
            <w:tcW w:w="280" w:type="dxa"/>
            <w:vAlign w:val="bottom"/>
            <w:tcBorders>
              <w:bottom w:val="single" w:sz="8" w:color="E5FFFF"/>
            </w:tcBorders>
          </w:tcPr>
          <w:p>
            <w:pPr>
              <w:spacing w:after="0"/>
              <w:rPr>
                <w:sz w:val="20"/>
                <w:szCs w:val="20"/>
                <w:color w:val="auto"/>
              </w:rPr>
            </w:pPr>
          </w:p>
        </w:tc>
        <w:tc>
          <w:tcPr>
            <w:tcW w:w="860" w:type="dxa"/>
            <w:vAlign w:val="bottom"/>
            <w:tcBorders>
              <w:bottom w:val="single" w:sz="8" w:color="E5FFFF"/>
            </w:tcBorders>
          </w:tcPr>
          <w:p>
            <w:pPr>
              <w:spacing w:after="0"/>
              <w:rPr>
                <w:sz w:val="20"/>
                <w:szCs w:val="20"/>
                <w:color w:val="auto"/>
              </w:rPr>
            </w:pPr>
          </w:p>
        </w:tc>
        <w:tc>
          <w:tcPr>
            <w:tcW w:w="240" w:type="dxa"/>
            <w:vAlign w:val="bottom"/>
            <w:tcBorders>
              <w:bottom w:val="single" w:sz="8" w:color="E5FFFF"/>
            </w:tcBorders>
          </w:tcPr>
          <w:p>
            <w:pPr>
              <w:spacing w:after="0"/>
              <w:rPr>
                <w:sz w:val="20"/>
                <w:szCs w:val="20"/>
                <w:color w:val="auto"/>
              </w:rPr>
            </w:pPr>
          </w:p>
        </w:tc>
        <w:tc>
          <w:tcPr>
            <w:tcW w:w="1340" w:type="dxa"/>
            <w:vAlign w:val="bottom"/>
            <w:tcBorders>
              <w:bottom w:val="single" w:sz="8" w:color="E5FFFF"/>
            </w:tcBorders>
          </w:tcPr>
          <w:p>
            <w:pPr>
              <w:spacing w:after="0"/>
              <w:rPr>
                <w:sz w:val="20"/>
                <w:szCs w:val="20"/>
                <w:color w:val="auto"/>
              </w:rPr>
            </w:pPr>
          </w:p>
        </w:tc>
        <w:tc>
          <w:tcPr>
            <w:tcW w:w="220" w:type="dxa"/>
            <w:vAlign w:val="bottom"/>
            <w:tcBorders>
              <w:bottom w:val="single" w:sz="8" w:color="E5FFFF"/>
            </w:tcBorders>
          </w:tcPr>
          <w:p>
            <w:pPr>
              <w:spacing w:after="0"/>
              <w:rPr>
                <w:sz w:val="20"/>
                <w:szCs w:val="20"/>
                <w:color w:val="auto"/>
              </w:rPr>
            </w:pPr>
          </w:p>
        </w:tc>
        <w:tc>
          <w:tcPr>
            <w:tcW w:w="134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9"/>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8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21,620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Share of profit of associates</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1,576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Dividend declared</w:t>
            </w:r>
          </w:p>
        </w:tc>
        <w:tc>
          <w:tcPr>
            <w:tcW w:w="8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340" w:type="dxa"/>
            <w:vAlign w:val="bottom"/>
            <w:tcBorders>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(1,275)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7"/>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21,921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32"/>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4. Tangible Fixed Assets and Vessels Under Construction</w:t>
            </w: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3"/>
        </w:trPr>
        <w:tc>
          <w:tcPr>
            <w:tcW w:w="8140" w:type="dxa"/>
            <w:vAlign w:val="bottom"/>
            <w:gridSpan w:val="9"/>
          </w:tcPr>
          <w:p>
            <w:pPr>
              <w:ind w:left="340"/>
              <w:spacing w:after="0"/>
              <w:rPr>
                <w:sz w:val="20"/>
                <w:szCs w:val="20"/>
                <w:color w:val="auto"/>
              </w:rPr>
            </w:pPr>
            <w:r>
              <w:rPr>
                <w:rFonts w:ascii="Times New Roman" w:cs="Times New Roman" w:eastAsia="Times New Roman" w:hAnsi="Times New Roman"/>
                <w:sz w:val="16"/>
                <w:szCs w:val="16"/>
                <w:color w:val="auto"/>
              </w:rPr>
              <w:t>The movements in tangible fixed assets and vessels under construction are reported in the following table:</w:t>
            </w: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6"/>
        </w:trPr>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Office property</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7"/>
              </w:rPr>
              <w:t>Total</w:t>
            </w: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and other</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tangible fixed</w:t>
            </w:r>
          </w:p>
        </w:tc>
        <w:tc>
          <w:tcPr>
            <w:tcW w:w="100" w:type="dxa"/>
            <w:vAlign w:val="bottom"/>
          </w:tcPr>
          <w:p>
            <w:pPr>
              <w:spacing w:after="0"/>
              <w:rPr>
                <w:sz w:val="18"/>
                <w:szCs w:val="18"/>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8"/>
              </w:rPr>
              <w:t>Vessels under</w:t>
            </w:r>
          </w:p>
        </w:tc>
      </w:tr>
      <w:tr>
        <w:trPr>
          <w:trHeight w:val="238"/>
        </w:trPr>
        <w:tc>
          <w:tcPr>
            <w:tcW w:w="3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gridSpan w:val="2"/>
          </w:tcPr>
          <w:p>
            <w:pPr>
              <w:jc w:val="right"/>
              <w:ind w:right="540"/>
              <w:spacing w:after="0"/>
              <w:rPr>
                <w:sz w:val="20"/>
                <w:szCs w:val="20"/>
                <w:color w:val="auto"/>
              </w:rPr>
            </w:pPr>
            <w:r>
              <w:rPr>
                <w:rFonts w:ascii="Times New Roman" w:cs="Times New Roman" w:eastAsia="Times New Roman" w:hAnsi="Times New Roman"/>
                <w:sz w:val="18"/>
                <w:szCs w:val="18"/>
                <w:b w:val="1"/>
                <w:bCs w:val="1"/>
                <w:color w:val="auto"/>
                <w:w w:val="98"/>
              </w:rPr>
              <w:t>Vessels</w:t>
            </w:r>
          </w:p>
        </w:tc>
        <w:tc>
          <w:tcPr>
            <w:tcW w:w="15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tangible assets</w:t>
            </w:r>
          </w:p>
        </w:tc>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assets</w:t>
            </w:r>
          </w:p>
        </w:tc>
        <w:tc>
          <w:tcPr>
            <w:tcW w:w="100" w:type="dxa"/>
            <w:vAlign w:val="bottom"/>
          </w:tcPr>
          <w:p>
            <w:pPr>
              <w:spacing w:after="0"/>
              <w:rPr>
                <w:sz w:val="20"/>
                <w:szCs w:val="20"/>
                <w:color w:val="auto"/>
              </w:rPr>
            </w:pPr>
          </w:p>
        </w:tc>
        <w:tc>
          <w:tcPr>
            <w:tcW w:w="14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construction</w:t>
            </w:r>
          </w:p>
        </w:tc>
      </w:tr>
      <w:tr>
        <w:trPr>
          <w:trHeight w:val="189"/>
        </w:trPr>
        <w:tc>
          <w:tcPr>
            <w:tcW w:w="360" w:type="dxa"/>
            <w:vAlign w:val="bottom"/>
            <w:tcBorders>
              <w:top w:val="single" w:sz="8" w:color="E5FFFF"/>
              <w:bottom w:val="single" w:sz="8" w:color="auto"/>
            </w:tcBorders>
            <w:shd w:val="clear" w:color="auto" w:fill="E5FFFF"/>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7"/>
              </w:rPr>
              <w:t>Cost</w:t>
            </w:r>
          </w:p>
        </w:tc>
        <w:tc>
          <w:tcPr>
            <w:tcW w:w="4840" w:type="dxa"/>
            <w:vAlign w:val="bottom"/>
            <w:tcBorders>
              <w:top w:val="single" w:sz="8" w:color="E5FFFF"/>
              <w:bottom w:val="single" w:sz="8" w:color="E5FFFF"/>
            </w:tcBorders>
            <w:gridSpan w:val="3"/>
            <w:shd w:val="clear" w:color="auto" w:fill="E5FFFF"/>
          </w:tcPr>
          <w:p>
            <w:pPr>
              <w:spacing w:after="0"/>
              <w:rPr>
                <w:sz w:val="16"/>
                <w:szCs w:val="16"/>
                <w:color w:val="auto"/>
              </w:rPr>
            </w:pPr>
          </w:p>
        </w:tc>
        <w:tc>
          <w:tcPr>
            <w:tcW w:w="280" w:type="dxa"/>
            <w:vAlign w:val="bottom"/>
            <w:tcBorders>
              <w:top w:val="single" w:sz="8" w:color="auto"/>
              <w:bottom w:val="single" w:sz="8" w:color="E5FFFF"/>
            </w:tcBorders>
            <w:shd w:val="clear" w:color="auto" w:fill="E5FFFF"/>
          </w:tcPr>
          <w:p>
            <w:pPr>
              <w:spacing w:after="0"/>
              <w:rPr>
                <w:sz w:val="16"/>
                <w:szCs w:val="16"/>
                <w:color w:val="auto"/>
              </w:rPr>
            </w:pPr>
          </w:p>
        </w:tc>
        <w:tc>
          <w:tcPr>
            <w:tcW w:w="860" w:type="dxa"/>
            <w:vAlign w:val="bottom"/>
            <w:tcBorders>
              <w:top w:val="single" w:sz="8" w:color="auto"/>
              <w:bottom w:val="single" w:sz="8" w:color="E5FFFF"/>
            </w:tcBorders>
            <w:shd w:val="clear" w:color="auto" w:fill="E5FFFF"/>
          </w:tcPr>
          <w:p>
            <w:pPr>
              <w:spacing w:after="0"/>
              <w:rPr>
                <w:sz w:val="16"/>
                <w:szCs w:val="16"/>
                <w:color w:val="auto"/>
              </w:rPr>
            </w:pPr>
          </w:p>
        </w:tc>
        <w:tc>
          <w:tcPr>
            <w:tcW w:w="240" w:type="dxa"/>
            <w:vAlign w:val="bottom"/>
            <w:tcBorders>
              <w:top w:val="single" w:sz="8" w:color="E5FFFF"/>
              <w:bottom w:val="single" w:sz="8" w:color="E5FFFF"/>
            </w:tcBorders>
            <w:shd w:val="clear" w:color="auto" w:fill="E5FFFF"/>
          </w:tcPr>
          <w:p>
            <w:pPr>
              <w:spacing w:after="0"/>
              <w:rPr>
                <w:sz w:val="16"/>
                <w:szCs w:val="16"/>
                <w:color w:val="auto"/>
              </w:rPr>
            </w:pPr>
          </w:p>
        </w:tc>
        <w:tc>
          <w:tcPr>
            <w:tcW w:w="1340" w:type="dxa"/>
            <w:vAlign w:val="bottom"/>
            <w:tcBorders>
              <w:top w:val="single" w:sz="8" w:color="auto"/>
              <w:bottom w:val="single" w:sz="8" w:color="E5FFFF"/>
            </w:tcBorders>
            <w:shd w:val="clear" w:color="auto" w:fill="E5FFFF"/>
          </w:tcPr>
          <w:p>
            <w:pPr>
              <w:spacing w:after="0"/>
              <w:rPr>
                <w:sz w:val="16"/>
                <w:szCs w:val="16"/>
                <w:color w:val="auto"/>
              </w:rPr>
            </w:pPr>
          </w:p>
        </w:tc>
        <w:tc>
          <w:tcPr>
            <w:tcW w:w="220" w:type="dxa"/>
            <w:vAlign w:val="bottom"/>
            <w:tcBorders>
              <w:top w:val="single" w:sz="8" w:color="E5FFFF"/>
              <w:bottom w:val="single" w:sz="8" w:color="E5FFFF"/>
            </w:tcBorders>
            <w:shd w:val="clear" w:color="auto" w:fill="E5FFFF"/>
          </w:tcPr>
          <w:p>
            <w:pPr>
              <w:spacing w:after="0"/>
              <w:rPr>
                <w:sz w:val="16"/>
                <w:szCs w:val="16"/>
                <w:color w:val="auto"/>
              </w:rPr>
            </w:pPr>
          </w:p>
        </w:tc>
        <w:tc>
          <w:tcPr>
            <w:tcW w:w="1340" w:type="dxa"/>
            <w:vAlign w:val="bottom"/>
            <w:tcBorders>
              <w:top w:val="single" w:sz="8" w:color="auto"/>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100" w:type="dxa"/>
            <w:vAlign w:val="bottom"/>
            <w:tcBorders>
              <w:top w:val="single" w:sz="8" w:color="E5FFFF"/>
              <w:bottom w:val="single" w:sz="8" w:color="E5FFFF"/>
            </w:tcBorders>
            <w:shd w:val="clear" w:color="auto" w:fill="E5FFFF"/>
          </w:tcPr>
          <w:p>
            <w:pPr>
              <w:spacing w:after="0"/>
              <w:rPr>
                <w:sz w:val="16"/>
                <w:szCs w:val="16"/>
                <w:color w:val="auto"/>
              </w:rPr>
            </w:pPr>
          </w:p>
        </w:tc>
        <w:tc>
          <w:tcPr>
            <w:tcW w:w="1240" w:type="dxa"/>
            <w:vAlign w:val="bottom"/>
            <w:tcBorders>
              <w:top w:val="single" w:sz="8" w:color="auto"/>
              <w:bottom w:val="single" w:sz="8" w:color="E5FFFF"/>
            </w:tcBorders>
            <w:shd w:val="clear" w:color="auto" w:fill="E5FFFF"/>
          </w:tcPr>
          <w:p>
            <w:pPr>
              <w:spacing w:after="0"/>
              <w:rPr>
                <w:sz w:val="16"/>
                <w:szCs w:val="16"/>
                <w:color w:val="auto"/>
              </w:rPr>
            </w:pPr>
          </w:p>
        </w:tc>
        <w:tc>
          <w:tcPr>
            <w:tcW w:w="100" w:type="dxa"/>
            <w:vAlign w:val="bottom"/>
            <w:tcBorders>
              <w:top w:val="single" w:sz="8" w:color="auto"/>
              <w:bottom w:val="single" w:sz="8" w:color="E5FFFF"/>
            </w:tcBorders>
            <w:shd w:val="clear" w:color="auto" w:fill="E5FFFF"/>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5,314,348</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25,164</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5,339,512</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203,323</w:t>
            </w:r>
          </w:p>
        </w:tc>
        <w:tc>
          <w:tcPr>
            <w:tcW w:w="60" w:type="dxa"/>
            <w:vAlign w:val="bottom"/>
          </w:tcPr>
          <w:p>
            <w:pPr>
              <w:spacing w:after="0"/>
              <w:rPr>
                <w:sz w:val="18"/>
                <w:szCs w:val="18"/>
                <w:color w:val="auto"/>
              </w:rPr>
            </w:pPr>
          </w:p>
        </w:tc>
      </w:tr>
      <w:tr>
        <w:trPr>
          <w:trHeight w:val="216"/>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Additions</w:t>
            </w:r>
          </w:p>
        </w:tc>
        <w:tc>
          <w:tcPr>
            <w:tcW w:w="11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30,656</w:t>
            </w: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8,556</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39,212</w:t>
            </w:r>
          </w:p>
        </w:tc>
        <w:tc>
          <w:tcPr>
            <w:tcW w:w="14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500,535</w:t>
            </w:r>
          </w:p>
        </w:tc>
        <w:tc>
          <w:tcPr>
            <w:tcW w:w="60" w:type="dxa"/>
            <w:vAlign w:val="bottom"/>
          </w:tcPr>
          <w:p>
            <w:pPr>
              <w:spacing w:after="0"/>
              <w:rPr>
                <w:sz w:val="18"/>
                <w:szCs w:val="18"/>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Transfer from vessels under construction</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563,067</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563,067</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(563,067)</w:t>
            </w:r>
          </w:p>
        </w:tc>
        <w:tc>
          <w:tcPr>
            <w:tcW w:w="60" w:type="dxa"/>
            <w:vAlign w:val="bottom"/>
          </w:tcPr>
          <w:p>
            <w:pPr>
              <w:spacing w:after="0"/>
              <w:rPr>
                <w:sz w:val="18"/>
                <w:szCs w:val="18"/>
                <w:color w:val="auto"/>
              </w:rPr>
            </w:pPr>
          </w:p>
        </w:tc>
      </w:tr>
      <w:tr>
        <w:trPr>
          <w:trHeight w:val="216"/>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Disposals</w:t>
            </w:r>
          </w:p>
        </w:tc>
        <w:tc>
          <w:tcPr>
            <w:tcW w:w="11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E5FFFF"/>
          </w:tcPr>
          <w:p>
            <w:pPr>
              <w:jc w:val="right"/>
              <w:ind w:right="160"/>
              <w:spacing w:after="0"/>
              <w:rPr>
                <w:sz w:val="20"/>
                <w:szCs w:val="20"/>
                <w:color w:val="auto"/>
              </w:rPr>
            </w:pPr>
            <w:r>
              <w:rPr>
                <w:rFonts w:ascii="Times New Roman" w:cs="Times New Roman" w:eastAsia="Times New Roman" w:hAnsi="Times New Roman"/>
                <w:sz w:val="18"/>
                <w:szCs w:val="18"/>
                <w:color w:val="auto"/>
              </w:rPr>
              <w:t>(3,029)</w:t>
            </w:r>
          </w:p>
        </w:tc>
        <w:tc>
          <w:tcPr>
            <w:tcW w:w="144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(3,029)</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(18,362)</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0"/>
        </w:trPr>
        <w:tc>
          <w:tcPr>
            <w:tcW w:w="5200" w:type="dxa"/>
            <w:vAlign w:val="bottom"/>
            <w:tcBorders>
              <w:top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5,889,709</w:t>
            </w:r>
          </w:p>
        </w:tc>
        <w:tc>
          <w:tcPr>
            <w:tcW w:w="24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30,691</w:t>
            </w:r>
          </w:p>
        </w:tc>
        <w:tc>
          <w:tcPr>
            <w:tcW w:w="22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5,920,400</w:t>
            </w:r>
          </w:p>
        </w:tc>
        <w:tc>
          <w:tcPr>
            <w:tcW w:w="10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140,791</w:t>
            </w:r>
          </w:p>
        </w:tc>
        <w:tc>
          <w:tcPr>
            <w:tcW w:w="6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5480" w:type="dxa"/>
            <w:vAlign w:val="bottom"/>
            <w:gridSpan w:val="5"/>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rPr>
              <w:t>Accumulated depreciation</w:t>
            </w:r>
          </w:p>
        </w:tc>
        <w:tc>
          <w:tcPr>
            <w:tcW w:w="86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20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rPr>
              <w:t>As of January 1, 2020</w:t>
            </w:r>
          </w:p>
        </w:tc>
        <w:tc>
          <w:tcPr>
            <w:tcW w:w="3460" w:type="dxa"/>
            <w:vAlign w:val="bottom"/>
            <w:tcBorders>
              <w:top w:val="single" w:sz="8" w:color="E5FFFF"/>
            </w:tcBorders>
            <w:gridSpan w:val="2"/>
          </w:tcPr>
          <w:p>
            <w:pPr>
              <w:spacing w:after="0"/>
              <w:rPr>
                <w:sz w:val="18"/>
                <w:szCs w:val="18"/>
                <w:color w:val="auto"/>
              </w:rPr>
            </w:pPr>
          </w:p>
        </w:tc>
        <w:tc>
          <w:tcPr>
            <w:tcW w:w="1100" w:type="dxa"/>
            <w:vAlign w:val="bottom"/>
            <w:tcBorders>
              <w:top w:val="single" w:sz="8" w:color="E5FFFF"/>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907,192</w:t>
            </w:r>
          </w:p>
        </w:tc>
        <w:tc>
          <w:tcPr>
            <w:tcW w:w="1560" w:type="dxa"/>
            <w:vAlign w:val="bottom"/>
            <w:tcBorders>
              <w:top w:val="single" w:sz="8" w:color="E5FFFF"/>
            </w:tcBorders>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5,255</w:t>
            </w:r>
          </w:p>
        </w:tc>
        <w:tc>
          <w:tcPr>
            <w:tcW w:w="1440" w:type="dxa"/>
            <w:vAlign w:val="bottom"/>
            <w:tcBorders>
              <w:top w:val="single" w:sz="8" w:color="E5FFFF"/>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912,447</w:t>
            </w:r>
          </w:p>
        </w:tc>
        <w:tc>
          <w:tcPr>
            <w:tcW w:w="100" w:type="dxa"/>
            <w:vAlign w:val="bottom"/>
            <w:tcBorders>
              <w:top w:val="single" w:sz="8" w:color="E5FFFF"/>
            </w:tcBorders>
          </w:tcPr>
          <w:p>
            <w:pPr>
              <w:spacing w:after="0"/>
              <w:rPr>
                <w:sz w:val="18"/>
                <w:szCs w:val="18"/>
                <w:color w:val="auto"/>
              </w:rPr>
            </w:pPr>
          </w:p>
        </w:tc>
        <w:tc>
          <w:tcPr>
            <w:tcW w:w="1340" w:type="dxa"/>
            <w:vAlign w:val="bottom"/>
            <w:tcBorders>
              <w:top w:val="single" w:sz="8" w:color="E5FFFF"/>
            </w:tcBorders>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Depreciation expense</w:t>
            </w:r>
          </w:p>
        </w:tc>
        <w:tc>
          <w:tcPr>
            <w:tcW w:w="11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121,498</w:t>
            </w: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588</w:t>
            </w:r>
          </w:p>
        </w:tc>
        <w:tc>
          <w:tcPr>
            <w:tcW w:w="1440" w:type="dxa"/>
            <w:vAlign w:val="bottom"/>
            <w:gridSpan w:val="2"/>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122,086</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Impairment loss on vessels</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22,454</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22,454</w:t>
            </w:r>
          </w:p>
        </w:tc>
        <w:tc>
          <w:tcPr>
            <w:tcW w:w="10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16"/>
        </w:trPr>
        <w:tc>
          <w:tcPr>
            <w:tcW w:w="5480" w:type="dxa"/>
            <w:vAlign w:val="bottom"/>
            <w:gridSpan w:val="5"/>
            <w:shd w:val="clear" w:color="auto" w:fill="E5FFFF"/>
          </w:tcPr>
          <w:p>
            <w:pPr>
              <w:spacing w:after="0"/>
              <w:rPr>
                <w:sz w:val="20"/>
                <w:szCs w:val="20"/>
                <w:color w:val="auto"/>
              </w:rPr>
            </w:pPr>
            <w:r>
              <w:rPr>
                <w:rFonts w:ascii="Times New Roman" w:cs="Times New Roman" w:eastAsia="Times New Roman" w:hAnsi="Times New Roman"/>
                <w:sz w:val="18"/>
                <w:szCs w:val="18"/>
                <w:color w:val="auto"/>
              </w:rPr>
              <w:t>Fully amortized dry-docking component</w:t>
            </w:r>
          </w:p>
        </w:tc>
        <w:tc>
          <w:tcPr>
            <w:tcW w:w="110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8"/>
                <w:szCs w:val="18"/>
                <w:color w:val="auto"/>
              </w:rPr>
              <w:t>(18,362)</w:t>
            </w:r>
          </w:p>
        </w:tc>
        <w:tc>
          <w:tcPr>
            <w:tcW w:w="1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5FFFF"/>
          </w:tcPr>
          <w:p>
            <w:pPr>
              <w:jc w:val="right"/>
              <w:ind w:right="40"/>
              <w:spacing w:after="0"/>
              <w:rPr>
                <w:sz w:val="20"/>
                <w:szCs w:val="20"/>
                <w:color w:val="auto"/>
              </w:rPr>
            </w:pPr>
            <w:r>
              <w:rPr>
                <w:rFonts w:ascii="Times New Roman" w:cs="Times New Roman" w:eastAsia="Times New Roman" w:hAnsi="Times New Roman"/>
                <w:sz w:val="18"/>
                <w:szCs w:val="18"/>
                <w:color w:val="auto"/>
              </w:rPr>
              <w:t>(18,362)</w:t>
            </w:r>
          </w:p>
        </w:tc>
        <w:tc>
          <w:tcPr>
            <w:tcW w:w="100" w:type="dxa"/>
            <w:vAlign w:val="bottom"/>
            <w:shd w:val="clear" w:color="auto" w:fill="E5FFFF"/>
          </w:tcPr>
          <w:p>
            <w:pPr>
              <w:spacing w:after="0"/>
              <w:rPr>
                <w:sz w:val="18"/>
                <w:szCs w:val="18"/>
                <w:color w:val="auto"/>
              </w:rPr>
            </w:pPr>
          </w:p>
        </w:tc>
        <w:tc>
          <w:tcPr>
            <w:tcW w:w="13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r>
      <w:tr>
        <w:trPr>
          <w:trHeight w:val="209"/>
        </w:trPr>
        <w:tc>
          <w:tcPr>
            <w:tcW w:w="520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28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1,032,782</w:t>
            </w:r>
          </w:p>
        </w:tc>
        <w:tc>
          <w:tcPr>
            <w:tcW w:w="24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5,843</w:t>
            </w:r>
          </w:p>
        </w:tc>
        <w:tc>
          <w:tcPr>
            <w:tcW w:w="220" w:type="dxa"/>
            <w:vAlign w:val="bottom"/>
          </w:tcPr>
          <w:p>
            <w:pPr>
              <w:spacing w:after="0"/>
              <w:rPr>
                <w:sz w:val="18"/>
                <w:szCs w:val="18"/>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1,038,625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60" w:type="dxa"/>
            <w:vAlign w:val="bottom"/>
          </w:tcPr>
          <w:p>
            <w:pPr>
              <w:spacing w:after="0"/>
              <w:rPr>
                <w:sz w:val="18"/>
                <w:szCs w:val="18"/>
                <w:color w:val="auto"/>
              </w:rPr>
            </w:pPr>
          </w:p>
        </w:tc>
      </w:tr>
      <w:tr>
        <w:trPr>
          <w:trHeight w:val="210"/>
        </w:trPr>
        <w:tc>
          <w:tcPr>
            <w:tcW w:w="3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196"/>
        </w:trPr>
        <w:tc>
          <w:tcPr>
            <w:tcW w:w="1160" w:type="dxa"/>
            <w:vAlign w:val="bottom"/>
            <w:tcBorders>
              <w:bottom w:val="single" w:sz="8" w:color="auto"/>
            </w:tcBorders>
            <w:gridSpan w:val="2"/>
            <w:shd w:val="clear" w:color="auto" w:fill="E5FFFF"/>
          </w:tcPr>
          <w:p>
            <w:pPr>
              <w:spacing w:after="0" w:line="176" w:lineRule="exact"/>
              <w:rPr>
                <w:sz w:val="20"/>
                <w:szCs w:val="20"/>
                <w:color w:val="auto"/>
              </w:rPr>
            </w:pPr>
            <w:r>
              <w:rPr>
                <w:rFonts w:ascii="Times New Roman" w:cs="Times New Roman" w:eastAsia="Times New Roman" w:hAnsi="Times New Roman"/>
                <w:sz w:val="18"/>
                <w:szCs w:val="18"/>
                <w:b w:val="1"/>
                <w:bCs w:val="1"/>
                <w:color w:val="auto"/>
                <w:w w:val="99"/>
              </w:rPr>
              <w:t>Net book value</w:t>
            </w:r>
          </w:p>
        </w:tc>
        <w:tc>
          <w:tcPr>
            <w:tcW w:w="4320" w:type="dxa"/>
            <w:vAlign w:val="bottom"/>
            <w:tcBorders>
              <w:bottom w:val="single" w:sz="8" w:color="E5FFFF"/>
            </w:tcBorders>
            <w:gridSpan w:val="3"/>
            <w:shd w:val="clear" w:color="auto" w:fill="E5FFFF"/>
          </w:tcPr>
          <w:p>
            <w:pPr>
              <w:spacing w:after="0"/>
              <w:rPr>
                <w:sz w:val="17"/>
                <w:szCs w:val="17"/>
                <w:color w:val="auto"/>
              </w:rPr>
            </w:pPr>
          </w:p>
        </w:tc>
        <w:tc>
          <w:tcPr>
            <w:tcW w:w="860" w:type="dxa"/>
            <w:vAlign w:val="bottom"/>
            <w:tcBorders>
              <w:bottom w:val="single" w:sz="8" w:color="E5FFFF"/>
            </w:tcBorders>
            <w:shd w:val="clear" w:color="auto" w:fill="E5FFFF"/>
          </w:tcPr>
          <w:p>
            <w:pPr>
              <w:spacing w:after="0"/>
              <w:rPr>
                <w:sz w:val="17"/>
                <w:szCs w:val="17"/>
                <w:color w:val="auto"/>
              </w:rPr>
            </w:pPr>
          </w:p>
        </w:tc>
        <w:tc>
          <w:tcPr>
            <w:tcW w:w="24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E5FFFF"/>
            </w:tcBorders>
            <w:shd w:val="clear" w:color="auto" w:fill="E5FFFF"/>
          </w:tcPr>
          <w:p>
            <w:pPr>
              <w:spacing w:after="0"/>
              <w:rPr>
                <w:sz w:val="17"/>
                <w:szCs w:val="17"/>
                <w:color w:val="auto"/>
              </w:rPr>
            </w:pPr>
          </w:p>
        </w:tc>
        <w:tc>
          <w:tcPr>
            <w:tcW w:w="220" w:type="dxa"/>
            <w:vAlign w:val="bottom"/>
            <w:tcBorders>
              <w:bottom w:val="single" w:sz="8" w:color="E5FFFF"/>
            </w:tcBorders>
            <w:shd w:val="clear" w:color="auto" w:fill="E5FFFF"/>
          </w:tcPr>
          <w:p>
            <w:pPr>
              <w:spacing w:after="0"/>
              <w:rPr>
                <w:sz w:val="17"/>
                <w:szCs w:val="17"/>
                <w:color w:val="auto"/>
              </w:rPr>
            </w:pPr>
          </w:p>
        </w:tc>
        <w:tc>
          <w:tcPr>
            <w:tcW w:w="13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1240" w:type="dxa"/>
            <w:vAlign w:val="bottom"/>
            <w:tcBorders>
              <w:bottom w:val="single" w:sz="8" w:color="E5FFFF"/>
            </w:tcBorders>
            <w:shd w:val="clear" w:color="auto" w:fill="E5FFFF"/>
          </w:tcPr>
          <w:p>
            <w:pPr>
              <w:spacing w:after="0"/>
              <w:rPr>
                <w:sz w:val="17"/>
                <w:szCs w:val="17"/>
                <w:color w:val="auto"/>
              </w:rPr>
            </w:pPr>
          </w:p>
        </w:tc>
        <w:tc>
          <w:tcPr>
            <w:tcW w:w="100" w:type="dxa"/>
            <w:vAlign w:val="bottom"/>
            <w:tcBorders>
              <w:bottom w:val="single" w:sz="8" w:color="E5FFFF"/>
            </w:tcBorders>
            <w:shd w:val="clear" w:color="auto" w:fill="E5FFFF"/>
          </w:tcPr>
          <w:p>
            <w:pPr>
              <w:spacing w:after="0"/>
              <w:rPr>
                <w:sz w:val="17"/>
                <w:szCs w:val="17"/>
                <w:color w:val="auto"/>
              </w:rPr>
            </w:pPr>
          </w:p>
        </w:tc>
        <w:tc>
          <w:tcPr>
            <w:tcW w:w="60" w:type="dxa"/>
            <w:vAlign w:val="bottom"/>
          </w:tcPr>
          <w:p>
            <w:pPr>
              <w:spacing w:after="0"/>
              <w:rPr>
                <w:sz w:val="17"/>
                <w:szCs w:val="17"/>
                <w:color w:val="auto"/>
              </w:rPr>
            </w:pPr>
          </w:p>
        </w:tc>
      </w:tr>
      <w:tr>
        <w:trPr>
          <w:trHeight w:val="216"/>
        </w:trPr>
        <w:tc>
          <w:tcPr>
            <w:tcW w:w="548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auto"/>
              </w:rPr>
              <w:t>As of December 31, 2019</w:t>
            </w: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4,407,156</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19,909</w:t>
            </w:r>
          </w:p>
        </w:tc>
        <w:tc>
          <w:tcPr>
            <w:tcW w:w="1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4,427,065</w:t>
            </w: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8"/>
                <w:szCs w:val="18"/>
                <w:b w:val="1"/>
                <w:bCs w:val="1"/>
                <w:color w:val="auto"/>
              </w:rPr>
              <w:t>203,323</w:t>
            </w:r>
          </w:p>
        </w:tc>
        <w:tc>
          <w:tcPr>
            <w:tcW w:w="60" w:type="dxa"/>
            <w:vAlign w:val="bottom"/>
          </w:tcPr>
          <w:p>
            <w:pPr>
              <w:spacing w:after="0"/>
              <w:rPr>
                <w:sz w:val="18"/>
                <w:szCs w:val="18"/>
                <w:color w:val="auto"/>
              </w:rPr>
            </w:pPr>
          </w:p>
        </w:tc>
      </w:tr>
      <w:tr>
        <w:trPr>
          <w:trHeight w:val="216"/>
        </w:trPr>
        <w:tc>
          <w:tcPr>
            <w:tcW w:w="5200" w:type="dxa"/>
            <w:vAlign w:val="bottom"/>
            <w:tcBorders>
              <w:top w:val="single" w:sz="8" w:color="E5FFFF"/>
              <w:bottom w:val="single" w:sz="8" w:color="E5FFFF"/>
            </w:tcBorders>
            <w:gridSpan w:val="4"/>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280" w:type="dxa"/>
            <w:vAlign w:val="bottom"/>
            <w:tcBorders>
              <w:top w:val="single" w:sz="8" w:color="auto"/>
              <w:bottom w:val="single" w:sz="8" w:color="auto"/>
            </w:tcBorders>
            <w:shd w:val="clear" w:color="auto" w:fill="E5FFFF"/>
          </w:tcPr>
          <w:p>
            <w:pPr>
              <w:spacing w:after="0"/>
              <w:rPr>
                <w:sz w:val="18"/>
                <w:szCs w:val="18"/>
                <w:color w:val="auto"/>
              </w:rPr>
            </w:pPr>
          </w:p>
        </w:tc>
        <w:tc>
          <w:tcPr>
            <w:tcW w:w="8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4,856,927</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24,848</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4,881,775</w:t>
            </w: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0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140,791</w:t>
            </w:r>
          </w:p>
        </w:tc>
        <w:tc>
          <w:tcPr>
            <w:tcW w:w="60" w:type="dxa"/>
            <w:vAlign w:val="bottom"/>
          </w:tcPr>
          <w:p>
            <w:pPr>
              <w:spacing w:after="0"/>
              <w:rPr>
                <w:sz w:val="18"/>
                <w:szCs w:val="18"/>
                <w:color w:val="auto"/>
              </w:rPr>
            </w:pPr>
          </w:p>
        </w:tc>
      </w:tr>
    </w:tbl>
    <w:p>
      <w:pPr>
        <w:spacing w:after="0" w:line="202" w:lineRule="exact"/>
        <w:rPr>
          <w:sz w:val="20"/>
          <w:szCs w:val="20"/>
          <w:color w:val="auto"/>
        </w:rPr>
      </w:pPr>
    </w:p>
    <w:p>
      <w:pPr>
        <w:jc w:val="both"/>
        <w:ind w:right="40" w:firstLine="324"/>
        <w:spacing w:after="0" w:line="298" w:lineRule="auto"/>
        <w:rPr>
          <w:sz w:val="20"/>
          <w:szCs w:val="20"/>
          <w:color w:val="auto"/>
        </w:rPr>
      </w:pPr>
      <w:r>
        <w:rPr>
          <w:rFonts w:ascii="Times New Roman" w:cs="Times New Roman" w:eastAsia="Times New Roman" w:hAnsi="Times New Roman"/>
          <w:sz w:val="16"/>
          <w:szCs w:val="16"/>
          <w:color w:val="auto"/>
        </w:rPr>
        <w:t>Vessels with an aggregate carrying amount of $4,856,927 as of September 30, 2020 (December 31, 2019: $4,407,156) have been pledged as collateral under the terms of the Group’s loan agreements.</w:t>
      </w:r>
    </w:p>
    <w:p>
      <w:pPr>
        <w:spacing w:after="0" w:line="164"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As of June 30, 2020, a number of negative indicators, such as the downward pressure on economic activity and energy demand, as well as the significant uncertainty regarding future near-term LNG demand and, therefore LNG shipping requirements due to the COVID-19 pandemic, combined with our reduced expectations for the estimated rates at which employment for the Company’s vessels (including the Partnership’s</w:t>
      </w:r>
    </w:p>
    <w:p>
      <w:pPr>
        <w:spacing w:after="0" w:line="3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40"/>
          </w:cols>
          <w:pgMar w:left="320" w:top="1098" w:right="439" w:bottom="1440" w:gutter="0" w:footer="0" w:header="0"/>
        </w:sectPr>
      </w:pPr>
    </w:p>
    <w:bookmarkStart w:id="35" w:name="page36"/>
    <w:bookmarkEnd w:id="35"/>
    <w:p>
      <w:pPr>
        <w:ind w:right="380"/>
        <w:spacing w:after="0" w:line="275" w:lineRule="auto"/>
        <w:rPr>
          <w:sz w:val="20"/>
          <w:szCs w:val="20"/>
          <w:color w:val="auto"/>
        </w:rPr>
      </w:pPr>
      <w:r>
        <w:rPr>
          <w:rFonts w:ascii="Times New Roman" w:cs="Times New Roman" w:eastAsia="Times New Roman" w:hAnsi="Times New Roman"/>
          <w:sz w:val="16"/>
          <w:szCs w:val="16"/>
          <w:color w:val="auto"/>
        </w:rPr>
        <w:t xml:space="preserve">vessels) could be secured over the near-term in the spot market, prompted the Company to perform an impairment assessment of its vessels in accordance with the Company’s accounting policy. The recoverable amounts (values in use) for four steam turbine propulsion (“Steam”) vessels, i.e. the </w:t>
      </w:r>
      <w:r>
        <w:rPr>
          <w:rFonts w:ascii="Times New Roman" w:cs="Times New Roman" w:eastAsia="Times New Roman" w:hAnsi="Times New Roman"/>
          <w:sz w:val="16"/>
          <w:szCs w:val="16"/>
          <w:i w:val="1"/>
          <w:iCs w:val="1"/>
          <w:color w:val="auto"/>
        </w:rPr>
        <w:t>Methane Lydon Volney</w:t>
      </w:r>
      <w:r>
        <w:rPr>
          <w:rFonts w:ascii="Times New Roman" w:cs="Times New Roman" w:eastAsia="Times New Roman" w:hAnsi="Times New Roman"/>
          <w:sz w:val="16"/>
          <w:szCs w:val="16"/>
          <w:color w:val="auto"/>
        </w:rPr>
        <w:t xml:space="preserve"> (owned by GasLog), as well as the </w:t>
      </w:r>
      <w:r>
        <w:rPr>
          <w:rFonts w:ascii="Times New Roman" w:cs="Times New Roman" w:eastAsia="Times New Roman" w:hAnsi="Times New Roman"/>
          <w:sz w:val="16"/>
          <w:szCs w:val="16"/>
          <w:i w:val="1"/>
          <w:iCs w:val="1"/>
          <w:color w:val="auto"/>
        </w:rPr>
        <w:t>Methane Rita Andrea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Heather Sally</w:t>
      </w:r>
      <w:r>
        <w:rPr>
          <w:rFonts w:ascii="Times New Roman" w:cs="Times New Roman" w:eastAsia="Times New Roman" w:hAnsi="Times New Roman"/>
          <w:sz w:val="16"/>
          <w:szCs w:val="16"/>
          <w:color w:val="auto"/>
        </w:rPr>
        <w:t xml:space="preserve"> (owned by the Partnership) were lower than the respective carrying amounts of these vessels and, consequently, an aggregate impairment loss of $22,454 was recognized in profit or loss in the six months ended June 30, 2020.</w:t>
      </w:r>
    </w:p>
    <w:p>
      <w:pPr>
        <w:spacing w:after="0" w:line="183" w:lineRule="exact"/>
        <w:rPr>
          <w:sz w:val="20"/>
          <w:szCs w:val="20"/>
          <w:color w:val="auto"/>
        </w:rPr>
      </w:pPr>
    </w:p>
    <w:p>
      <w:pPr>
        <w:ind w:right="140" w:firstLine="324"/>
        <w:spacing w:after="0" w:line="271" w:lineRule="auto"/>
        <w:rPr>
          <w:sz w:val="20"/>
          <w:szCs w:val="20"/>
          <w:color w:val="auto"/>
        </w:rPr>
      </w:pPr>
      <w:r>
        <w:rPr>
          <w:rFonts w:ascii="Times New Roman" w:cs="Times New Roman" w:eastAsia="Times New Roman" w:hAnsi="Times New Roman"/>
          <w:sz w:val="16"/>
          <w:szCs w:val="16"/>
          <w:color w:val="auto"/>
        </w:rPr>
        <w:t>As of June 30, 2020, the most sensitive and/or subjective assumptions that had the potential to affect the outcome of the impairment assessment for the Steam vessels are the projected charter hire rate used to forecast future cash flows for non-contracted revenue days (the “re-chartering rate”) and the discount rate used. The average re-chartering rate over the remaining useful life of the vessels used in our impairment exercise for the Steam vessels was $39 per day. Increasing/decreasing the average re-chartering rate used by $5 per day would have resulted in an aggregate decrease/increase in the impairment charge of $126,909/($120,247). The discount rate used for the Steam vessels was 5.8% as of June 30, 2020. Increasing/decreasing the discount rate by 0.5% would have increased/(decreased) the impairment loss by $26,340/($14,949), respectively.</w:t>
      </w:r>
    </w:p>
    <w:p>
      <w:pPr>
        <w:spacing w:after="0" w:line="184" w:lineRule="exact"/>
        <w:rPr>
          <w:sz w:val="20"/>
          <w:szCs w:val="20"/>
          <w:color w:val="auto"/>
        </w:rPr>
      </w:pPr>
    </w:p>
    <w:p>
      <w:pPr>
        <w:ind w:right="720" w:firstLine="324"/>
        <w:spacing w:after="0" w:line="298" w:lineRule="auto"/>
        <w:rPr>
          <w:sz w:val="20"/>
          <w:szCs w:val="20"/>
          <w:color w:val="auto"/>
        </w:rPr>
      </w:pPr>
      <w:r>
        <w:rPr>
          <w:rFonts w:ascii="Times New Roman" w:cs="Times New Roman" w:eastAsia="Times New Roman" w:hAnsi="Times New Roman"/>
          <w:sz w:val="16"/>
          <w:szCs w:val="16"/>
          <w:color w:val="auto"/>
        </w:rPr>
        <w:t>As of September 30, 2020, the Company concluded that there were no events or circumstances triggering the existence of potential impairment or reversal of impairment of its vessels.</w:t>
      </w:r>
    </w:p>
    <w:p>
      <w:pPr>
        <w:spacing w:after="0" w:line="164"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On October 11, 2016, GasLog LNG Services Ltd. entered into an arrangement whereby it would have access to all long lead items (“LLIs”) necessary for the conversion of a GasLog LNG carrier vessel into Floating Storage and Regasification Units (“FSRU”) whereby such conversion work would be undertaken by Keppel Shipyard Limited (“Keppel”). GasLog was only obligated to pay for such LLIs if utilized for a GasLog vessel conversion or, if the LLIs had not been utilized in a GasLog vessel conversion within three years from November 2016, the items might be put to GasLog at 85% of the original cost, or GasLog might call for the purchase of such LLIs at 115% of the original cost. On February 7, 2020, GasLog paid $17,625 for the acquisition of such LLIs, following the expiration of the arrangement.</w:t>
      </w:r>
    </w:p>
    <w:p>
      <w:pPr>
        <w:spacing w:after="0" w:line="186" w:lineRule="exact"/>
        <w:rPr>
          <w:sz w:val="20"/>
          <w:szCs w:val="20"/>
          <w:color w:val="auto"/>
        </w:rPr>
      </w:pPr>
    </w:p>
    <w:p>
      <w:pPr>
        <w:ind w:right="60" w:firstLine="324"/>
        <w:spacing w:after="0" w:line="281" w:lineRule="auto"/>
        <w:rPr>
          <w:sz w:val="20"/>
          <w:szCs w:val="20"/>
          <w:color w:val="auto"/>
        </w:rPr>
      </w:pPr>
      <w:r>
        <w:rPr>
          <w:rFonts w:ascii="Times New Roman" w:cs="Times New Roman" w:eastAsia="Times New Roman" w:hAnsi="Times New Roman"/>
          <w:sz w:val="16"/>
          <w:szCs w:val="16"/>
          <w:color w:val="auto"/>
        </w:rPr>
        <w:t>Related to the acquisition of six vessels from a subsidiary of Methane Services Limited (“MSL”) in 2014 and another two vessels in 2015, the Group was committed to purchase depot spares from MSL with an aggregate initial value of $8,000 of which depot spares with value of $660 had already been purchased and paid while the remaining were acquired and paid on June 2, 2020.</w:t>
      </w:r>
    </w:p>
    <w:p>
      <w:pPr>
        <w:spacing w:after="0" w:line="177"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 xml:space="preserve">In June 2020, GasLog LNG Services Ltd. agreed to sell a low-pressure turbine which was included in Office property and other tangible assets to Egypt LNG Shipping Ltd. to be installed on the </w:t>
      </w:r>
      <w:r>
        <w:rPr>
          <w:rFonts w:ascii="Times New Roman" w:cs="Times New Roman" w:eastAsia="Times New Roman" w:hAnsi="Times New Roman"/>
          <w:sz w:val="16"/>
          <w:szCs w:val="16"/>
          <w:i w:val="1"/>
          <w:iCs w:val="1"/>
          <w:color w:val="auto"/>
        </w:rPr>
        <w:t>Methane Nile Eagle</w:t>
      </w:r>
      <w:r>
        <w:rPr>
          <w:rFonts w:ascii="Times New Roman" w:cs="Times New Roman" w:eastAsia="Times New Roman" w:hAnsi="Times New Roman"/>
          <w:sz w:val="16"/>
          <w:szCs w:val="16"/>
          <w:color w:val="auto"/>
        </w:rPr>
        <w:t xml:space="preserve"> at a price of $2,457. The disposal resulted in a loss of $572.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Vessels under construction</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GasLog has the following newbuildings on order at Samsung Heavy Industries Co., Ltd. (“Samsung”):</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Cargo Capacity</w:t>
            </w:r>
          </w:p>
        </w:tc>
      </w:tr>
      <w:tr>
        <w:trPr>
          <w:trHeight w:val="216"/>
        </w:trPr>
        <w:tc>
          <w:tcPr>
            <w:tcW w:w="2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Date of</w:t>
            </w:r>
          </w:p>
        </w:tc>
        <w:tc>
          <w:tcPr>
            <w:tcW w:w="18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cubic</w:t>
            </w:r>
          </w:p>
        </w:tc>
      </w:tr>
      <w:tr>
        <w:trPr>
          <w:trHeight w:val="238"/>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LNG Carrier</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agreement</w:t>
            </w: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b w:val="1"/>
                <w:bCs w:val="1"/>
                <w:color w:val="auto"/>
              </w:rPr>
              <w:t>Estimated delivery</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meters(“cbm”)</w:t>
            </w:r>
          </w:p>
        </w:tc>
      </w:tr>
      <w:tr>
        <w:trPr>
          <w:trHeight w:val="210"/>
        </w:trPr>
        <w:tc>
          <w:tcPr>
            <w:tcW w:w="274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i w:val="1"/>
                <w:iCs w:val="1"/>
                <w:color w:val="auto"/>
              </w:rPr>
              <w:t>GasLog Georgetown</w:t>
            </w:r>
          </w:p>
        </w:tc>
        <w:tc>
          <w:tcPr>
            <w:tcW w:w="200" w:type="dxa"/>
            <w:vAlign w:val="bottom"/>
            <w:tcBorders>
              <w:top w:val="single" w:sz="8" w:color="E5FFFF"/>
            </w:tcBorders>
            <w:shd w:val="clear" w:color="auto" w:fill="E5FFFF"/>
          </w:tcPr>
          <w:p>
            <w:pPr>
              <w:spacing w:after="0"/>
              <w:rPr>
                <w:sz w:val="18"/>
                <w:szCs w:val="18"/>
                <w:color w:val="auto"/>
              </w:rPr>
            </w:pPr>
          </w:p>
        </w:tc>
        <w:tc>
          <w:tcPr>
            <w:tcW w:w="254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August 2018</w:t>
            </w:r>
          </w:p>
        </w:tc>
        <w:tc>
          <w:tcPr>
            <w:tcW w:w="200" w:type="dxa"/>
            <w:vAlign w:val="bottom"/>
            <w:tcBorders>
              <w:top w:val="single" w:sz="8" w:color="E5FFFF"/>
            </w:tcBorders>
            <w:shd w:val="clear" w:color="auto" w:fill="E5FFFF"/>
          </w:tcPr>
          <w:p>
            <w:pPr>
              <w:spacing w:after="0"/>
              <w:rPr>
                <w:sz w:val="18"/>
                <w:szCs w:val="18"/>
                <w:color w:val="auto"/>
              </w:rPr>
            </w:pPr>
          </w:p>
        </w:tc>
        <w:tc>
          <w:tcPr>
            <w:tcW w:w="18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Q4 2020</w:t>
            </w:r>
          </w:p>
        </w:tc>
        <w:tc>
          <w:tcPr>
            <w:tcW w:w="400" w:type="dxa"/>
            <w:vAlign w:val="bottom"/>
            <w:tcBorders>
              <w:top w:val="single" w:sz="8" w:color="E5FFFF"/>
            </w:tcBorders>
            <w:shd w:val="clear" w:color="auto" w:fill="E5FFFF"/>
          </w:tcPr>
          <w:p>
            <w:pPr>
              <w:spacing w:after="0"/>
              <w:rPr>
                <w:sz w:val="18"/>
                <w:szCs w:val="18"/>
                <w:color w:val="auto"/>
              </w:rPr>
            </w:pPr>
          </w:p>
        </w:tc>
        <w:tc>
          <w:tcPr>
            <w:tcW w:w="21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r>
      <w:tr>
        <w:trPr>
          <w:trHeight w:val="216"/>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Hull No. 2301</w:t>
            </w:r>
          </w:p>
        </w:tc>
        <w:tc>
          <w:tcPr>
            <w:tcW w:w="27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August 2018</w:t>
            </w: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Q1 2021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174,000</w:t>
            </w:r>
          </w:p>
        </w:tc>
      </w:tr>
      <w:tr>
        <w:trPr>
          <w:trHeight w:val="216"/>
        </w:trPr>
        <w:tc>
          <w:tcPr>
            <w:tcW w:w="294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Hull No. 2311</w:t>
            </w:r>
          </w:p>
        </w:tc>
        <w:tc>
          <w:tcPr>
            <w:tcW w:w="2740" w:type="dxa"/>
            <w:vAlign w:val="bottom"/>
            <w:gridSpan w:val="2"/>
            <w:shd w:val="clear" w:color="auto" w:fill="E5FFFF"/>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2018</w:t>
            </w:r>
          </w:p>
        </w:tc>
        <w:tc>
          <w:tcPr>
            <w:tcW w:w="2220" w:type="dxa"/>
            <w:vAlign w:val="bottom"/>
            <w:gridSpan w:val="2"/>
            <w:shd w:val="clear" w:color="auto" w:fill="E5FFFF"/>
          </w:tcPr>
          <w:p>
            <w:pPr>
              <w:jc w:val="center"/>
              <w:ind w:right="400"/>
              <w:spacing w:after="0"/>
              <w:rPr>
                <w:sz w:val="20"/>
                <w:szCs w:val="20"/>
                <w:color w:val="auto"/>
              </w:rPr>
            </w:pPr>
            <w:r>
              <w:rPr>
                <w:rFonts w:ascii="Times New Roman" w:cs="Times New Roman" w:eastAsia="Times New Roman" w:hAnsi="Times New Roman"/>
                <w:sz w:val="18"/>
                <w:szCs w:val="18"/>
                <w:color w:val="auto"/>
                <w:w w:val="99"/>
              </w:rPr>
              <w:t>Q2 2021</w:t>
            </w:r>
          </w:p>
        </w:tc>
        <w:tc>
          <w:tcPr>
            <w:tcW w:w="212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r>
      <w:tr>
        <w:trPr>
          <w:trHeight w:val="234"/>
        </w:trPr>
        <w:tc>
          <w:tcPr>
            <w:tcW w:w="29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Hull No. 2312</w:t>
            </w:r>
          </w:p>
        </w:tc>
        <w:tc>
          <w:tcPr>
            <w:tcW w:w="274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December 2018</w:t>
            </w:r>
          </w:p>
        </w:tc>
        <w:tc>
          <w:tcPr>
            <w:tcW w:w="2220" w:type="dxa"/>
            <w:vAlign w:val="bottom"/>
            <w:gridSpan w:val="2"/>
          </w:tcPr>
          <w:p>
            <w:pPr>
              <w:jc w:val="center"/>
              <w:ind w:right="400"/>
              <w:spacing w:after="0"/>
              <w:rPr>
                <w:sz w:val="20"/>
                <w:szCs w:val="20"/>
                <w:color w:val="auto"/>
              </w:rPr>
            </w:pPr>
            <w:r>
              <w:rPr>
                <w:rFonts w:ascii="Times New Roman" w:cs="Times New Roman" w:eastAsia="Times New Roman" w:hAnsi="Times New Roman"/>
                <w:sz w:val="18"/>
                <w:szCs w:val="18"/>
                <w:color w:val="auto"/>
                <w:w w:val="99"/>
              </w:rPr>
              <w:t>Q3 2021</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180,000</w:t>
            </w:r>
          </w:p>
        </w:tc>
      </w:tr>
    </w:tbl>
    <w:p>
      <w:pPr>
        <w:spacing w:after="0" w:line="184"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Vessels under construction represent scheduled advance payments to the shipyards as well as certain capitalized expenditures. As of September 30, 2020, the Group has paid to the shipyard $135,764 for the vessels that are under construction and expects to pay the remaining installments as they come due upon each vessel’s keel laying, launching and delivery (Note 14).</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vessels under construction costs as of December 31, 2019 and September 30, 2020 are as follows:</w:t>
            </w:r>
          </w:p>
        </w:tc>
        <w:tc>
          <w:tcPr>
            <w:tcW w:w="1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80" w:type="dxa"/>
            <w:vAlign w:val="bottom"/>
          </w:tcPr>
          <w:p>
            <w:pPr>
              <w:spacing w:after="0"/>
              <w:rPr>
                <w:sz w:val="18"/>
                <w:szCs w:val="18"/>
                <w:color w:val="auto"/>
              </w:rPr>
            </w:pPr>
          </w:p>
        </w:tc>
      </w:tr>
      <w:tr>
        <w:trPr>
          <w:trHeight w:val="438"/>
        </w:trPr>
        <w:tc>
          <w:tcPr>
            <w:tcW w:w="7440" w:type="dxa"/>
            <w:vAlign w:val="bottom"/>
          </w:tcPr>
          <w:p>
            <w:pPr>
              <w:spacing w:after="0"/>
              <w:rPr>
                <w:sz w:val="24"/>
                <w:szCs w:val="24"/>
                <w:color w:val="auto"/>
              </w:rPr>
            </w:pPr>
          </w:p>
        </w:tc>
        <w:tc>
          <w:tcPr>
            <w:tcW w:w="2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10"/>
        </w:trPr>
        <w:tc>
          <w:tcPr>
            <w:tcW w:w="74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Progress shipyard installments</w:t>
            </w:r>
          </w:p>
        </w:tc>
        <w:tc>
          <w:tcPr>
            <w:tcW w:w="18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197,637</w:t>
            </w:r>
          </w:p>
        </w:tc>
        <w:tc>
          <w:tcPr>
            <w:tcW w:w="22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136,427</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color w:val="auto"/>
              </w:rPr>
              <w:t>Onsite supervision costs</w:t>
            </w:r>
          </w:p>
        </w:tc>
        <w:tc>
          <w:tcPr>
            <w:tcW w:w="2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3,879</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2,621</w:t>
            </w:r>
          </w:p>
        </w:tc>
      </w:tr>
      <w:tr>
        <w:trPr>
          <w:trHeight w:val="216"/>
        </w:trPr>
        <w:tc>
          <w:tcPr>
            <w:tcW w:w="744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Critical spare parts, equipment and other vessel delivery expenses</w:t>
            </w:r>
          </w:p>
        </w:tc>
        <w:tc>
          <w:tcPr>
            <w:tcW w:w="20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1,807</w:t>
            </w:r>
          </w:p>
        </w:tc>
        <w:tc>
          <w:tcPr>
            <w:tcW w:w="1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1,743</w:t>
            </w:r>
          </w:p>
        </w:tc>
      </w:tr>
      <w:tr>
        <w:trPr>
          <w:trHeight w:val="216"/>
        </w:trPr>
        <w:tc>
          <w:tcPr>
            <w:tcW w:w="7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203,323</w:t>
            </w:r>
          </w:p>
        </w:tc>
        <w:tc>
          <w:tcPr>
            <w:tcW w:w="220" w:type="dxa"/>
            <w:vAlign w:val="bottom"/>
          </w:tcPr>
          <w:p>
            <w:pPr>
              <w:spacing w:after="0"/>
              <w:rPr>
                <w:sz w:val="18"/>
                <w:szCs w:val="18"/>
                <w:color w:val="auto"/>
              </w:rPr>
            </w:pPr>
          </w:p>
        </w:tc>
        <w:tc>
          <w:tcPr>
            <w:tcW w:w="1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140,791</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5. Leases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movements in right-of-use assets are reported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Right-of-Use Assets</w:t>
            </w:r>
          </w:p>
        </w:tc>
        <w:tc>
          <w:tcPr>
            <w:tcW w:w="1460" w:type="dxa"/>
            <w:vAlign w:val="bottom"/>
            <w:gridSpan w:val="2"/>
          </w:tcPr>
          <w:p>
            <w:pPr>
              <w:ind w:left="340"/>
              <w:spacing w:after="0"/>
              <w:rPr>
                <w:sz w:val="20"/>
                <w:szCs w:val="20"/>
                <w:color w:val="auto"/>
              </w:rPr>
            </w:pPr>
            <w:r>
              <w:rPr>
                <w:rFonts w:ascii="Times New Roman" w:cs="Times New Roman" w:eastAsia="Times New Roman" w:hAnsi="Times New Roman"/>
                <w:sz w:val="18"/>
                <w:szCs w:val="18"/>
                <w:b w:val="1"/>
                <w:bCs w:val="1"/>
                <w:color w:val="auto"/>
              </w:rPr>
              <w:t>Vessels</w:t>
            </w:r>
          </w:p>
        </w:tc>
        <w:tc>
          <w:tcPr>
            <w:tcW w:w="192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Vessel Equipment</w:t>
            </w:r>
          </w:p>
        </w:tc>
        <w:tc>
          <w:tcPr>
            <w:tcW w:w="2140" w:type="dxa"/>
            <w:vAlign w:val="bottom"/>
            <w:gridSpan w:val="2"/>
          </w:tcPr>
          <w:p>
            <w:pPr>
              <w:ind w:left="540"/>
              <w:spacing w:after="0"/>
              <w:rPr>
                <w:sz w:val="20"/>
                <w:szCs w:val="20"/>
                <w:color w:val="auto"/>
              </w:rPr>
            </w:pPr>
            <w:r>
              <w:rPr>
                <w:rFonts w:ascii="Times New Roman" w:cs="Times New Roman" w:eastAsia="Times New Roman" w:hAnsi="Times New Roman"/>
                <w:sz w:val="18"/>
                <w:szCs w:val="18"/>
                <w:b w:val="1"/>
                <w:bCs w:val="1"/>
                <w:color w:val="auto"/>
              </w:rPr>
              <w:t>Properties</w:t>
            </w:r>
          </w:p>
        </w:tc>
        <w:tc>
          <w:tcPr>
            <w:tcW w:w="156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Other</w:t>
            </w:r>
          </w:p>
        </w:tc>
        <w:tc>
          <w:tcPr>
            <w:tcW w:w="112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40" w:type="dxa"/>
            <w:vAlign w:val="bottom"/>
          </w:tcPr>
          <w:p>
            <w:pPr>
              <w:spacing w:after="0"/>
              <w:rPr>
                <w:sz w:val="20"/>
                <w:szCs w:val="20"/>
                <w:color w:val="auto"/>
              </w:rPr>
            </w:pPr>
          </w:p>
        </w:tc>
      </w:tr>
      <w:tr>
        <w:trPr>
          <w:trHeight w:val="210"/>
        </w:trPr>
        <w:tc>
          <w:tcPr>
            <w:tcW w:w="2800" w:type="dxa"/>
            <w:vAlign w:val="bottom"/>
            <w:tcBorders>
              <w:top w:val="single" w:sz="8" w:color="E5FFFF"/>
            </w:tcBorders>
            <w:shd w:val="clear" w:color="auto" w:fill="E5FFFF"/>
          </w:tcPr>
          <w:p>
            <w:pPr>
              <w:ind w:left="100"/>
              <w:spacing w:after="0"/>
              <w:rPr>
                <w:sz w:val="20"/>
                <w:szCs w:val="20"/>
                <w:color w:val="auto"/>
              </w:rPr>
            </w:pPr>
            <w:r>
              <w:rPr>
                <w:rFonts w:ascii="Times New Roman" w:cs="Times New Roman" w:eastAsia="Times New Roman" w:hAnsi="Times New Roman"/>
                <w:sz w:val="18"/>
                <w:szCs w:val="18"/>
                <w:color w:val="auto"/>
              </w:rPr>
              <w:t>As of January 1, 2020</w:t>
            </w:r>
          </w:p>
        </w:tc>
        <w:tc>
          <w:tcPr>
            <w:tcW w:w="1220" w:type="dxa"/>
            <w:vAlign w:val="bottom"/>
            <w:tcBorders>
              <w:top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200,032</w:t>
            </w:r>
          </w:p>
        </w:tc>
        <w:tc>
          <w:tcPr>
            <w:tcW w:w="240" w:type="dxa"/>
            <w:vAlign w:val="bottom"/>
            <w:tcBorders>
              <w:top w:val="single" w:sz="8" w:color="E5FFFF"/>
            </w:tcBorders>
            <w:shd w:val="clear" w:color="auto" w:fill="E5FFFF"/>
          </w:tcPr>
          <w:p>
            <w:pPr>
              <w:spacing w:after="0"/>
              <w:rPr>
                <w:sz w:val="18"/>
                <w:szCs w:val="18"/>
                <w:color w:val="auto"/>
              </w:rPr>
            </w:pPr>
          </w:p>
        </w:tc>
        <w:tc>
          <w:tcPr>
            <w:tcW w:w="1680" w:type="dxa"/>
            <w:vAlign w:val="bottom"/>
            <w:tcBorders>
              <w:top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1,857</w:t>
            </w:r>
          </w:p>
        </w:tc>
        <w:tc>
          <w:tcPr>
            <w:tcW w:w="240" w:type="dxa"/>
            <w:vAlign w:val="bottom"/>
            <w:tcBorders>
              <w:top w:val="single" w:sz="8" w:color="E5FFFF"/>
            </w:tcBorders>
            <w:shd w:val="clear" w:color="auto" w:fill="E5FFFF"/>
          </w:tcPr>
          <w:p>
            <w:pPr>
              <w:spacing w:after="0"/>
              <w:rPr>
                <w:sz w:val="18"/>
                <w:szCs w:val="18"/>
                <w:color w:val="auto"/>
              </w:rPr>
            </w:pPr>
          </w:p>
        </w:tc>
        <w:tc>
          <w:tcPr>
            <w:tcW w:w="18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4,550</w:t>
            </w:r>
          </w:p>
        </w:tc>
        <w:tc>
          <w:tcPr>
            <w:tcW w:w="260" w:type="dxa"/>
            <w:vAlign w:val="bottom"/>
            <w:tcBorders>
              <w:top w:val="single" w:sz="8" w:color="E5FFFF"/>
            </w:tcBorders>
            <w:shd w:val="clear" w:color="auto" w:fill="E5FFFF"/>
          </w:tcPr>
          <w:p>
            <w:pPr>
              <w:spacing w:after="0"/>
              <w:rPr>
                <w:sz w:val="18"/>
                <w:szCs w:val="18"/>
                <w:color w:val="auto"/>
              </w:rPr>
            </w:pPr>
          </w:p>
        </w:tc>
        <w:tc>
          <w:tcPr>
            <w:tcW w:w="1320" w:type="dxa"/>
            <w:vAlign w:val="bottom"/>
            <w:tcBorders>
              <w:top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56</w:t>
            </w:r>
          </w:p>
        </w:tc>
        <w:tc>
          <w:tcPr>
            <w:tcW w:w="240" w:type="dxa"/>
            <w:vAlign w:val="bottom"/>
            <w:tcBorders>
              <w:top w:val="single" w:sz="8" w:color="E5FFFF"/>
            </w:tcBorders>
            <w:shd w:val="clear" w:color="auto" w:fill="E5FFFF"/>
          </w:tcPr>
          <w:p>
            <w:pPr>
              <w:spacing w:after="0"/>
              <w:rPr>
                <w:sz w:val="18"/>
                <w:szCs w:val="18"/>
                <w:color w:val="auto"/>
              </w:rPr>
            </w:pPr>
          </w:p>
        </w:tc>
        <w:tc>
          <w:tcPr>
            <w:tcW w:w="1120" w:type="dxa"/>
            <w:vAlign w:val="bottom"/>
            <w:tcBorders>
              <w:top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206,495</w:t>
            </w:r>
          </w:p>
        </w:tc>
        <w:tc>
          <w:tcPr>
            <w:tcW w:w="240" w:type="dxa"/>
            <w:vAlign w:val="bottom"/>
          </w:tcPr>
          <w:p>
            <w:pPr>
              <w:spacing w:after="0"/>
              <w:rPr>
                <w:sz w:val="18"/>
                <w:szCs w:val="18"/>
                <w:color w:val="auto"/>
              </w:rPr>
            </w:pPr>
          </w:p>
        </w:tc>
      </w:tr>
      <w:tr>
        <w:trPr>
          <w:trHeight w:val="216"/>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Additions</w:t>
            </w:r>
          </w:p>
        </w:tc>
        <w:tc>
          <w:tcPr>
            <w:tcW w:w="1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5,642</w:t>
            </w:r>
          </w:p>
        </w:tc>
        <w:tc>
          <w:tcPr>
            <w:tcW w:w="240" w:type="dxa"/>
            <w:vAlign w:val="bottom"/>
          </w:tcPr>
          <w:p>
            <w:pPr>
              <w:spacing w:after="0"/>
              <w:rPr>
                <w:sz w:val="18"/>
                <w:szCs w:val="18"/>
                <w:color w:val="auto"/>
              </w:rPr>
            </w:pPr>
          </w:p>
        </w:tc>
        <w:tc>
          <w:tcPr>
            <w:tcW w:w="16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578</w:t>
            </w:r>
          </w:p>
        </w:tc>
        <w:tc>
          <w:tcPr>
            <w:tcW w:w="240" w:type="dxa"/>
            <w:vAlign w:val="bottom"/>
          </w:tcPr>
          <w:p>
            <w:pPr>
              <w:spacing w:after="0"/>
              <w:rPr>
                <w:sz w:val="18"/>
                <w:szCs w:val="18"/>
                <w:color w:val="auto"/>
              </w:rPr>
            </w:pPr>
          </w:p>
        </w:tc>
        <w:tc>
          <w:tcPr>
            <w:tcW w:w="1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516</w:t>
            </w:r>
          </w:p>
        </w:tc>
        <w:tc>
          <w:tcPr>
            <w:tcW w:w="260" w:type="dxa"/>
            <w:vAlign w:val="bottom"/>
          </w:tcPr>
          <w:p>
            <w:pPr>
              <w:spacing w:after="0"/>
              <w:rPr>
                <w:sz w:val="18"/>
                <w:szCs w:val="18"/>
                <w:color w:val="auto"/>
              </w:rPr>
            </w:pPr>
          </w:p>
        </w:tc>
        <w:tc>
          <w:tcPr>
            <w:tcW w:w="13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59</w:t>
            </w:r>
          </w:p>
        </w:tc>
        <w:tc>
          <w:tcPr>
            <w:tcW w:w="2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6,795</w:t>
            </w:r>
          </w:p>
        </w:tc>
        <w:tc>
          <w:tcPr>
            <w:tcW w:w="240" w:type="dxa"/>
            <w:vAlign w:val="bottom"/>
          </w:tcPr>
          <w:p>
            <w:pPr>
              <w:spacing w:after="0"/>
              <w:rPr>
                <w:sz w:val="18"/>
                <w:szCs w:val="18"/>
                <w:color w:val="auto"/>
              </w:rPr>
            </w:pPr>
          </w:p>
        </w:tc>
      </w:tr>
      <w:tr>
        <w:trPr>
          <w:trHeight w:val="216"/>
        </w:trPr>
        <w:tc>
          <w:tcPr>
            <w:tcW w:w="2800" w:type="dxa"/>
            <w:vAlign w:val="bottom"/>
            <w:shd w:val="clear" w:color="auto" w:fill="E5FFFF"/>
          </w:tcPr>
          <w:p>
            <w:pPr>
              <w:ind w:left="100"/>
              <w:spacing w:after="0"/>
              <w:rPr>
                <w:sz w:val="20"/>
                <w:szCs w:val="20"/>
                <w:color w:val="auto"/>
              </w:rPr>
            </w:pPr>
            <w:r>
              <w:rPr>
                <w:rFonts w:ascii="Times New Roman" w:cs="Times New Roman" w:eastAsia="Times New Roman" w:hAnsi="Times New Roman"/>
                <w:sz w:val="18"/>
                <w:szCs w:val="18"/>
                <w:color w:val="auto"/>
              </w:rPr>
              <w:t>Depreciation expense</w:t>
            </w:r>
          </w:p>
        </w:tc>
        <w:tc>
          <w:tcPr>
            <w:tcW w:w="122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(6,052)</w:t>
            </w:r>
          </w:p>
        </w:tc>
        <w:tc>
          <w:tcPr>
            <w:tcW w:w="240" w:type="dxa"/>
            <w:vAlign w:val="bottom"/>
            <w:shd w:val="clear" w:color="auto" w:fill="E5FFFF"/>
          </w:tcPr>
          <w:p>
            <w:pPr>
              <w:spacing w:after="0"/>
              <w:rPr>
                <w:sz w:val="18"/>
                <w:szCs w:val="18"/>
                <w:color w:val="auto"/>
              </w:rPr>
            </w:pPr>
          </w:p>
        </w:tc>
        <w:tc>
          <w:tcPr>
            <w:tcW w:w="168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(914)</w:t>
            </w:r>
          </w:p>
        </w:tc>
        <w:tc>
          <w:tcPr>
            <w:tcW w:w="240" w:type="dxa"/>
            <w:vAlign w:val="bottom"/>
            <w:shd w:val="clear" w:color="auto" w:fill="E5FFFF"/>
          </w:tcPr>
          <w:p>
            <w:pPr>
              <w:spacing w:after="0"/>
              <w:rPr>
                <w:sz w:val="18"/>
                <w:szCs w:val="18"/>
                <w:color w:val="auto"/>
              </w:rPr>
            </w:pPr>
          </w:p>
        </w:tc>
        <w:tc>
          <w:tcPr>
            <w:tcW w:w="18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(1,160)</w:t>
            </w:r>
          </w:p>
        </w:tc>
        <w:tc>
          <w:tcPr>
            <w:tcW w:w="260" w:type="dxa"/>
            <w:vAlign w:val="bottom"/>
            <w:shd w:val="clear" w:color="auto" w:fill="E5FFFF"/>
          </w:tcPr>
          <w:p>
            <w:pPr>
              <w:spacing w:after="0"/>
              <w:rPr>
                <w:sz w:val="18"/>
                <w:szCs w:val="18"/>
                <w:color w:val="auto"/>
              </w:rPr>
            </w:pPr>
          </w:p>
        </w:tc>
        <w:tc>
          <w:tcPr>
            <w:tcW w:w="132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shd w:val="clear" w:color="auto" w:fill="E5FFFF"/>
          </w:tcPr>
          <w:p>
            <w:pPr>
              <w:spacing w:after="0"/>
              <w:rPr>
                <w:sz w:val="18"/>
                <w:szCs w:val="18"/>
                <w:color w:val="auto"/>
              </w:rPr>
            </w:pPr>
          </w:p>
        </w:tc>
        <w:tc>
          <w:tcPr>
            <w:tcW w:w="1120" w:type="dxa"/>
            <w:vAlign w:val="bottom"/>
            <w:tcBorders>
              <w:bottom w:val="single" w:sz="8" w:color="auto"/>
            </w:tcBorders>
            <w:shd w:val="clear" w:color="auto" w:fill="E5FFFF"/>
          </w:tcPr>
          <w:p>
            <w:pPr>
              <w:jc w:val="right"/>
              <w:ind w:right="10"/>
              <w:spacing w:after="0"/>
              <w:rPr>
                <w:sz w:val="20"/>
                <w:szCs w:val="20"/>
                <w:color w:val="auto"/>
              </w:rPr>
            </w:pPr>
            <w:r>
              <w:rPr>
                <w:rFonts w:ascii="Times New Roman" w:cs="Times New Roman" w:eastAsia="Times New Roman" w:hAnsi="Times New Roman"/>
                <w:sz w:val="18"/>
                <w:szCs w:val="18"/>
                <w:color w:val="auto"/>
              </w:rPr>
              <w:t>(8,164)</w:t>
            </w:r>
          </w:p>
        </w:tc>
        <w:tc>
          <w:tcPr>
            <w:tcW w:w="240" w:type="dxa"/>
            <w:vAlign w:val="bottom"/>
          </w:tcPr>
          <w:p>
            <w:pPr>
              <w:spacing w:after="0"/>
              <w:rPr>
                <w:sz w:val="18"/>
                <w:szCs w:val="18"/>
                <w:color w:val="auto"/>
              </w:rPr>
            </w:pPr>
          </w:p>
        </w:tc>
      </w:tr>
      <w:tr>
        <w:trPr>
          <w:trHeight w:val="216"/>
        </w:trPr>
        <w:tc>
          <w:tcPr>
            <w:tcW w:w="280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1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199,622</w:t>
            </w:r>
          </w:p>
        </w:tc>
        <w:tc>
          <w:tcPr>
            <w:tcW w:w="240" w:type="dxa"/>
            <w:vAlign w:val="bottom"/>
          </w:tcPr>
          <w:p>
            <w:pPr>
              <w:spacing w:after="0"/>
              <w:rPr>
                <w:sz w:val="18"/>
                <w:szCs w:val="18"/>
                <w:color w:val="auto"/>
              </w:rPr>
            </w:pPr>
          </w:p>
        </w:tc>
        <w:tc>
          <w:tcPr>
            <w:tcW w:w="16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1,521</w:t>
            </w:r>
          </w:p>
        </w:tc>
        <w:tc>
          <w:tcPr>
            <w:tcW w:w="240" w:type="dxa"/>
            <w:vAlign w:val="bottom"/>
          </w:tcPr>
          <w:p>
            <w:pPr>
              <w:spacing w:after="0"/>
              <w:rPr>
                <w:sz w:val="18"/>
                <w:szCs w:val="18"/>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3,906</w:t>
            </w:r>
          </w:p>
        </w:tc>
        <w:tc>
          <w:tcPr>
            <w:tcW w:w="260" w:type="dxa"/>
            <w:vAlign w:val="bottom"/>
          </w:tcPr>
          <w:p>
            <w:pPr>
              <w:spacing w:after="0"/>
              <w:rPr>
                <w:sz w:val="18"/>
                <w:szCs w:val="18"/>
                <w:color w:val="auto"/>
              </w:rPr>
            </w:pPr>
          </w:p>
        </w:tc>
        <w:tc>
          <w:tcPr>
            <w:tcW w:w="13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77</w:t>
            </w:r>
          </w:p>
        </w:tc>
        <w:tc>
          <w:tcPr>
            <w:tcW w:w="240" w:type="dxa"/>
            <w:vAlign w:val="bottom"/>
          </w:tcPr>
          <w:p>
            <w:pPr>
              <w:spacing w:after="0"/>
              <w:rPr>
                <w:sz w:val="18"/>
                <w:szCs w:val="18"/>
                <w:color w:val="auto"/>
              </w:rPr>
            </w:pPr>
          </w:p>
        </w:tc>
        <w:tc>
          <w:tcPr>
            <w:tcW w:w="11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205,126</w:t>
            </w:r>
          </w:p>
        </w:tc>
        <w:tc>
          <w:tcPr>
            <w:tcW w:w="240" w:type="dxa"/>
            <w:vAlign w:val="bottom"/>
          </w:tcPr>
          <w:p>
            <w:pPr>
              <w:spacing w:after="0"/>
              <w:rPr>
                <w:sz w:val="18"/>
                <w:szCs w:val="18"/>
                <w:color w:val="auto"/>
              </w:rPr>
            </w:pPr>
          </w:p>
        </w:tc>
      </w:tr>
      <w:tr>
        <w:trPr>
          <w:trHeight w:val="648"/>
        </w:trPr>
        <w:tc>
          <w:tcPr>
            <w:tcW w:w="28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ind w:left="1240"/>
              <w:spacing w:after="0"/>
              <w:rPr>
                <w:sz w:val="20"/>
                <w:szCs w:val="20"/>
                <w:color w:val="auto"/>
              </w:rPr>
            </w:pPr>
            <w:r>
              <w:rPr>
                <w:rFonts w:ascii="Times New Roman" w:cs="Times New Roman" w:eastAsia="Times New Roman" w:hAnsi="Times New Roman"/>
                <w:sz w:val="18"/>
                <w:szCs w:val="18"/>
                <w:color w:val="auto"/>
              </w:rPr>
              <w:t>F-9</w:t>
            </w:r>
          </w:p>
        </w:tc>
        <w:tc>
          <w:tcPr>
            <w:tcW w:w="18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5"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the lease liabilities is as follows:</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438"/>
        </w:trPr>
        <w:tc>
          <w:tcPr>
            <w:tcW w:w="7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b w:val="1"/>
                <w:bCs w:val="1"/>
                <w:color w:val="auto"/>
              </w:rPr>
              <w:t>Lease Liabilities</w:t>
            </w:r>
          </w:p>
        </w:tc>
      </w:tr>
      <w:tr>
        <w:trPr>
          <w:trHeight w:val="209"/>
        </w:trPr>
        <w:tc>
          <w:tcPr>
            <w:tcW w:w="73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As of January 1, 2020</w:t>
            </w:r>
          </w:p>
        </w:tc>
        <w:tc>
          <w:tcPr>
            <w:tcW w:w="900" w:type="dxa"/>
            <w:vAlign w:val="bottom"/>
            <w:tcBorders>
              <w:top w:val="single" w:sz="8" w:color="E5FFFF"/>
            </w:tcBorders>
            <w:shd w:val="clear" w:color="auto" w:fill="E5FFFF"/>
          </w:tcPr>
          <w:p>
            <w:pPr>
              <w:spacing w:after="0"/>
              <w:rPr>
                <w:sz w:val="18"/>
                <w:szCs w:val="18"/>
                <w:color w:val="auto"/>
              </w:rPr>
            </w:pPr>
          </w:p>
        </w:tc>
        <w:tc>
          <w:tcPr>
            <w:tcW w:w="800" w:type="dxa"/>
            <w:vAlign w:val="bottom"/>
            <w:tcBorders>
              <w:top w:val="single" w:sz="8" w:color="auto"/>
            </w:tcBorders>
            <w:shd w:val="clear" w:color="auto" w:fill="E5FFFF"/>
          </w:tcPr>
          <w:p>
            <w:pPr>
              <w:spacing w:after="0"/>
              <w:rPr>
                <w:sz w:val="18"/>
                <w:szCs w:val="18"/>
                <w:color w:val="auto"/>
              </w:rPr>
            </w:pPr>
          </w:p>
        </w:tc>
        <w:tc>
          <w:tcPr>
            <w:tcW w:w="200" w:type="dxa"/>
            <w:vAlign w:val="bottom"/>
            <w:tcBorders>
              <w:top w:val="single" w:sz="8" w:color="auto"/>
            </w:tcBorders>
            <w:shd w:val="clear" w:color="auto" w:fill="E5FFFF"/>
          </w:tcPr>
          <w:p>
            <w:pPr>
              <w:spacing w:after="0"/>
              <w:rPr>
                <w:sz w:val="18"/>
                <w:szCs w:val="18"/>
                <w:color w:val="auto"/>
              </w:rPr>
            </w:pPr>
          </w:p>
        </w:tc>
        <w:tc>
          <w:tcPr>
            <w:tcW w:w="13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204,930</w:t>
            </w:r>
          </w:p>
        </w:tc>
        <w:tc>
          <w:tcPr>
            <w:tcW w:w="560" w:type="dxa"/>
            <w:vAlign w:val="bottom"/>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Additions</w:t>
            </w: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560" w:type="dxa"/>
            <w:vAlign w:val="bottom"/>
          </w:tcPr>
          <w:p>
            <w:pPr>
              <w:spacing w:after="0"/>
              <w:rPr>
                <w:sz w:val="18"/>
                <w:szCs w:val="18"/>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Lease charge (Note 16)</w:t>
            </w:r>
          </w:p>
        </w:tc>
        <w:tc>
          <w:tcPr>
            <w:tcW w:w="900" w:type="dxa"/>
            <w:vAlign w:val="bottom"/>
            <w:shd w:val="clear" w:color="auto" w:fill="E5FFFF"/>
          </w:tcPr>
          <w:p>
            <w:pPr>
              <w:spacing w:after="0"/>
              <w:rPr>
                <w:sz w:val="18"/>
                <w:szCs w:val="18"/>
                <w:color w:val="auto"/>
              </w:rPr>
            </w:pPr>
          </w:p>
        </w:tc>
        <w:tc>
          <w:tcPr>
            <w:tcW w:w="800" w:type="dxa"/>
            <w:vAlign w:val="bottom"/>
            <w:shd w:val="clear" w:color="auto" w:fill="E5FFFF"/>
          </w:tcPr>
          <w:p>
            <w:pPr>
              <w:spacing w:after="0"/>
              <w:rPr>
                <w:sz w:val="18"/>
                <w:szCs w:val="18"/>
                <w:color w:val="auto"/>
              </w:rPr>
            </w:pPr>
          </w:p>
        </w:tc>
        <w:tc>
          <w:tcPr>
            <w:tcW w:w="200" w:type="dxa"/>
            <w:vAlign w:val="bottom"/>
            <w:shd w:val="clear" w:color="auto" w:fill="E5FFFF"/>
          </w:tcPr>
          <w:p>
            <w:pPr>
              <w:spacing w:after="0"/>
              <w:rPr>
                <w:sz w:val="18"/>
                <w:szCs w:val="18"/>
                <w:color w:val="auto"/>
              </w:rPr>
            </w:pPr>
          </w:p>
        </w:tc>
        <w:tc>
          <w:tcPr>
            <w:tcW w:w="13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7,597</w:t>
            </w:r>
          </w:p>
        </w:tc>
        <w:tc>
          <w:tcPr>
            <w:tcW w:w="560" w:type="dxa"/>
            <w:vAlign w:val="bottom"/>
          </w:tcPr>
          <w:p>
            <w:pPr>
              <w:spacing w:after="0"/>
              <w:rPr>
                <w:sz w:val="18"/>
                <w:szCs w:val="18"/>
                <w:color w:val="auto"/>
              </w:rPr>
            </w:pPr>
          </w:p>
        </w:tc>
      </w:tr>
      <w:tr>
        <w:trPr>
          <w:trHeight w:val="216"/>
        </w:trPr>
        <w:tc>
          <w:tcPr>
            <w:tcW w:w="732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8"/>
                <w:szCs w:val="18"/>
                <w:color w:val="auto"/>
              </w:rPr>
              <w:t>Payments</w:t>
            </w:r>
          </w:p>
        </w:tc>
        <w:tc>
          <w:tcPr>
            <w:tcW w:w="900" w:type="dxa"/>
            <w:vAlign w:val="bottom"/>
            <w:tcBorders>
              <w:bottom w:val="single" w:sz="8" w:color="E5FF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(15,589)</w:t>
            </w:r>
          </w:p>
        </w:tc>
        <w:tc>
          <w:tcPr>
            <w:tcW w:w="560" w:type="dxa"/>
            <w:vAlign w:val="bottom"/>
          </w:tcPr>
          <w:p>
            <w:pPr>
              <w:spacing w:after="0"/>
              <w:rPr>
                <w:sz w:val="18"/>
                <w:szCs w:val="18"/>
                <w:color w:val="auto"/>
              </w:rPr>
            </w:pPr>
          </w:p>
        </w:tc>
      </w:tr>
      <w:tr>
        <w:trPr>
          <w:trHeight w:val="229"/>
        </w:trPr>
        <w:tc>
          <w:tcPr>
            <w:tcW w:w="732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As of September 30, 2020</w:t>
            </w:r>
          </w:p>
        </w:tc>
        <w:tc>
          <w:tcPr>
            <w:tcW w:w="900" w:type="dxa"/>
            <w:vAlign w:val="bottom"/>
            <w:tcBorders>
              <w:bottom w:val="single" w:sz="8" w:color="E5FFFF"/>
            </w:tcBorders>
            <w:shd w:val="clear" w:color="auto" w:fill="E5FFFF"/>
          </w:tcPr>
          <w:p>
            <w:pPr>
              <w:spacing w:after="0"/>
              <w:rPr>
                <w:sz w:val="19"/>
                <w:szCs w:val="19"/>
                <w:color w:val="auto"/>
              </w:rPr>
            </w:pPr>
          </w:p>
        </w:tc>
        <w:tc>
          <w:tcPr>
            <w:tcW w:w="800" w:type="dxa"/>
            <w:vAlign w:val="bottom"/>
            <w:tcBorders>
              <w:bottom w:val="single" w:sz="8" w:color="auto"/>
            </w:tcBorders>
            <w:shd w:val="clear" w:color="auto" w:fill="E5FFFF"/>
          </w:tcPr>
          <w:p>
            <w:pPr>
              <w:spacing w:after="0"/>
              <w:rPr>
                <w:sz w:val="19"/>
                <w:szCs w:val="19"/>
                <w:color w:val="auto"/>
              </w:rPr>
            </w:pPr>
          </w:p>
        </w:tc>
        <w:tc>
          <w:tcPr>
            <w:tcW w:w="200" w:type="dxa"/>
            <w:vAlign w:val="bottom"/>
            <w:tcBorders>
              <w:bottom w:val="single" w:sz="8" w:color="auto"/>
            </w:tcBorders>
            <w:shd w:val="clear" w:color="auto" w:fill="E5FFFF"/>
          </w:tcPr>
          <w:p>
            <w:pPr>
              <w:spacing w:after="0"/>
              <w:rPr>
                <w:sz w:val="19"/>
                <w:szCs w:val="19"/>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198,091</w:t>
            </w:r>
          </w:p>
        </w:tc>
        <w:tc>
          <w:tcPr>
            <w:tcW w:w="560" w:type="dxa"/>
            <w:vAlign w:val="bottom"/>
          </w:tcPr>
          <w:p>
            <w:pPr>
              <w:spacing w:after="0"/>
              <w:rPr>
                <w:sz w:val="19"/>
                <w:szCs w:val="19"/>
                <w:color w:val="auto"/>
              </w:rPr>
            </w:pPr>
          </w:p>
        </w:tc>
      </w:tr>
      <w:tr>
        <w:trPr>
          <w:trHeight w:val="203"/>
        </w:trPr>
        <w:tc>
          <w:tcPr>
            <w:tcW w:w="73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Lease liability, current portion</w:t>
            </w:r>
          </w:p>
        </w:tc>
        <w:tc>
          <w:tcPr>
            <w:tcW w:w="9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9,732</w:t>
            </w:r>
          </w:p>
        </w:tc>
        <w:tc>
          <w:tcPr>
            <w:tcW w:w="560" w:type="dxa"/>
            <w:vAlign w:val="bottom"/>
          </w:tcPr>
          <w:p>
            <w:pPr>
              <w:spacing w:after="0"/>
              <w:rPr>
                <w:sz w:val="17"/>
                <w:szCs w:val="17"/>
                <w:color w:val="auto"/>
              </w:rPr>
            </w:pP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Lease liability, non-current portion</w:t>
            </w:r>
          </w:p>
        </w:tc>
        <w:tc>
          <w:tcPr>
            <w:tcW w:w="900" w:type="dxa"/>
            <w:vAlign w:val="bottom"/>
            <w:shd w:val="clear" w:color="auto" w:fill="E5FFFF"/>
          </w:tcPr>
          <w:p>
            <w:pPr>
              <w:spacing w:after="0"/>
              <w:rPr>
                <w:sz w:val="18"/>
                <w:szCs w:val="18"/>
                <w:color w:val="auto"/>
              </w:rPr>
            </w:pPr>
          </w:p>
        </w:tc>
        <w:tc>
          <w:tcPr>
            <w:tcW w:w="800" w:type="dxa"/>
            <w:vAlign w:val="bottom"/>
            <w:tcBorders>
              <w:bottom w:val="single" w:sz="8" w:color="auto"/>
            </w:tcBorders>
            <w:shd w:val="clear" w:color="auto" w:fill="E5FFFF"/>
          </w:tcPr>
          <w:p>
            <w:pPr>
              <w:spacing w:after="0"/>
              <w:rPr>
                <w:sz w:val="18"/>
                <w:szCs w:val="18"/>
                <w:color w:val="auto"/>
              </w:rPr>
            </w:pPr>
          </w:p>
        </w:tc>
        <w:tc>
          <w:tcPr>
            <w:tcW w:w="200" w:type="dxa"/>
            <w:vAlign w:val="bottom"/>
            <w:tcBorders>
              <w:bottom w:val="single" w:sz="8" w:color="auto"/>
            </w:tcBorders>
            <w:shd w:val="clear" w:color="auto" w:fill="E5FFFF"/>
          </w:tcPr>
          <w:p>
            <w:pPr>
              <w:spacing w:after="0"/>
              <w:rPr>
                <w:sz w:val="18"/>
                <w:szCs w:val="18"/>
                <w:color w:val="auto"/>
              </w:rPr>
            </w:pPr>
          </w:p>
        </w:tc>
        <w:tc>
          <w:tcPr>
            <w:tcW w:w="136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188,359</w:t>
            </w:r>
          </w:p>
        </w:tc>
        <w:tc>
          <w:tcPr>
            <w:tcW w:w="560" w:type="dxa"/>
            <w:vAlign w:val="bottom"/>
          </w:tcPr>
          <w:p>
            <w:pPr>
              <w:spacing w:after="0"/>
              <w:rPr>
                <w:sz w:val="18"/>
                <w:szCs w:val="18"/>
                <w:color w:val="auto"/>
              </w:rPr>
            </w:pPr>
          </w:p>
        </w:tc>
      </w:tr>
      <w:tr>
        <w:trPr>
          <w:trHeight w:val="217"/>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90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198,091</w:t>
            </w:r>
          </w:p>
        </w:tc>
        <w:tc>
          <w:tcPr>
            <w:tcW w:w="560" w:type="dxa"/>
            <w:vAlign w:val="bottom"/>
          </w:tcPr>
          <w:p>
            <w:pPr>
              <w:spacing w:after="0"/>
              <w:rPr>
                <w:sz w:val="18"/>
                <w:szCs w:val="18"/>
                <w:color w:val="auto"/>
              </w:rPr>
            </w:pPr>
          </w:p>
        </w:tc>
      </w:tr>
      <w:tr>
        <w:trPr>
          <w:trHeight w:val="413"/>
        </w:trPr>
        <w:tc>
          <w:tcPr>
            <w:tcW w:w="7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6. Other Non-Current Assets</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18"/>
        </w:trPr>
        <w:tc>
          <w:tcPr>
            <w:tcW w:w="73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Other non-current assets consist of the following:</w:t>
            </w:r>
          </w:p>
        </w:tc>
        <w:tc>
          <w:tcPr>
            <w:tcW w:w="9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438"/>
        </w:trPr>
        <w:tc>
          <w:tcPr>
            <w:tcW w:w="7320" w:type="dxa"/>
            <w:vAlign w:val="bottom"/>
            <w:tcBorders>
              <w:bottom w:val="single" w:sz="8" w:color="E5FFFF"/>
            </w:tcBorders>
          </w:tcPr>
          <w:p>
            <w:pPr>
              <w:spacing w:after="0"/>
              <w:rPr>
                <w:sz w:val="24"/>
                <w:szCs w:val="24"/>
                <w:color w:val="auto"/>
              </w:rPr>
            </w:pPr>
          </w:p>
        </w:tc>
        <w:tc>
          <w:tcPr>
            <w:tcW w:w="19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9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09"/>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Various guarantees</w:t>
            </w:r>
          </w:p>
        </w:tc>
        <w:tc>
          <w:tcPr>
            <w:tcW w:w="19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388</w:t>
            </w:r>
          </w:p>
        </w:tc>
        <w:tc>
          <w:tcPr>
            <w:tcW w:w="19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278</w:t>
            </w:r>
          </w:p>
        </w:tc>
      </w:tr>
      <w:tr>
        <w:trPr>
          <w:trHeight w:val="216"/>
        </w:trPr>
        <w:tc>
          <w:tcPr>
            <w:tcW w:w="7320" w:type="dxa"/>
            <w:vAlign w:val="bottom"/>
          </w:tcPr>
          <w:p>
            <w:pPr>
              <w:spacing w:after="0"/>
              <w:rPr>
                <w:sz w:val="20"/>
                <w:szCs w:val="20"/>
                <w:color w:val="auto"/>
              </w:rPr>
            </w:pPr>
            <w:r>
              <w:rPr>
                <w:rFonts w:ascii="Times New Roman" w:cs="Times New Roman" w:eastAsia="Times New Roman" w:hAnsi="Times New Roman"/>
                <w:sz w:val="18"/>
                <w:szCs w:val="18"/>
                <w:color w:val="auto"/>
              </w:rPr>
              <w:t>Other long-term assets</w:t>
            </w:r>
          </w:p>
        </w:tc>
        <w:tc>
          <w:tcPr>
            <w:tcW w:w="190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1,613</w:t>
            </w:r>
          </w:p>
        </w:tc>
        <w:tc>
          <w:tcPr>
            <w:tcW w:w="1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5,421</w:t>
            </w:r>
          </w:p>
        </w:tc>
      </w:tr>
      <w:tr>
        <w:trPr>
          <w:trHeight w:val="216"/>
        </w:trPr>
        <w:tc>
          <w:tcPr>
            <w:tcW w:w="73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Cash collaterals on swaps</w:t>
            </w:r>
          </w:p>
        </w:tc>
        <w:tc>
          <w:tcPr>
            <w:tcW w:w="1900" w:type="dxa"/>
            <w:vAlign w:val="bottom"/>
            <w:gridSpan w:val="3"/>
            <w:shd w:val="clear" w:color="auto" w:fill="E5FFFF"/>
          </w:tcPr>
          <w:p>
            <w:pPr>
              <w:jc w:val="right"/>
              <w:ind w:right="200"/>
              <w:spacing w:after="0"/>
              <w:rPr>
                <w:sz w:val="20"/>
                <w:szCs w:val="20"/>
                <w:color w:val="auto"/>
              </w:rPr>
            </w:pPr>
            <w:r>
              <w:rPr>
                <w:rFonts w:ascii="Times New Roman" w:cs="Times New Roman" w:eastAsia="Times New Roman" w:hAnsi="Times New Roman"/>
                <w:sz w:val="18"/>
                <w:szCs w:val="18"/>
                <w:color w:val="auto"/>
              </w:rPr>
              <w:t>22,220</w:t>
            </w:r>
          </w:p>
        </w:tc>
        <w:tc>
          <w:tcPr>
            <w:tcW w:w="192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18,954</w:t>
            </w:r>
          </w:p>
        </w:tc>
      </w:tr>
      <w:tr>
        <w:trPr>
          <w:trHeight w:val="210"/>
        </w:trPr>
        <w:tc>
          <w:tcPr>
            <w:tcW w:w="7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7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24,221</w:t>
            </w:r>
          </w:p>
        </w:tc>
        <w:tc>
          <w:tcPr>
            <w:tcW w:w="200" w:type="dxa"/>
            <w:vAlign w:val="bottom"/>
          </w:tcPr>
          <w:p>
            <w:pPr>
              <w:spacing w:after="0"/>
              <w:rPr>
                <w:sz w:val="18"/>
                <w:szCs w:val="18"/>
                <w:color w:val="auto"/>
              </w:rPr>
            </w:pPr>
          </w:p>
        </w:tc>
        <w:tc>
          <w:tcPr>
            <w:tcW w:w="1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24,653</w:t>
            </w:r>
          </w:p>
        </w:tc>
      </w:tr>
      <w:tr>
        <w:trPr>
          <w:trHeight w:val="20"/>
        </w:trPr>
        <w:tc>
          <w:tcPr>
            <w:tcW w:w="73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Cash collaterals on swaps represent cash deposited for the Group’s interest rate swaps, being the difference between their fair value and an agreed threshold. An amount of $29,371 of cash collaterals has been included in Prepayments and other current assets (December 31, 2019: nil).</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66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7. Borrowings</w:t>
            </w:r>
          </w:p>
        </w:tc>
        <w:tc>
          <w:tcPr>
            <w:tcW w:w="1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418"/>
        </w:trPr>
        <w:tc>
          <w:tcPr>
            <w:tcW w:w="76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the borrowings is as follows:</w:t>
            </w:r>
          </w:p>
        </w:tc>
        <w:tc>
          <w:tcPr>
            <w:tcW w:w="1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38"/>
        </w:trPr>
        <w:tc>
          <w:tcPr>
            <w:tcW w:w="7660" w:type="dxa"/>
            <w:vAlign w:val="bottom"/>
          </w:tcPr>
          <w:p>
            <w:pPr>
              <w:spacing w:after="0"/>
              <w:rPr>
                <w:sz w:val="24"/>
                <w:szCs w:val="24"/>
                <w:color w:val="auto"/>
              </w:rPr>
            </w:pPr>
          </w:p>
        </w:tc>
        <w:tc>
          <w:tcPr>
            <w:tcW w:w="19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December 31, 2019</w:t>
            </w:r>
          </w:p>
        </w:tc>
        <w:tc>
          <w:tcPr>
            <w:tcW w:w="16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 2020</w:t>
            </w:r>
          </w:p>
        </w:tc>
      </w:tr>
      <w:tr>
        <w:trPr>
          <w:trHeight w:val="210"/>
        </w:trPr>
        <w:tc>
          <w:tcPr>
            <w:tcW w:w="76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Amounts due within one year</w:t>
            </w:r>
          </w:p>
        </w:tc>
        <w:tc>
          <w:tcPr>
            <w:tcW w:w="16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268,090</w:t>
            </w:r>
          </w:p>
        </w:tc>
        <w:tc>
          <w:tcPr>
            <w:tcW w:w="24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233,434</w:t>
            </w:r>
          </w:p>
        </w:tc>
        <w:tc>
          <w:tcPr>
            <w:tcW w:w="6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(12,668)</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(11,764)</w:t>
            </w:r>
          </w:p>
        </w:tc>
        <w:tc>
          <w:tcPr>
            <w:tcW w:w="60" w:type="dxa"/>
            <w:vAlign w:val="bottom"/>
          </w:tcPr>
          <w:p>
            <w:pPr>
              <w:spacing w:after="0"/>
              <w:rPr>
                <w:sz w:val="18"/>
                <w:szCs w:val="18"/>
                <w:color w:val="auto"/>
              </w:rPr>
            </w:pPr>
          </w:p>
        </w:tc>
      </w:tr>
      <w:tr>
        <w:trPr>
          <w:trHeight w:val="210"/>
        </w:trPr>
        <w:tc>
          <w:tcPr>
            <w:tcW w:w="76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Borrowings, current portion</w:t>
            </w: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255,422</w:t>
            </w:r>
          </w:p>
        </w:tc>
        <w:tc>
          <w:tcPr>
            <w:tcW w:w="24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221,670</w:t>
            </w:r>
          </w:p>
        </w:tc>
        <w:tc>
          <w:tcPr>
            <w:tcW w:w="60" w:type="dxa"/>
            <w:vAlign w:val="bottom"/>
          </w:tcPr>
          <w:p>
            <w:pPr>
              <w:spacing w:after="0"/>
              <w:rPr>
                <w:sz w:val="18"/>
                <w:szCs w:val="18"/>
                <w:color w:val="auto"/>
              </w:rPr>
            </w:pPr>
          </w:p>
        </w:tc>
      </w:tr>
      <w:tr>
        <w:trPr>
          <w:trHeight w:val="21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Amounts due after one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2,930,221</w:t>
            </w:r>
          </w:p>
        </w:tc>
        <w:tc>
          <w:tcPr>
            <w:tcW w:w="24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3,302,399</w:t>
            </w:r>
          </w:p>
        </w:tc>
        <w:tc>
          <w:tcPr>
            <w:tcW w:w="60" w:type="dxa"/>
            <w:vAlign w:val="bottom"/>
          </w:tcPr>
          <w:p>
            <w:pPr>
              <w:spacing w:after="0"/>
              <w:rPr>
                <w:sz w:val="18"/>
                <w:szCs w:val="18"/>
                <w:color w:val="auto"/>
              </w:rPr>
            </w:pPr>
          </w:p>
        </w:tc>
      </w:tr>
      <w:tr>
        <w:trPr>
          <w:trHeight w:val="216"/>
        </w:trPr>
        <w:tc>
          <w:tcPr>
            <w:tcW w:w="766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Less: unamortized premium</w:t>
            </w:r>
          </w:p>
        </w:tc>
        <w:tc>
          <w:tcPr>
            <w:tcW w:w="192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1,457</w:t>
            </w:r>
          </w:p>
        </w:tc>
        <w:tc>
          <w:tcPr>
            <w:tcW w:w="15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962</w:t>
            </w:r>
          </w:p>
        </w:tc>
        <w:tc>
          <w:tcPr>
            <w:tcW w:w="60" w:type="dxa"/>
            <w:vAlign w:val="bottom"/>
          </w:tcPr>
          <w:p>
            <w:pPr>
              <w:spacing w:after="0"/>
              <w:rPr>
                <w:sz w:val="18"/>
                <w:szCs w:val="18"/>
                <w:color w:val="auto"/>
              </w:rPr>
            </w:pPr>
          </w:p>
        </w:tc>
      </w:tr>
      <w:tr>
        <w:trPr>
          <w:trHeight w:val="216"/>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unamortized deferred loan/bond issuance costs</w:t>
            </w:r>
          </w:p>
        </w:tc>
        <w:tc>
          <w:tcPr>
            <w:tcW w:w="1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(39,705)</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(52,777)</w:t>
            </w:r>
          </w:p>
        </w:tc>
        <w:tc>
          <w:tcPr>
            <w:tcW w:w="60" w:type="dxa"/>
            <w:vAlign w:val="bottom"/>
          </w:tcPr>
          <w:p>
            <w:pPr>
              <w:spacing w:after="0"/>
              <w:rPr>
                <w:sz w:val="18"/>
                <w:szCs w:val="18"/>
                <w:color w:val="auto"/>
              </w:rPr>
            </w:pPr>
          </w:p>
        </w:tc>
      </w:tr>
      <w:tr>
        <w:trPr>
          <w:trHeight w:val="209"/>
        </w:trPr>
        <w:tc>
          <w:tcPr>
            <w:tcW w:w="766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Borrowings, non-current portion</w:t>
            </w:r>
          </w:p>
        </w:tc>
        <w:tc>
          <w:tcPr>
            <w:tcW w:w="168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2,891,973</w:t>
            </w:r>
          </w:p>
        </w:tc>
        <w:tc>
          <w:tcPr>
            <w:tcW w:w="240" w:type="dxa"/>
            <w:vAlign w:val="bottom"/>
            <w:tcBorders>
              <w:top w:val="single" w:sz="8" w:color="E5FFFF"/>
            </w:tcBorders>
            <w:shd w:val="clear" w:color="auto" w:fill="E5FFFF"/>
          </w:tcPr>
          <w:p>
            <w:pPr>
              <w:spacing w:after="0"/>
              <w:rPr>
                <w:sz w:val="18"/>
                <w:szCs w:val="18"/>
                <w:color w:val="auto"/>
              </w:rPr>
            </w:pPr>
          </w:p>
        </w:tc>
        <w:tc>
          <w:tcPr>
            <w:tcW w:w="15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3,250,584</w:t>
            </w:r>
          </w:p>
        </w:tc>
        <w:tc>
          <w:tcPr>
            <w:tcW w:w="60" w:type="dxa"/>
            <w:vAlign w:val="bottom"/>
          </w:tcPr>
          <w:p>
            <w:pPr>
              <w:spacing w:after="0"/>
              <w:rPr>
                <w:sz w:val="18"/>
                <w:szCs w:val="18"/>
                <w:color w:val="auto"/>
              </w:rPr>
            </w:pPr>
          </w:p>
        </w:tc>
      </w:tr>
      <w:tr>
        <w:trPr>
          <w:trHeight w:val="217"/>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3,147,395</w:t>
            </w:r>
          </w:p>
        </w:tc>
        <w:tc>
          <w:tcPr>
            <w:tcW w:w="240" w:type="dxa"/>
            <w:vAlign w:val="bottom"/>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3,472,254</w:t>
            </w:r>
          </w:p>
        </w:tc>
        <w:tc>
          <w:tcPr>
            <w:tcW w:w="60" w:type="dxa"/>
            <w:vAlign w:val="bottom"/>
          </w:tcPr>
          <w:p>
            <w:pPr>
              <w:spacing w:after="0"/>
              <w:rPr>
                <w:sz w:val="18"/>
                <w:szCs w:val="18"/>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Bank Loans</w:t>
      </w:r>
    </w:p>
    <w:p>
      <w:pPr>
        <w:spacing w:after="0" w:line="239" w:lineRule="exact"/>
        <w:rPr>
          <w:sz w:val="20"/>
          <w:szCs w:val="20"/>
          <w:color w:val="auto"/>
        </w:rPr>
      </w:pPr>
    </w:p>
    <w:p>
      <w:pPr>
        <w:jc w:val="both"/>
        <w:ind w:right="12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Group’s loan facilities in existence as of December 31, 2019 have been disclosed in the annual audited consolidated financial statements for the year ended December 31, 2019. Refer to Note 13 “Borrowings”.</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On July 16, 2020, GasLog Partners entered into a credit agreement of $260,331 (the “GasLog Partners LP $260M Facility”) with BNP Paribas, Credit Suisse AG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Alpha Bank S.A., each an original lender, with BNP Paribas acting as security agent and trustee for and on behalf of the other finance parties mentioned above, in order to</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refinance the existing indebtedness due in 2021 on three of its vessels. The facility will amortize over ten equal semi-annual installments of $8,597 beginning in</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January 2021, with a final balloon amount of $174,361 payable concurrently with the last installment in July 2025. Interest on the facility will be payable at a rate of USD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London Interbank Offered Rate (“LIBOR”) plus a margin. An amount of $260,331 was drawn on July 21, 2020, out of which $258,532 was used to refinance the</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outstanding indebtedness of GAS-twenty Ltd., GAS-seven Ltd. and GAS-eight Ltd., the respective entities owning the </w:t>
      </w:r>
      <w:r>
        <w:rPr>
          <w:rFonts w:ascii="Times New Roman" w:cs="Times New Roman" w:eastAsia="Times New Roman" w:hAnsi="Times New Roman"/>
          <w:sz w:val="16"/>
          <w:szCs w:val="16"/>
          <w:i w:val="1"/>
          <w:iCs w:val="1"/>
          <w:color w:val="auto"/>
        </w:rPr>
        <w:t>Methane Shirley Elisabeth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Seattle</w:t>
      </w:r>
      <w:r>
        <w:rPr>
          <w:rFonts w:ascii="Times New Roman" w:cs="Times New Roman" w:eastAsia="Times New Roman" w:hAnsi="Times New Roman"/>
          <w:sz w:val="16"/>
          <w:szCs w:val="16"/>
          <w:color w:val="auto"/>
        </w:rPr>
        <w:t xml:space="preserve"> and</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 xml:space="preserve">the </w:t>
      </w:r>
      <w:r>
        <w:rPr>
          <w:rFonts w:ascii="Times New Roman" w:cs="Times New Roman" w:eastAsia="Times New Roman" w:hAnsi="Times New Roman"/>
          <w:sz w:val="16"/>
          <w:szCs w:val="16"/>
          <w:i w:val="1"/>
          <w:iCs w:val="1"/>
          <w:color w:val="auto"/>
        </w:rPr>
        <w:t>Solaris</w:t>
      </w:r>
      <w:r>
        <w:rPr>
          <w:rFonts w:ascii="Times New Roman" w:cs="Times New Roman" w:eastAsia="Times New Roman" w:hAnsi="Times New Roman"/>
          <w:sz w:val="16"/>
          <w:szCs w:val="16"/>
          <w:color w:val="auto"/>
        </w:rPr>
        <w:t>. The existing loan facilities of the specified vessels were terminated and the respective unamortized loan fees of $1,154 were written off to profit or loss.</w:t>
      </w:r>
    </w:p>
    <w:p>
      <w:pPr>
        <w:spacing w:after="0" w:line="227" w:lineRule="exact"/>
        <w:rPr>
          <w:sz w:val="20"/>
          <w:szCs w:val="20"/>
          <w:color w:val="auto"/>
        </w:rPr>
      </w:pPr>
    </w:p>
    <w:p>
      <w:pPr>
        <w:ind w:firstLine="324"/>
        <w:spacing w:after="0" w:line="269" w:lineRule="auto"/>
        <w:rPr>
          <w:sz w:val="20"/>
          <w:szCs w:val="20"/>
          <w:color w:val="auto"/>
        </w:rPr>
      </w:pPr>
      <w:r>
        <w:rPr>
          <w:rFonts w:ascii="Times New Roman" w:cs="Times New Roman" w:eastAsia="Times New Roman" w:hAnsi="Times New Roman"/>
          <w:sz w:val="16"/>
          <w:szCs w:val="16"/>
          <w:color w:val="auto"/>
        </w:rPr>
        <w:t xml:space="preserve">In addition, on July 16, 2020, GasLog Partners entered into a credit agreement of $193,713 (the “GasLog Partners LP $193M Facility”) with DNB Bank ASA, London Branch, and ING Bank N.V., London Branch, each an original lender, with DNB Bank ASA, London Branch acting as security agent and trustee for and on behalf of the other finance party mentioned above, in order to refinance the existing indebtedness due in 2021 on three of its vessels. The facility will amortize over ten equal semi-annual installments of $8,599 beginning in January 2021, with a final balloon amount of $107,723 payable concurrently with the last installment in July 2025. Interest on the facility will be payable at a rate of USD LIBOR plus a margin. An amount of $193,713 was drawn down on July 21, 2020, out of which $174,867 was used to refinance the outstanding indebtedness of GAS-nineteen Ltd., GAS-twenty one Ltd. and GAS-twenty seven Ltd., the respective entities owning the </w:t>
      </w:r>
      <w:r>
        <w:rPr>
          <w:rFonts w:ascii="Times New Roman" w:cs="Times New Roman" w:eastAsia="Times New Roman" w:hAnsi="Times New Roman"/>
          <w:sz w:val="16"/>
          <w:szCs w:val="16"/>
          <w:i w:val="1"/>
          <w:iCs w:val="1"/>
          <w:color w:val="auto"/>
        </w:rPr>
        <w:t>Methane Alison Victoria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Methane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 xml:space="preserve">Heather Sally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Methane Becki Anne</w:t>
      </w:r>
      <w:r>
        <w:rPr>
          <w:rFonts w:ascii="Times New Roman" w:cs="Times New Roman" w:eastAsia="Times New Roman" w:hAnsi="Times New Roman"/>
          <w:sz w:val="16"/>
          <w:szCs w:val="16"/>
          <w:color w:val="auto"/>
        </w:rPr>
        <w:t>. The existing loan facilities of the specified vessels were terminated and the respective unamortized loan fees of $764 were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written off to profit or loss.</w:t>
      </w:r>
    </w:p>
    <w:p>
      <w:pPr>
        <w:spacing w:after="0" w:line="186" w:lineRule="exact"/>
        <w:rPr>
          <w:sz w:val="20"/>
          <w:szCs w:val="20"/>
          <w:color w:val="auto"/>
        </w:rPr>
      </w:pPr>
    </w:p>
    <w:p>
      <w:pPr>
        <w:ind w:right="180" w:firstLine="324"/>
        <w:spacing w:after="0" w:line="298" w:lineRule="auto"/>
        <w:rPr>
          <w:sz w:val="20"/>
          <w:szCs w:val="20"/>
          <w:color w:val="auto"/>
        </w:rPr>
      </w:pPr>
      <w:r>
        <w:rPr>
          <w:rFonts w:ascii="Times New Roman" w:cs="Times New Roman" w:eastAsia="Times New Roman" w:hAnsi="Times New Roman"/>
          <w:sz w:val="16"/>
          <w:szCs w:val="16"/>
          <w:color w:val="auto"/>
        </w:rPr>
        <w:t>Furthermore, on July 16, 2020 GAS-one Ltd., GAS-two Ltd., GAS-six Ltd., GAS-nine Ltd., GAS-ten Ltd., and GAS-eighteen Ltd. entered into a credit agreement of $576,888 (the “GasLog Ltd. $576M Facility”) with ABN AMRO Bank N.V., Citigroup Global Markets Limited and</w:t>
      </w:r>
    </w:p>
    <w:p>
      <w:pPr>
        <w:spacing w:after="0" w:line="3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9" w:right="359" w:bottom="1440" w:gutter="0" w:footer="0" w:header="0"/>
        </w:sectPr>
      </w:pPr>
    </w:p>
    <w:bookmarkStart w:id="37" w:name="page38"/>
    <w:bookmarkEnd w:id="37"/>
    <w:p>
      <w:pPr>
        <w:spacing w:after="0" w:line="267" w:lineRule="auto"/>
        <w:rPr>
          <w:sz w:val="20"/>
          <w:szCs w:val="20"/>
          <w:color w:val="auto"/>
        </w:rPr>
      </w:pPr>
      <w:r>
        <w:rPr>
          <w:rFonts w:ascii="Times New Roman" w:cs="Times New Roman" w:eastAsia="Times New Roman" w:hAnsi="Times New Roman"/>
          <w:sz w:val="16"/>
          <w:szCs w:val="16"/>
          <w:color w:val="auto"/>
        </w:rPr>
        <w:t xml:space="preserve">Nordea Bank ABP, Filial I Norge acting as global co-ordinators and bookrunners, while HSBC Bank plc acting as mandated lead arranger; Credit Agricole Corporate and Investment Bank acting as lead arranger and Unicredit Bank AG and National Bank of Australia Limited acting as arrangers, each of those being an original lender. The credit agreement was entered to refinance the existing indebtedness due in 2021 of six of the Group’s vessels. ABN AMRO Bank N.V. was appointed by the other finance parties in this syndicate as security agent and trustee. The facility comprises of a $494,475 Term Loan Facility which will amortize over 18 equal quarterly installments of $9,349 beginning in April 2021 (following an initial repayment in January 2021 in the amount of $18,698), with a final balloon amount of $307,495 payable concurrently with the last installment in June 2025 and a $82,413 revolving loan facility which also matures in June 2025. Interest on the facility will be payable at a rate of USD LIBOR plus a margin. An amount of $576,888 was drawn on July 21, 2020, out of which $557,026 was used to refinance the outstanding indebtedness of GAS-one Ltd., GAS-two Ltd., GAS-six Ltd., GAS-nine Ltd., GAS-ten Ltd., and GAS-eighteen Ltd., the respective entities owning the </w:t>
      </w:r>
      <w:r>
        <w:rPr>
          <w:rFonts w:ascii="Times New Roman" w:cs="Times New Roman" w:eastAsia="Times New Roman" w:hAnsi="Times New Roman"/>
          <w:sz w:val="16"/>
          <w:szCs w:val="16"/>
          <w:i w:val="1"/>
          <w:iCs w:val="1"/>
          <w:color w:val="auto"/>
        </w:rPr>
        <w:t>GasLog Savannah</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Singapore</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Skagen</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Saratoga</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GasLog Salem</w:t>
      </w:r>
      <w:r>
        <w:rPr>
          <w:rFonts w:ascii="Times New Roman" w:cs="Times New Roman" w:eastAsia="Times New Roman" w:hAnsi="Times New Roman"/>
          <w:sz w:val="16"/>
          <w:szCs w:val="16"/>
          <w:color w:val="auto"/>
        </w:rPr>
        <w:t xml:space="preserve"> and the </w:t>
      </w:r>
      <w:r>
        <w:rPr>
          <w:rFonts w:ascii="Times New Roman" w:cs="Times New Roman" w:eastAsia="Times New Roman" w:hAnsi="Times New Roman"/>
          <w:sz w:val="16"/>
          <w:szCs w:val="16"/>
          <w:i w:val="1"/>
          <w:iCs w:val="1"/>
          <w:color w:val="auto"/>
        </w:rPr>
        <w:t>Methane Lydon Volney</w:t>
      </w:r>
      <w:r>
        <w:rPr>
          <w:rFonts w:ascii="Times New Roman" w:cs="Times New Roman" w:eastAsia="Times New Roman" w:hAnsi="Times New Roman"/>
          <w:sz w:val="16"/>
          <w:szCs w:val="16"/>
          <w:color w:val="auto"/>
        </w:rPr>
        <w:t>. The balance of the proceeds will be used for general corporate and working capital purposes. The existing loan facilities of the specified vessels were terminated and the respective unamortized loan fees of $2,472 were written off to profit or loss.</w:t>
      </w:r>
    </w:p>
    <w:p>
      <w:pPr>
        <w:spacing w:after="0" w:line="194" w:lineRule="exact"/>
        <w:rPr>
          <w:sz w:val="20"/>
          <w:szCs w:val="20"/>
          <w:color w:val="auto"/>
        </w:rPr>
      </w:pPr>
    </w:p>
    <w:p>
      <w:pPr>
        <w:ind w:right="20" w:firstLine="324"/>
        <w:spacing w:after="0" w:line="271" w:lineRule="auto"/>
        <w:rPr>
          <w:sz w:val="20"/>
          <w:szCs w:val="20"/>
          <w:color w:val="auto"/>
        </w:rPr>
      </w:pPr>
      <w:r>
        <w:rPr>
          <w:rFonts w:ascii="Times New Roman" w:cs="Times New Roman" w:eastAsia="Times New Roman" w:hAnsi="Times New Roman"/>
          <w:sz w:val="16"/>
          <w:szCs w:val="16"/>
          <w:color w:val="auto"/>
        </w:rPr>
        <w:t xml:space="preserve">Finally, on July 30, 2020, GasLog entered into a credit agreement of $96,815 (the “GasLog Ltd. $96M Facility”) with National Bank of Greece S.A. for the refinancing of GAS-fifteen Ltd., the entity owning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xml:space="preserve">. National Bank of Greece S.A. is acting as the sole original lender. An amount of $96,815 was drawn on July 31, 2020, out of which $92,153 was used to refinance the outstanding indebtedness of the </w:t>
      </w:r>
      <w:r>
        <w:rPr>
          <w:rFonts w:ascii="Times New Roman" w:cs="Times New Roman" w:eastAsia="Times New Roman" w:hAnsi="Times New Roman"/>
          <w:sz w:val="16"/>
          <w:szCs w:val="16"/>
          <w:i w:val="1"/>
          <w:iCs w:val="1"/>
          <w:color w:val="auto"/>
        </w:rPr>
        <w:t>GasLog Chelsea.</w:t>
      </w:r>
      <w:r>
        <w:rPr>
          <w:rFonts w:ascii="Times New Roman" w:cs="Times New Roman" w:eastAsia="Times New Roman" w:hAnsi="Times New Roman"/>
          <w:sz w:val="16"/>
          <w:szCs w:val="16"/>
          <w:color w:val="auto"/>
        </w:rPr>
        <w:t xml:space="preserve"> The balance of the proceeds will be used for general corporate and working capital purposes. The facility will amortize over 20 equal quarterly installments of $1,891 beginning in October 2020, with a final balloon amount of $58,995 payable concurrently with the last instalment in July 2025. The existing loan facility of the specified vessel was terminated and the respective unamortized loan fees of $384 were written off to profit or loss.</w:t>
      </w:r>
    </w:p>
    <w:p>
      <w:pPr>
        <w:spacing w:after="0" w:line="184" w:lineRule="exact"/>
        <w:rPr>
          <w:sz w:val="20"/>
          <w:szCs w:val="20"/>
          <w:color w:val="auto"/>
        </w:rPr>
      </w:pPr>
    </w:p>
    <w:p>
      <w:pPr>
        <w:ind w:firstLine="324"/>
        <w:spacing w:after="0" w:line="268" w:lineRule="auto"/>
        <w:rPr>
          <w:sz w:val="20"/>
          <w:szCs w:val="20"/>
          <w:color w:val="auto"/>
        </w:rPr>
      </w:pPr>
      <w:r>
        <w:rPr>
          <w:rFonts w:ascii="Times New Roman" w:cs="Times New Roman" w:eastAsia="Times New Roman" w:hAnsi="Times New Roman"/>
          <w:sz w:val="16"/>
          <w:szCs w:val="16"/>
          <w:color w:val="auto"/>
        </w:rPr>
        <w:t>The obligations under the aforementioned facilities are secured by a first priority mortgage over the vessels, a pledge of the share capital of the respective vessel owning companies and a first priority assignment of earnings related to the vessels, including charter revenue, management revenue and any insurance and requisition compensation. Obligations under the GasLog Ltd. $576M Facility and the GasLog Ltd. $96M Facility are guaranteed by GasLog and GasLog Carriers Ltd.; obligations under the GasLog Partners LP $260M Facility and the GasLog Partners LP $193M Facility are guaranteed by the Partnership and the GasLog Partners Holdings LLC. The facilities include customary respective covenants, and among other restrictions the facilities include a fair market value covenant pursuant to which the majority lenders may request additional security under the facilities if the aggregate fair market value of the collateral vessels (without taking into account any charter arrangements) were to fall below 120% of the aggregate outstanding principal balance (with respect to the GasLog Partners LP $193M Facility below 130% of the aggregate outstanding principal balance plus any hedging exposure). In addition, under the facilities, the respective vessel-owning entities are also required to maintain at all times minimum liquidity of $1,500 per entity ($5,500 for GAS-twenty Ltd.) and are in compliance as of September 30, 2020.</w:t>
      </w:r>
    </w:p>
    <w:p>
      <w:pPr>
        <w:spacing w:after="0" w:line="189" w:lineRule="exact"/>
        <w:rPr>
          <w:sz w:val="20"/>
          <w:szCs w:val="20"/>
          <w:color w:val="auto"/>
        </w:rPr>
      </w:pPr>
    </w:p>
    <w:p>
      <w:pPr>
        <w:ind w:right="500" w:firstLine="648"/>
        <w:spacing w:after="0" w:line="298" w:lineRule="auto"/>
        <w:rPr>
          <w:sz w:val="20"/>
          <w:szCs w:val="20"/>
          <w:color w:val="auto"/>
        </w:rPr>
      </w:pPr>
      <w:r>
        <w:rPr>
          <w:rFonts w:ascii="Times New Roman" w:cs="Times New Roman" w:eastAsia="Times New Roman" w:hAnsi="Times New Roman"/>
          <w:sz w:val="16"/>
          <w:szCs w:val="16"/>
          <w:color w:val="auto"/>
        </w:rPr>
        <w:t>The GasLog Partners LP $260M Facility and the GasLog Partners LP $193M Facility are subject to specified covenants that apply to GasLog Partners on a consolidated basis. These financial covenants include the following:</w:t>
      </w:r>
    </w:p>
    <w:p>
      <w:pPr>
        <w:spacing w:after="0" w:line="164" w:lineRule="exact"/>
        <w:rPr>
          <w:sz w:val="20"/>
          <w:szCs w:val="20"/>
          <w:color w:val="auto"/>
        </w:rPr>
      </w:pPr>
    </w:p>
    <w:p>
      <w:pPr>
        <w:ind w:left="340" w:right="60" w:hanging="332"/>
        <w:spacing w:after="0" w:line="269"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cash and cash equivalents, short-term investments and available undrawn facilities with remaining maturities of at least six months (excluding loans from affiliates) must be at least $45,000;</w:t>
      </w:r>
    </w:p>
    <w:p>
      <w:pPr>
        <w:ind w:left="340" w:hanging="332"/>
        <w:spacing w:after="0"/>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indebtedness divided by total assets must be less than 65.0%;</w:t>
      </w:r>
    </w:p>
    <w:p>
      <w:pPr>
        <w:spacing w:after="0" w:line="18" w:lineRule="exact"/>
        <w:rPr>
          <w:rFonts w:ascii="Times New Roman" w:cs="Times New Roman" w:eastAsia="Times New Roman" w:hAnsi="Times New Roman"/>
          <w:sz w:val="16"/>
          <w:szCs w:val="16"/>
          <w:color w:val="auto"/>
        </w:rPr>
      </w:pPr>
    </w:p>
    <w:p>
      <w:pPr>
        <w:ind w:left="340" w:right="280" w:hanging="332"/>
        <w:spacing w:after="0" w:line="288" w:lineRule="auto"/>
        <w:tabs>
          <w:tab w:leader="none" w:pos="34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Partnership is permitted to declare or pay any distributions, subject to no event of default having occurred or occurring as a consequence of the payment of such distributions.</w:t>
      </w:r>
    </w:p>
    <w:p>
      <w:pPr>
        <w:spacing w:after="0" w:line="172" w:lineRule="exact"/>
        <w:rPr>
          <w:sz w:val="20"/>
          <w:szCs w:val="20"/>
          <w:color w:val="auto"/>
        </w:rPr>
      </w:pPr>
    </w:p>
    <w:p>
      <w:pPr>
        <w:ind w:right="440" w:firstLine="648"/>
        <w:spacing w:after="0" w:line="298" w:lineRule="auto"/>
        <w:rPr>
          <w:sz w:val="20"/>
          <w:szCs w:val="20"/>
          <w:color w:val="auto"/>
        </w:rPr>
      </w:pPr>
      <w:r>
        <w:rPr>
          <w:rFonts w:ascii="Times New Roman" w:cs="Times New Roman" w:eastAsia="Times New Roman" w:hAnsi="Times New Roman"/>
          <w:sz w:val="16"/>
          <w:szCs w:val="16"/>
          <w:color w:val="auto"/>
        </w:rPr>
        <w:t>The GasLog Ltd. $576M Facility and the GasLog Ltd. $96M Facility are subject to specified covenants that apply to GasLog on a consolidated basis. These financial covenants include the following:</w:t>
      </w:r>
    </w:p>
    <w:p>
      <w:pPr>
        <w:spacing w:after="0" w:line="164" w:lineRule="exact"/>
        <w:rPr>
          <w:sz w:val="20"/>
          <w:szCs w:val="20"/>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net working capital (excluding the current portion of long-term debt) must be not less than $0;</w:t>
      </w:r>
    </w:p>
    <w:p>
      <w:pPr>
        <w:spacing w:after="0" w:line="26"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indebtedness divided by total assets must not exceed 75.0%;</w:t>
      </w:r>
    </w:p>
    <w:p>
      <w:pPr>
        <w:spacing w:after="0" w:line="18" w:lineRule="exact"/>
        <w:rPr>
          <w:rFonts w:ascii="Times New Roman" w:cs="Times New Roman" w:eastAsia="Times New Roman" w:hAnsi="Times New Roman"/>
          <w:sz w:val="16"/>
          <w:szCs w:val="16"/>
          <w:color w:val="auto"/>
        </w:rPr>
      </w:pPr>
    </w:p>
    <w:p>
      <w:pPr>
        <w:ind w:left="340" w:right="100" w:hanging="332"/>
        <w:spacing w:after="0" w:line="264" w:lineRule="auto"/>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ratio of EBITDA over debt service obligations (including interest and debt repayments) on a trailing twelve-month basis must be not less than 1.10:1 provided that all unencumbered cash and cash equivalents are not less than $110,000;</w:t>
      </w: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aggregate amount of all unencumbered cash and cash equivalents must be not less than $75,000;</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GasLog is permitted to pay dividends, subject to no event of default having occurred or occurring as a consequence of the payment of such dividends; and</w:t>
      </w:r>
    </w:p>
    <w:p>
      <w:pPr>
        <w:spacing w:after="0" w:line="18" w:lineRule="exact"/>
        <w:rPr>
          <w:rFonts w:ascii="Times New Roman" w:cs="Times New Roman" w:eastAsia="Times New Roman" w:hAnsi="Times New Roman"/>
          <w:sz w:val="16"/>
          <w:szCs w:val="16"/>
          <w:color w:val="auto"/>
        </w:rPr>
      </w:pPr>
    </w:p>
    <w:p>
      <w:pPr>
        <w:ind w:left="340" w:hanging="332"/>
        <w:spacing w:after="0"/>
        <w:tabs>
          <w:tab w:leader="none" w:pos="340" w:val="left"/>
        </w:tabs>
        <w:numPr>
          <w:ilvl w:val="0"/>
          <w:numId w:val="1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market value adjusted net worth of GasLog must at all times be not less than $350,000.</w:t>
      </w:r>
    </w:p>
    <w:p>
      <w:pPr>
        <w:spacing w:after="0" w:line="227" w:lineRule="exact"/>
        <w:rPr>
          <w:sz w:val="20"/>
          <w:szCs w:val="20"/>
          <w:color w:val="auto"/>
        </w:rPr>
      </w:pPr>
    </w:p>
    <w:p>
      <w:pPr>
        <w:ind w:right="240" w:firstLine="324"/>
        <w:spacing w:after="0" w:line="275" w:lineRule="auto"/>
        <w:rPr>
          <w:sz w:val="20"/>
          <w:szCs w:val="20"/>
          <w:color w:val="auto"/>
        </w:rPr>
      </w:pPr>
      <w:r>
        <w:rPr>
          <w:rFonts w:ascii="Times New Roman" w:cs="Times New Roman" w:eastAsia="Times New Roman" w:hAnsi="Times New Roman"/>
          <w:sz w:val="16"/>
          <w:szCs w:val="16"/>
          <w:color w:val="auto"/>
        </w:rPr>
        <w:t xml:space="preserve">During the nine months ended September 30, 2020, the Group drew down $100,000 under the revolving credit facility of the credit agreement of up to $1,050,000 entered into on July 19, 2016 (the “Legacy Facility Refinancing”) and $152,525, $149,386 and $149,281 under the facility signed on December 12, 2019 with 13 international banks to provide debt funding for its current newbuilding program (the “Newbuilding Facility”) to partially finance the delivery of the </w:t>
      </w:r>
      <w:r>
        <w:rPr>
          <w:rFonts w:ascii="Times New Roman" w:cs="Times New Roman" w:eastAsia="Times New Roman" w:hAnsi="Times New Roman"/>
          <w:sz w:val="16"/>
          <w:szCs w:val="16"/>
          <w:i w:val="1"/>
          <w:iCs w:val="1"/>
          <w:color w:val="auto"/>
        </w:rPr>
        <w:t>GasLog Windsor</w:t>
      </w:r>
      <w:r>
        <w:rPr>
          <w:rFonts w:ascii="Times New Roman" w:cs="Times New Roman" w:eastAsia="Times New Roman" w:hAnsi="Times New Roman"/>
          <w:sz w:val="16"/>
          <w:szCs w:val="16"/>
          <w:color w:val="auto"/>
        </w:rPr>
        <w:t xml:space="preserve">, the </w:t>
      </w:r>
      <w:r>
        <w:rPr>
          <w:rFonts w:ascii="Times New Roman" w:cs="Times New Roman" w:eastAsia="Times New Roman" w:hAnsi="Times New Roman"/>
          <w:sz w:val="16"/>
          <w:szCs w:val="16"/>
          <w:i w:val="1"/>
          <w:iCs w:val="1"/>
          <w:color w:val="auto"/>
        </w:rPr>
        <w:t xml:space="preserve">GasLog Wales </w:t>
      </w:r>
      <w:r>
        <w:rPr>
          <w:rFonts w:ascii="Times New Roman" w:cs="Times New Roman" w:eastAsia="Times New Roman" w:hAnsi="Times New Roman"/>
          <w:sz w:val="16"/>
          <w:szCs w:val="16"/>
          <w:color w:val="auto"/>
        </w:rPr>
        <w:t>and the</w:t>
      </w:r>
      <w:r>
        <w:rPr>
          <w:rFonts w:ascii="Times New Roman" w:cs="Times New Roman" w:eastAsia="Times New Roman" w:hAnsi="Times New Roman"/>
          <w:sz w:val="16"/>
          <w:szCs w:val="16"/>
          <w:i w:val="1"/>
          <w:iCs w:val="1"/>
          <w:color w:val="auto"/>
        </w:rPr>
        <w:t xml:space="preserve"> GasLog Westminster</w:t>
      </w:r>
      <w:r>
        <w:rPr>
          <w:rFonts w:ascii="Times New Roman" w:cs="Times New Roman" w:eastAsia="Times New Roman" w:hAnsi="Times New Roman"/>
          <w:sz w:val="16"/>
          <w:szCs w:val="16"/>
          <w:color w:val="auto"/>
        </w:rPr>
        <w:t>, respectively. In addition, the Group repaid $192,779 in accordance with the repayment terms under its loan facilities.</w:t>
      </w:r>
    </w:p>
    <w:p>
      <w:pPr>
        <w:spacing w:after="0" w:line="183" w:lineRule="exact"/>
        <w:rPr>
          <w:sz w:val="20"/>
          <w:szCs w:val="20"/>
          <w:color w:val="auto"/>
        </w:rPr>
      </w:pPr>
    </w:p>
    <w:p>
      <w:pPr>
        <w:ind w:right="160" w:firstLine="324"/>
        <w:spacing w:after="0" w:line="298" w:lineRule="auto"/>
        <w:rPr>
          <w:sz w:val="20"/>
          <w:szCs w:val="20"/>
          <w:color w:val="auto"/>
        </w:rPr>
      </w:pPr>
      <w:r>
        <w:rPr>
          <w:rFonts w:ascii="Times New Roman" w:cs="Times New Roman" w:eastAsia="Times New Roman" w:hAnsi="Times New Roman"/>
          <w:sz w:val="16"/>
          <w:szCs w:val="16"/>
          <w:color w:val="auto"/>
        </w:rPr>
        <w:t>The carrying amount of the Group’s bank debt recognized in the unaudited condensed consolidated financial statements approximates its fair value after adjusting for the unamortized loan/bond issuance costs.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Bonds</w:t>
      </w:r>
    </w:p>
    <w:p>
      <w:pPr>
        <w:spacing w:after="0" w:line="239" w:lineRule="exact"/>
        <w:rPr>
          <w:sz w:val="20"/>
          <w:szCs w:val="20"/>
          <w:color w:val="auto"/>
        </w:rPr>
      </w:pPr>
    </w:p>
    <w:p>
      <w:pPr>
        <w:ind w:right="60" w:firstLine="324"/>
        <w:spacing w:after="0" w:line="298" w:lineRule="auto"/>
        <w:rPr>
          <w:sz w:val="20"/>
          <w:szCs w:val="20"/>
          <w:color w:val="auto"/>
        </w:rPr>
      </w:pPr>
      <w:r>
        <w:rPr>
          <w:rFonts w:ascii="Times New Roman" w:cs="Times New Roman" w:eastAsia="Times New Roman" w:hAnsi="Times New Roman"/>
          <w:sz w:val="16"/>
          <w:szCs w:val="16"/>
          <w:color w:val="auto"/>
        </w:rPr>
        <w:t>The main terms of the Group’s bonds have been disclosed in the annual audited consolidated financial statements for the year ended December 31, 2019. Refer to Note 13 “Borrowings”.</w:t>
      </w:r>
    </w:p>
    <w:p>
      <w:pPr>
        <w:spacing w:after="0" w:line="3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895" w:right="359" w:bottom="1440" w:gutter="0" w:footer="0" w:header="0"/>
        </w:sectPr>
      </w:pPr>
    </w:p>
    <w:bookmarkStart w:id="38" w:name="page39"/>
    <w:bookmarkEnd w:id="38"/>
    <w:p>
      <w:pPr>
        <w:ind w:right="180" w:firstLine="324"/>
        <w:spacing w:after="0" w:line="298" w:lineRule="auto"/>
        <w:rPr>
          <w:sz w:val="20"/>
          <w:szCs w:val="20"/>
          <w:color w:val="auto"/>
        </w:rPr>
      </w:pPr>
      <w:r>
        <w:rPr>
          <w:rFonts w:ascii="Times New Roman" w:cs="Times New Roman" w:eastAsia="Times New Roman" w:hAnsi="Times New Roman"/>
          <w:sz w:val="16"/>
          <w:szCs w:val="16"/>
          <w:color w:val="auto"/>
        </w:rPr>
        <w:t>On January 13, 2020 GasLog completed the exchange of $10,000 for the partial exchange of the outstanding 8.875% Senior Notes and, on January 31, 2020, GasLog repurchased and cancelled Norwegian Kroner (“NOK”) 434,000 of the outstanding NOK 2021 Bonds at a price of 104.0% par value resulting in a loss of $1,937.</w:t>
      </w:r>
    </w:p>
    <w:p>
      <w:pPr>
        <w:spacing w:after="0" w:line="164" w:lineRule="exact"/>
        <w:rPr>
          <w:sz w:val="20"/>
          <w:szCs w:val="20"/>
          <w:color w:val="auto"/>
        </w:rPr>
      </w:pPr>
    </w:p>
    <w:p>
      <w:pPr>
        <w:jc w:val="both"/>
        <w:ind w:right="520" w:firstLine="324"/>
        <w:spacing w:after="0" w:line="281" w:lineRule="auto"/>
        <w:rPr>
          <w:sz w:val="20"/>
          <w:szCs w:val="20"/>
          <w:color w:val="auto"/>
        </w:rPr>
      </w:pPr>
      <w:r>
        <w:rPr>
          <w:rFonts w:ascii="Times New Roman" w:cs="Times New Roman" w:eastAsia="Times New Roman" w:hAnsi="Times New Roman"/>
          <w:sz w:val="16"/>
          <w:szCs w:val="16"/>
          <w:color w:val="auto"/>
        </w:rPr>
        <w:t>The carrying amount under the NOK bond maturing in 2024 (the “NOK 2024 Bond”), net of unamortized financing costs, as of September 30, 2020 is $93,875 (carrying amount under the NOK 2021 Bonds and the NOK 2024 Bonds as of December 31, 2019: $149,433) while their fair value is $88,361 based on a USD/NOK exchange rate of 0.1059 as of September 30, 2020 (December 31, 2019: $157,383, based on a USD/NOK exchange rate of 0.1134).</w:t>
      </w:r>
    </w:p>
    <w:p>
      <w:pPr>
        <w:spacing w:after="0" w:line="177" w:lineRule="exact"/>
        <w:rPr>
          <w:sz w:val="20"/>
          <w:szCs w:val="20"/>
          <w:color w:val="auto"/>
        </w:rPr>
      </w:pPr>
    </w:p>
    <w:p>
      <w:pPr>
        <w:ind w:right="320" w:firstLine="324"/>
        <w:spacing w:after="0" w:line="298" w:lineRule="auto"/>
        <w:rPr>
          <w:sz w:val="20"/>
          <w:szCs w:val="20"/>
          <w:color w:val="auto"/>
        </w:rPr>
      </w:pPr>
      <w:r>
        <w:rPr>
          <w:rFonts w:ascii="Times New Roman" w:cs="Times New Roman" w:eastAsia="Times New Roman" w:hAnsi="Times New Roman"/>
          <w:sz w:val="16"/>
          <w:szCs w:val="16"/>
          <w:color w:val="auto"/>
        </w:rPr>
        <w:t>The carrying amount under the 8.875% senior unsecured notes due in 2022, net of unamortized financing costs and premium as of September 30, 2020 is $313,553 (December 31, 2019: $322,938).</w:t>
      </w:r>
    </w:p>
    <w:p>
      <w:pPr>
        <w:spacing w:after="0" w:line="16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Group was in compliance with its financial covenants as of September 30, 2020.</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8. Related Party Transactions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Group has the following balances with related parties which have been included in the unaudited condensed consolidated statements of financial position:</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Assets</w:t>
            </w:r>
          </w:p>
        </w:tc>
        <w:tc>
          <w:tcPr>
            <w:tcW w:w="1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8"/>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Dividends receivable and other amounts due from related parties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6"/>
        </w:trPr>
        <w:tc>
          <w:tcPr>
            <w:tcW w:w="810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100" w:type="dxa"/>
            <w:vAlign w:val="bottom"/>
            <w:tcBorders>
              <w:bottom w:val="single" w:sz="8" w:color="E5FF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10"/>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Dividends receivable from associate</w:t>
            </w:r>
          </w:p>
        </w:tc>
        <w:tc>
          <w:tcPr>
            <w:tcW w:w="1580" w:type="dxa"/>
            <w:vAlign w:val="bottom"/>
            <w:shd w:val="clear" w:color="auto" w:fill="E5FFFF"/>
          </w:tcPr>
          <w:p>
            <w:pPr>
              <w:ind w:left="1320"/>
              <w:spacing w:after="0"/>
              <w:rPr>
                <w:sz w:val="20"/>
                <w:szCs w:val="20"/>
                <w:color w:val="auto"/>
              </w:rPr>
            </w:pPr>
            <w:r>
              <w:rPr>
                <w:rFonts w:ascii="Times New Roman" w:cs="Times New Roman" w:eastAsia="Times New Roman" w:hAnsi="Times New Roman"/>
                <w:sz w:val="18"/>
                <w:szCs w:val="18"/>
                <w:color w:val="auto"/>
                <w:w w:val="88"/>
              </w:rPr>
              <w:t>450</w:t>
            </w: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Other receivables</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123</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810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580" w:type="dxa"/>
            <w:vAlign w:val="bottom"/>
            <w:tcBorders>
              <w:top w:val="single" w:sz="8" w:color="auto"/>
              <w:bottom w:val="single" w:sz="8" w:color="auto"/>
            </w:tcBorders>
            <w:shd w:val="clear" w:color="auto" w:fill="E5FFFF"/>
          </w:tcPr>
          <w:p>
            <w:pPr>
              <w:ind w:left="1320"/>
              <w:spacing w:after="0"/>
              <w:rPr>
                <w:sz w:val="20"/>
                <w:szCs w:val="20"/>
                <w:color w:val="auto"/>
              </w:rPr>
            </w:pPr>
            <w:r>
              <w:rPr>
                <w:rFonts w:ascii="Times New Roman" w:cs="Times New Roman" w:eastAsia="Times New Roman" w:hAnsi="Times New Roman"/>
                <w:sz w:val="18"/>
                <w:szCs w:val="18"/>
                <w:b w:val="1"/>
                <w:bCs w:val="1"/>
                <w:color w:val="auto"/>
                <w:w w:val="88"/>
              </w:rPr>
              <w:t>573</w:t>
            </w:r>
          </w:p>
        </w:tc>
        <w:tc>
          <w:tcPr>
            <w:tcW w:w="220" w:type="dxa"/>
            <w:vAlign w:val="bottom"/>
            <w:tcBorders>
              <w:top w:val="single" w:sz="8" w:color="E5FFFF"/>
              <w:bottom w:val="single" w:sz="8" w:color="E5FFFF"/>
            </w:tcBorders>
            <w:shd w:val="clear" w:color="auto" w:fill="E5FFFF"/>
          </w:tcPr>
          <w:p>
            <w:pPr>
              <w:spacing w:after="0"/>
              <w:rPr>
                <w:sz w:val="19"/>
                <w:szCs w:val="19"/>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417</w:t>
            </w:r>
          </w:p>
        </w:tc>
      </w:tr>
      <w:tr>
        <w:trPr>
          <w:trHeight w:val="400"/>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Current Liabilities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9"/>
        </w:trPr>
        <w:tc>
          <w:tcPr>
            <w:tcW w:w="81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Amounts due to related parties</w:t>
            </w:r>
          </w:p>
        </w:tc>
        <w:tc>
          <w:tcPr>
            <w:tcW w:w="1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16"/>
        </w:trPr>
        <w:tc>
          <w:tcPr>
            <w:tcW w:w="8100" w:type="dxa"/>
            <w:vAlign w:val="bottom"/>
          </w:tcPr>
          <w:p>
            <w:pPr>
              <w:spacing w:after="0"/>
              <w:rPr>
                <w:sz w:val="24"/>
                <w:szCs w:val="24"/>
                <w:color w:val="auto"/>
              </w:rPr>
            </w:pPr>
          </w:p>
        </w:tc>
        <w:tc>
          <w:tcPr>
            <w:tcW w:w="1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8100" w:type="dxa"/>
            <w:vAlign w:val="bottom"/>
            <w:tcBorders>
              <w:bottom w:val="single" w:sz="8" w:color="E5FF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220" w:type="dxa"/>
            <w:vAlign w:val="bottom"/>
            <w:tcBorders>
              <w:bottom w:val="single" w:sz="8" w:color="E5FFFF"/>
            </w:tcBorders>
          </w:tcPr>
          <w:p>
            <w:pPr>
              <w:spacing w:after="0"/>
              <w:rPr>
                <w:sz w:val="20"/>
                <w:szCs w:val="20"/>
                <w:color w:val="auto"/>
              </w:rPr>
            </w:pPr>
          </w:p>
        </w:tc>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2020</w:t>
            </w:r>
          </w:p>
        </w:tc>
      </w:tr>
      <w:tr>
        <w:trPr>
          <w:trHeight w:val="210"/>
        </w:trPr>
        <w:tc>
          <w:tcPr>
            <w:tcW w:w="810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Ship management creditors</w:t>
            </w:r>
          </w:p>
        </w:tc>
        <w:tc>
          <w:tcPr>
            <w:tcW w:w="1580" w:type="dxa"/>
            <w:vAlign w:val="bottom"/>
            <w:shd w:val="clear" w:color="auto" w:fill="E5FFFF"/>
          </w:tcPr>
          <w:p>
            <w:pPr>
              <w:ind w:left="1320"/>
              <w:spacing w:after="0"/>
              <w:rPr>
                <w:sz w:val="20"/>
                <w:szCs w:val="20"/>
                <w:color w:val="auto"/>
              </w:rPr>
            </w:pPr>
            <w:r>
              <w:rPr>
                <w:rFonts w:ascii="Times New Roman" w:cs="Times New Roman" w:eastAsia="Times New Roman" w:hAnsi="Times New Roman"/>
                <w:sz w:val="18"/>
                <w:szCs w:val="18"/>
                <w:color w:val="auto"/>
                <w:w w:val="88"/>
              </w:rPr>
              <w:t>328</w:t>
            </w: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73</w:t>
            </w:r>
          </w:p>
        </w:tc>
      </w:tr>
      <w:tr>
        <w:trPr>
          <w:trHeight w:val="234"/>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Amounts due to related parties</w:t>
            </w:r>
          </w:p>
        </w:tc>
        <w:tc>
          <w:tcPr>
            <w:tcW w:w="1800" w:type="dxa"/>
            <w:vAlign w:val="bottom"/>
            <w:gridSpan w:val="2"/>
          </w:tcPr>
          <w:p>
            <w:pPr>
              <w:ind w:left="1320"/>
              <w:spacing w:after="0"/>
              <w:rPr>
                <w:sz w:val="20"/>
                <w:szCs w:val="20"/>
                <w:color w:val="auto"/>
              </w:rPr>
            </w:pPr>
            <w:r>
              <w:rPr>
                <w:rFonts w:ascii="Times New Roman" w:cs="Times New Roman" w:eastAsia="Times New Roman" w:hAnsi="Times New Roman"/>
                <w:sz w:val="18"/>
                <w:szCs w:val="18"/>
                <w:color w:val="auto"/>
              </w:rPr>
              <w:t>200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r>
    </w:tbl>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Ship management creditors’ liability comprises cash collected from Egypt LNG Shipping Ltd. to cover the obligations of its vessel under the Group’s management.</w:t>
      </w:r>
    </w:p>
    <w:p>
      <w:pPr>
        <w:spacing w:after="0" w:line="235" w:lineRule="exact"/>
        <w:rPr>
          <w:sz w:val="20"/>
          <w:szCs w:val="20"/>
          <w:color w:val="auto"/>
        </w:rPr>
      </w:pPr>
    </w:p>
    <w:p>
      <w:pPr>
        <w:jc w:val="both"/>
        <w:ind w:right="100" w:firstLine="324"/>
        <w:spacing w:after="0" w:line="298" w:lineRule="auto"/>
        <w:rPr>
          <w:sz w:val="20"/>
          <w:szCs w:val="20"/>
          <w:color w:val="auto"/>
        </w:rPr>
      </w:pPr>
      <w:r>
        <w:rPr>
          <w:rFonts w:ascii="Times New Roman" w:cs="Times New Roman" w:eastAsia="Times New Roman" w:hAnsi="Times New Roman"/>
          <w:sz w:val="16"/>
          <w:szCs w:val="16"/>
          <w:color w:val="auto"/>
        </w:rPr>
        <w:t>Amounts due to related parties of $180 as of September 30, 2020 (December 31, 2019: $200) are expenses paid by a related party on behalf of the Group and payables to other related parties for the office lease and other operating expenses.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9. Revenues from Contracts with Customers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8"/>
        </w:trPr>
        <w:tc>
          <w:tcPr>
            <w:tcW w:w="5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Group has recognized the following amounts relating to revenues: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6"/>
        </w:trPr>
        <w:tc>
          <w:tcPr>
            <w:tcW w:w="5520" w:type="dxa"/>
            <w:vAlign w:val="bottom"/>
          </w:tcPr>
          <w:p>
            <w:pPr>
              <w:spacing w:after="0"/>
              <w:rPr>
                <w:sz w:val="24"/>
                <w:szCs w:val="24"/>
                <w:color w:val="auto"/>
              </w:rPr>
            </w:pPr>
          </w:p>
        </w:tc>
        <w:tc>
          <w:tcPr>
            <w:tcW w:w="29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5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10"/>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Revenues from fixed rate time charters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144,002</w:t>
            </w: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136,786</w:t>
            </w: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418,994</w:t>
            </w: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409,933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variable rate time charters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21,056</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19,741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21,567</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70,960</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Revenues from The Cool Pool Limited (GasLog vessels)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335</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45,253</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Revenues from vessel management services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193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202</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570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w:t>
            </w:r>
          </w:p>
        </w:tc>
      </w:tr>
      <w:tr>
        <w:trPr>
          <w:trHeight w:val="216"/>
        </w:trPr>
        <w:tc>
          <w:tcPr>
            <w:tcW w:w="55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165,586</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156,729</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486,384</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8"/>
                <w:szCs w:val="18"/>
                <w:b w:val="1"/>
                <w:bCs w:val="1"/>
                <w:color w:val="auto"/>
              </w:rPr>
              <w:t>481,487</w:t>
            </w:r>
          </w:p>
        </w:tc>
      </w:tr>
    </w:tbl>
    <w:p>
      <w:pPr>
        <w:spacing w:after="0" w:line="202" w:lineRule="exact"/>
        <w:rPr>
          <w:sz w:val="20"/>
          <w:szCs w:val="20"/>
          <w:color w:val="auto"/>
        </w:rPr>
      </w:pPr>
    </w:p>
    <w:p>
      <w:pPr>
        <w:ind w:right="160" w:firstLine="324"/>
        <w:spacing w:after="0" w:line="281" w:lineRule="auto"/>
        <w:rPr>
          <w:sz w:val="20"/>
          <w:szCs w:val="20"/>
          <w:color w:val="auto"/>
        </w:rPr>
      </w:pPr>
      <w:r>
        <w:rPr>
          <w:rFonts w:ascii="Times New Roman" w:cs="Times New Roman" w:eastAsia="Times New Roman" w:hAnsi="Times New Roman"/>
          <w:sz w:val="16"/>
          <w:szCs w:val="16"/>
          <w:color w:val="auto"/>
        </w:rPr>
        <w:t>Revenues from The Cool Pool Limited relate only to the pool revenues received from GasLog’s vessels operating in an LNG carrier pooling arrangement operated by GasLog, and Golar LNG Ltd. (the “Cool Pool’) and do not include the Net pool allocation to GasLog of ($184) and ($4,264) for the three and nine months ended September 30, 2019, respectively which is recorded as a separate line item in the Profit or Loss Statement.</w:t>
      </w:r>
    </w:p>
    <w:p>
      <w:pPr>
        <w:spacing w:after="0" w:line="177" w:lineRule="exact"/>
        <w:rPr>
          <w:sz w:val="20"/>
          <w:szCs w:val="20"/>
          <w:color w:val="auto"/>
        </w:rPr>
      </w:pPr>
    </w:p>
    <w:p>
      <w:pPr>
        <w:ind w:right="140" w:firstLine="324"/>
        <w:spacing w:after="0" w:line="298" w:lineRule="auto"/>
        <w:rPr>
          <w:sz w:val="20"/>
          <w:szCs w:val="20"/>
          <w:color w:val="auto"/>
        </w:rPr>
      </w:pPr>
      <w:r>
        <w:rPr>
          <w:rFonts w:ascii="Times New Roman" w:cs="Times New Roman" w:eastAsia="Times New Roman" w:hAnsi="Times New Roman"/>
          <w:sz w:val="16"/>
          <w:szCs w:val="16"/>
          <w:color w:val="auto"/>
        </w:rPr>
        <w:t>Following the exit from the Cool Pool, management allocates revenues from time charters to two categories: (a) variable rate charters and (b) fixed rate charters. The variable rate charter category contains vessels operating in the LNG carrier spot and short-term market or those which have a variable rate of hire across the charter period.</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10. General and Administrative Expenses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418"/>
        </w:trPr>
        <w:tc>
          <w:tcPr>
            <w:tcW w:w="5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general and administrative expenses is as follows: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416"/>
        </w:trPr>
        <w:tc>
          <w:tcPr>
            <w:tcW w:w="5520" w:type="dxa"/>
            <w:vAlign w:val="bottom"/>
          </w:tcPr>
          <w:p>
            <w:pPr>
              <w:spacing w:after="0"/>
              <w:rPr>
                <w:sz w:val="24"/>
                <w:szCs w:val="24"/>
                <w:color w:val="auto"/>
              </w:rPr>
            </w:pPr>
          </w:p>
        </w:tc>
        <w:tc>
          <w:tcPr>
            <w:tcW w:w="29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2680" w:type="dxa"/>
            <w:vAlign w:val="bottom"/>
            <w:gridSpan w:val="3"/>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4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24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5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r>
      <w:tr>
        <w:trPr>
          <w:trHeight w:val="209"/>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Employee costs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5,621</w:t>
            </w: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8,057</w:t>
            </w:r>
          </w:p>
        </w:tc>
        <w:tc>
          <w:tcPr>
            <w:tcW w:w="220" w:type="dxa"/>
            <w:vAlign w:val="bottom"/>
            <w:shd w:val="clear" w:color="auto" w:fill="E5FFFF"/>
          </w:tcPr>
          <w:p>
            <w:pPr>
              <w:spacing w:after="0"/>
              <w:rPr>
                <w:sz w:val="18"/>
                <w:szCs w:val="18"/>
                <w:color w:val="auto"/>
              </w:rPr>
            </w:pPr>
          </w:p>
        </w:tc>
        <w:tc>
          <w:tcPr>
            <w:tcW w:w="1220" w:type="dxa"/>
            <w:vAlign w:val="bottom"/>
            <w:shd w:val="clear" w:color="auto" w:fill="E5FFFF"/>
          </w:tcPr>
          <w:p>
            <w:pPr>
              <w:ind w:left="740"/>
              <w:spacing w:after="0"/>
              <w:rPr>
                <w:sz w:val="20"/>
                <w:szCs w:val="20"/>
                <w:color w:val="auto"/>
              </w:rPr>
            </w:pPr>
            <w:r>
              <w:rPr>
                <w:rFonts w:ascii="Times New Roman" w:cs="Times New Roman" w:eastAsia="Times New Roman" w:hAnsi="Times New Roman"/>
                <w:sz w:val="18"/>
                <w:szCs w:val="18"/>
                <w:color w:val="auto"/>
                <w:w w:val="92"/>
              </w:rPr>
              <w:t>16,043</w:t>
            </w: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19,766</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Share-based compensation</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1,129</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1,991</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3,450</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4,857</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4,574</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4,629</w:t>
            </w:r>
          </w:p>
        </w:tc>
        <w:tc>
          <w:tcPr>
            <w:tcW w:w="1440" w:type="dxa"/>
            <w:vAlign w:val="bottom"/>
            <w:gridSpan w:val="2"/>
            <w:shd w:val="clear" w:color="auto" w:fill="E5FFFF"/>
          </w:tcPr>
          <w:p>
            <w:pPr>
              <w:ind w:left="740"/>
              <w:spacing w:after="0"/>
              <w:rPr>
                <w:sz w:val="20"/>
                <w:szCs w:val="20"/>
                <w:color w:val="auto"/>
              </w:rPr>
            </w:pPr>
            <w:r>
              <w:rPr>
                <w:rFonts w:ascii="Times New Roman" w:cs="Times New Roman" w:eastAsia="Times New Roman" w:hAnsi="Times New Roman"/>
                <w:sz w:val="18"/>
                <w:szCs w:val="18"/>
                <w:color w:val="auto"/>
              </w:rPr>
              <w:t>13,380</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10,829</w:t>
            </w:r>
          </w:p>
        </w:tc>
      </w:tr>
      <w:tr>
        <w:trPr>
          <w:trHeight w:val="21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11,324</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14,677</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b w:val="1"/>
                <w:bCs w:val="1"/>
                <w:color w:val="auto"/>
                <w:w w:val="92"/>
              </w:rPr>
              <w:t>32,873</w:t>
            </w:r>
          </w:p>
        </w:tc>
        <w:tc>
          <w:tcPr>
            <w:tcW w:w="220" w:type="dxa"/>
            <w:vAlign w:val="bottom"/>
          </w:tcPr>
          <w:p>
            <w:pPr>
              <w:spacing w:after="0"/>
              <w:rPr>
                <w:sz w:val="18"/>
                <w:szCs w:val="18"/>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35,452</w:t>
            </w:r>
          </w:p>
        </w:tc>
      </w:tr>
    </w:tbl>
    <w:p>
      <w:pPr>
        <w:spacing w:after="0" w:line="202" w:lineRule="exact"/>
        <w:rPr>
          <w:sz w:val="20"/>
          <w:szCs w:val="20"/>
          <w:color w:val="auto"/>
        </w:rPr>
      </w:pPr>
    </w:p>
    <w:p>
      <w:pPr>
        <w:ind w:right="20" w:firstLine="324"/>
        <w:spacing w:after="0" w:line="281" w:lineRule="auto"/>
        <w:rPr>
          <w:sz w:val="20"/>
          <w:szCs w:val="20"/>
          <w:color w:val="auto"/>
        </w:rPr>
      </w:pPr>
      <w:r>
        <w:rPr>
          <w:rFonts w:ascii="Times New Roman" w:cs="Times New Roman" w:eastAsia="Times New Roman" w:hAnsi="Times New Roman"/>
          <w:sz w:val="16"/>
          <w:szCs w:val="16"/>
          <w:color w:val="auto"/>
        </w:rPr>
        <w:t>General and administrative expenses include restructuring costs comprising of termination benefits, accelerated amortization for stock plan and restructuring obligation, of $3,147 and $5,107 for the three and nine months ended September 30, 2020 pursuant to management’s decision to relocate more of its employees including several members of senior management to the Piraeus, Greece office and to close the Stamford, Connecticut office.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11. Vessel Operating and Supervision Costs</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18"/>
        </w:trPr>
        <w:tc>
          <w:tcPr>
            <w:tcW w:w="5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vessels operating and supervision costs is as follows: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5520" w:type="dxa"/>
            <w:vAlign w:val="bottom"/>
          </w:tcPr>
          <w:p>
            <w:pPr>
              <w:spacing w:after="0"/>
              <w:rPr>
                <w:sz w:val="24"/>
                <w:szCs w:val="24"/>
                <w:color w:val="auto"/>
              </w:rPr>
            </w:pPr>
          </w:p>
        </w:tc>
        <w:tc>
          <w:tcPr>
            <w:tcW w:w="2940" w:type="dxa"/>
            <w:vAlign w:val="bottom"/>
            <w:gridSpan w:val="4"/>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100" w:type="dxa"/>
            <w:vAlign w:val="bottom"/>
          </w:tcPr>
          <w:p>
            <w:pPr>
              <w:spacing w:after="0"/>
              <w:rPr>
                <w:sz w:val="24"/>
                <w:szCs w:val="24"/>
                <w:color w:val="auto"/>
              </w:rPr>
            </w:pPr>
          </w:p>
        </w:tc>
        <w:tc>
          <w:tcPr>
            <w:tcW w:w="2680" w:type="dxa"/>
            <w:vAlign w:val="bottom"/>
            <w:gridSpan w:val="6"/>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For the nine months ended</w:t>
            </w:r>
          </w:p>
        </w:tc>
      </w:tr>
      <w:tr>
        <w:trPr>
          <w:trHeight w:val="216"/>
        </w:trPr>
        <w:tc>
          <w:tcPr>
            <w:tcW w:w="5520" w:type="dxa"/>
            <w:vAlign w:val="bottom"/>
          </w:tcPr>
          <w:p>
            <w:pPr>
              <w:spacing w:after="0"/>
              <w:rPr>
                <w:sz w:val="18"/>
                <w:szCs w:val="18"/>
                <w:color w:val="auto"/>
              </w:rPr>
            </w:pPr>
          </w:p>
        </w:tc>
        <w:tc>
          <w:tcPr>
            <w:tcW w:w="1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September 30,</w:t>
            </w:r>
          </w:p>
        </w:tc>
        <w:tc>
          <w:tcPr>
            <w:tcW w:w="14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8"/>
              </w:rPr>
              <w:t>September 30,</w:t>
            </w:r>
          </w:p>
        </w:tc>
        <w:tc>
          <w:tcPr>
            <w:tcW w:w="1440" w:type="dxa"/>
            <w:vAlign w:val="bottom"/>
            <w:gridSpan w:val="4"/>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c>
          <w:tcPr>
            <w:tcW w:w="134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w w:val="99"/>
              </w:rPr>
              <w:t>September 30,</w:t>
            </w:r>
          </w:p>
        </w:tc>
      </w:tr>
      <w:tr>
        <w:trPr>
          <w:trHeight w:val="238"/>
        </w:trPr>
        <w:tc>
          <w:tcPr>
            <w:tcW w:w="5520" w:type="dxa"/>
            <w:vAlign w:val="bottom"/>
            <w:tcBorders>
              <w:bottom w:val="single" w:sz="8" w:color="E5FFFF"/>
            </w:tcBorders>
          </w:tcPr>
          <w:p>
            <w:pPr>
              <w:spacing w:after="0"/>
              <w:rPr>
                <w:sz w:val="20"/>
                <w:szCs w:val="20"/>
                <w:color w:val="auto"/>
              </w:rPr>
            </w:pPr>
          </w:p>
        </w:tc>
        <w:tc>
          <w:tcPr>
            <w:tcW w:w="12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4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220" w:type="dxa"/>
            <w:vAlign w:val="bottom"/>
            <w:tcBorders>
              <w:bottom w:val="single" w:sz="8" w:color="E5FFFF"/>
            </w:tcBorders>
          </w:tcPr>
          <w:p>
            <w:pPr>
              <w:spacing w:after="0"/>
              <w:rPr>
                <w:sz w:val="20"/>
                <w:szCs w:val="20"/>
                <w:color w:val="auto"/>
              </w:rPr>
            </w:pPr>
          </w:p>
        </w:tc>
        <w:tc>
          <w:tcPr>
            <w:tcW w:w="1220" w:type="dxa"/>
            <w:vAlign w:val="bottom"/>
            <w:tcBorders>
              <w:bottom w:val="single" w:sz="8" w:color="auto"/>
            </w:tcBorders>
            <w:gridSpan w:val="2"/>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Borders>
              <w:bottom w:val="single" w:sz="8" w:color="E5FFFF"/>
            </w:tcBorders>
          </w:tcPr>
          <w:p>
            <w:pPr>
              <w:spacing w:after="0"/>
              <w:rPr>
                <w:sz w:val="20"/>
                <w:szCs w:val="20"/>
                <w:color w:val="auto"/>
              </w:rPr>
            </w:pPr>
          </w:p>
        </w:tc>
        <w:tc>
          <w:tcPr>
            <w:tcW w:w="100" w:type="dxa"/>
            <w:vAlign w:val="bottom"/>
            <w:tcBorders>
              <w:bottom w:val="single" w:sz="8" w:color="E5FFFF"/>
            </w:tcBorders>
          </w:tcPr>
          <w:p>
            <w:pPr>
              <w:spacing w:after="0"/>
              <w:rPr>
                <w:sz w:val="20"/>
                <w:szCs w:val="20"/>
                <w:color w:val="auto"/>
              </w:rPr>
            </w:pPr>
          </w:p>
        </w:tc>
        <w:tc>
          <w:tcPr>
            <w:tcW w:w="1240" w:type="dxa"/>
            <w:vAlign w:val="bottom"/>
            <w:tcBorders>
              <w:bottom w:val="single" w:sz="8" w:color="auto"/>
            </w:tcBorders>
            <w:gridSpan w:val="2"/>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10"/>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Crew wages and vessel management employee costs</w:t>
            </w:r>
          </w:p>
        </w:tc>
        <w:tc>
          <w:tcPr>
            <w:tcW w:w="126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20,212</w:t>
            </w: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23,097</w:t>
            </w:r>
          </w:p>
        </w:tc>
        <w:tc>
          <w:tcPr>
            <w:tcW w:w="220" w:type="dxa"/>
            <w:vAlign w:val="bottom"/>
            <w:shd w:val="clear" w:color="auto" w:fill="E5FFFF"/>
          </w:tcPr>
          <w:p>
            <w:pPr>
              <w:spacing w:after="0"/>
              <w:rPr>
                <w:sz w:val="18"/>
                <w:szCs w:val="18"/>
                <w:color w:val="auto"/>
              </w:rPr>
            </w:pPr>
          </w:p>
        </w:tc>
        <w:tc>
          <w:tcPr>
            <w:tcW w:w="1220" w:type="dxa"/>
            <w:vAlign w:val="bottom"/>
            <w:gridSpan w:val="2"/>
            <w:shd w:val="clear" w:color="auto" w:fill="E5FFFF"/>
          </w:tcPr>
          <w:p>
            <w:pPr>
              <w:ind w:left="740"/>
              <w:spacing w:after="0"/>
              <w:rPr>
                <w:sz w:val="20"/>
                <w:szCs w:val="20"/>
                <w:color w:val="auto"/>
              </w:rPr>
            </w:pPr>
            <w:r>
              <w:rPr>
                <w:rFonts w:ascii="Times New Roman" w:cs="Times New Roman" w:eastAsia="Times New Roman" w:hAnsi="Times New Roman"/>
                <w:sz w:val="18"/>
                <w:szCs w:val="18"/>
                <w:color w:val="auto"/>
                <w:w w:val="92"/>
              </w:rPr>
              <w:t>59,556</w:t>
            </w:r>
          </w:p>
        </w:tc>
        <w:tc>
          <w:tcPr>
            <w:tcW w:w="120" w:type="dxa"/>
            <w:vAlign w:val="bottom"/>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64,033</w:t>
            </w:r>
          </w:p>
        </w:tc>
        <w:tc>
          <w:tcPr>
            <w:tcW w:w="100" w:type="dxa"/>
            <w:vAlign w:val="bottom"/>
          </w:tcPr>
          <w:p>
            <w:pPr>
              <w:spacing w:after="0"/>
              <w:rPr>
                <w:sz w:val="18"/>
                <w:szCs w:val="18"/>
                <w:color w:val="auto"/>
              </w:rPr>
            </w:pP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Technical maintenance expenses</w:t>
            </w:r>
          </w:p>
        </w:tc>
        <w:tc>
          <w:tcPr>
            <w:tcW w:w="15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8,303</w:t>
            </w:r>
          </w:p>
        </w:tc>
        <w:tc>
          <w:tcPr>
            <w:tcW w:w="14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10,432</w:t>
            </w:r>
          </w:p>
        </w:tc>
        <w:tc>
          <w:tcPr>
            <w:tcW w:w="1340" w:type="dxa"/>
            <w:vAlign w:val="bottom"/>
            <w:gridSpan w:val="3"/>
          </w:tcPr>
          <w:p>
            <w:pPr>
              <w:ind w:left="740"/>
              <w:spacing w:after="0"/>
              <w:rPr>
                <w:sz w:val="20"/>
                <w:szCs w:val="20"/>
                <w:color w:val="auto"/>
              </w:rPr>
            </w:pPr>
            <w:r>
              <w:rPr>
                <w:rFonts w:ascii="Times New Roman" w:cs="Times New Roman" w:eastAsia="Times New Roman" w:hAnsi="Times New Roman"/>
                <w:sz w:val="18"/>
                <w:szCs w:val="18"/>
                <w:color w:val="auto"/>
              </w:rPr>
              <w:t>25,428</w:t>
            </w:r>
          </w:p>
        </w:tc>
        <w:tc>
          <w:tcPr>
            <w:tcW w:w="100" w:type="dxa"/>
            <w:vAlign w:val="bottom"/>
          </w:tcPr>
          <w:p>
            <w:pPr>
              <w:spacing w:after="0"/>
              <w:rPr>
                <w:sz w:val="18"/>
                <w:szCs w:val="18"/>
                <w:color w:val="auto"/>
              </w:rPr>
            </w:pP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27,736</w:t>
            </w:r>
          </w:p>
        </w:tc>
        <w:tc>
          <w:tcPr>
            <w:tcW w:w="100" w:type="dxa"/>
            <w:vAlign w:val="bottom"/>
          </w:tcPr>
          <w:p>
            <w:pPr>
              <w:spacing w:after="0"/>
              <w:rPr>
                <w:sz w:val="18"/>
                <w:szCs w:val="18"/>
                <w:color w:val="auto"/>
              </w:rPr>
            </w:pP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vessel operating expenses</w:t>
            </w:r>
          </w:p>
        </w:tc>
        <w:tc>
          <w:tcPr>
            <w:tcW w:w="150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8"/>
                <w:szCs w:val="18"/>
                <w:color w:val="auto"/>
              </w:rPr>
              <w:t>5,281</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8"/>
                <w:szCs w:val="18"/>
                <w:color w:val="auto"/>
              </w:rPr>
              <w:t>5,632</w:t>
            </w:r>
          </w:p>
        </w:tc>
        <w:tc>
          <w:tcPr>
            <w:tcW w:w="1340" w:type="dxa"/>
            <w:vAlign w:val="bottom"/>
            <w:gridSpan w:val="3"/>
            <w:shd w:val="clear" w:color="auto" w:fill="E5FFFF"/>
          </w:tcPr>
          <w:p>
            <w:pPr>
              <w:ind w:left="740"/>
              <w:spacing w:after="0"/>
              <w:rPr>
                <w:sz w:val="20"/>
                <w:szCs w:val="20"/>
                <w:color w:val="auto"/>
              </w:rPr>
            </w:pPr>
            <w:r>
              <w:rPr>
                <w:rFonts w:ascii="Times New Roman" w:cs="Times New Roman" w:eastAsia="Times New Roman" w:hAnsi="Times New Roman"/>
                <w:sz w:val="18"/>
                <w:szCs w:val="18"/>
                <w:color w:val="auto"/>
              </w:rPr>
              <w:t>15,140</w:t>
            </w:r>
          </w:p>
        </w:tc>
        <w:tc>
          <w:tcPr>
            <w:tcW w:w="100" w:type="dxa"/>
            <w:vAlign w:val="bottom"/>
            <w:shd w:val="clear" w:color="auto" w:fill="E5FFFF"/>
          </w:tcPr>
          <w:p>
            <w:pPr>
              <w:spacing w:after="0"/>
              <w:rPr>
                <w:sz w:val="18"/>
                <w:szCs w:val="18"/>
                <w:color w:val="auto"/>
              </w:rPr>
            </w:pPr>
          </w:p>
        </w:tc>
        <w:tc>
          <w:tcPr>
            <w:tcW w:w="124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15,049</w:t>
            </w:r>
          </w:p>
        </w:tc>
        <w:tc>
          <w:tcPr>
            <w:tcW w:w="100" w:type="dxa"/>
            <w:vAlign w:val="bottom"/>
          </w:tcPr>
          <w:p>
            <w:pPr>
              <w:spacing w:after="0"/>
              <w:rPr>
                <w:sz w:val="18"/>
                <w:szCs w:val="18"/>
                <w:color w:val="auto"/>
              </w:rPr>
            </w:pPr>
          </w:p>
        </w:tc>
      </w:tr>
      <w:tr>
        <w:trPr>
          <w:trHeight w:val="217"/>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33,796</w:t>
            </w:r>
          </w:p>
        </w:tc>
        <w:tc>
          <w:tcPr>
            <w:tcW w:w="240" w:type="dxa"/>
            <w:vAlign w:val="bottom"/>
          </w:tcPr>
          <w:p>
            <w:pPr>
              <w:spacing w:after="0"/>
              <w:rPr>
                <w:sz w:val="18"/>
                <w:szCs w:val="18"/>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39,161</w:t>
            </w:r>
          </w:p>
        </w:tc>
        <w:tc>
          <w:tcPr>
            <w:tcW w:w="2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100,124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106,818</w:t>
            </w:r>
          </w:p>
        </w:tc>
        <w:tc>
          <w:tcPr>
            <w:tcW w:w="100" w:type="dxa"/>
            <w:vAlign w:val="bottom"/>
          </w:tcPr>
          <w:p>
            <w:pPr>
              <w:spacing w:after="0"/>
              <w:rPr>
                <w:sz w:val="18"/>
                <w:szCs w:val="18"/>
                <w:color w:val="auto"/>
              </w:rPr>
            </w:pPr>
          </w:p>
        </w:tc>
      </w:tr>
      <w:tr>
        <w:trPr>
          <w:trHeight w:val="413"/>
        </w:trPr>
        <w:tc>
          <w:tcPr>
            <w:tcW w:w="55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12. Other Payables and Accruals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8"/>
        </w:trPr>
        <w:tc>
          <w:tcPr>
            <w:tcW w:w="55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other payables and accruals is as follows:</w:t>
            </w: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6"/>
        </w:trPr>
        <w:tc>
          <w:tcPr>
            <w:tcW w:w="55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120" w:type="dxa"/>
            <w:vAlign w:val="bottom"/>
          </w:tcPr>
          <w:p>
            <w:pPr>
              <w:spacing w:after="0"/>
              <w:rPr>
                <w:sz w:val="24"/>
                <w:szCs w:val="24"/>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September 30,</w:t>
            </w:r>
          </w:p>
        </w:tc>
      </w:tr>
      <w:tr>
        <w:trPr>
          <w:trHeight w:val="238"/>
        </w:trPr>
        <w:tc>
          <w:tcPr>
            <w:tcW w:w="55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gridSpan w:val="2"/>
          </w:tcPr>
          <w:p>
            <w:pPr>
              <w:jc w:val="right"/>
              <w:ind w:right="2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2020</w:t>
            </w:r>
          </w:p>
        </w:tc>
        <w:tc>
          <w:tcPr>
            <w:tcW w:w="100" w:type="dxa"/>
            <w:vAlign w:val="bottom"/>
          </w:tcPr>
          <w:p>
            <w:pPr>
              <w:spacing w:after="0"/>
              <w:rPr>
                <w:sz w:val="20"/>
                <w:szCs w:val="20"/>
                <w:color w:val="auto"/>
              </w:rPr>
            </w:pPr>
          </w:p>
        </w:tc>
      </w:tr>
      <w:tr>
        <w:trPr>
          <w:trHeight w:val="209"/>
        </w:trPr>
        <w:tc>
          <w:tcPr>
            <w:tcW w:w="55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Unearned revenue</w:t>
            </w:r>
          </w:p>
        </w:tc>
        <w:tc>
          <w:tcPr>
            <w:tcW w:w="1260" w:type="dxa"/>
            <w:vAlign w:val="bottom"/>
            <w:tcBorders>
              <w:top w:val="single" w:sz="8" w:color="E5FFFF"/>
            </w:tcBorders>
            <w:shd w:val="clear" w:color="auto" w:fill="E5FFFF"/>
          </w:tcPr>
          <w:p>
            <w:pPr>
              <w:spacing w:after="0"/>
              <w:rPr>
                <w:sz w:val="18"/>
                <w:szCs w:val="18"/>
                <w:color w:val="auto"/>
              </w:rPr>
            </w:pPr>
          </w:p>
        </w:tc>
        <w:tc>
          <w:tcPr>
            <w:tcW w:w="24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E5FFFF"/>
            </w:tcBorders>
            <w:shd w:val="clear" w:color="auto" w:fill="E5FFFF"/>
          </w:tcPr>
          <w:p>
            <w:pPr>
              <w:spacing w:after="0"/>
              <w:rPr>
                <w:sz w:val="18"/>
                <w:szCs w:val="18"/>
                <w:color w:val="auto"/>
              </w:rPr>
            </w:pPr>
          </w:p>
        </w:tc>
        <w:tc>
          <w:tcPr>
            <w:tcW w:w="220" w:type="dxa"/>
            <w:vAlign w:val="bottom"/>
            <w:tcBorders>
              <w:top w:val="single" w:sz="8" w:color="E5FFFF"/>
            </w:tcBorders>
            <w:shd w:val="clear" w:color="auto" w:fill="E5FFFF"/>
          </w:tcPr>
          <w:p>
            <w:pPr>
              <w:spacing w:after="0"/>
              <w:rPr>
                <w:sz w:val="18"/>
                <w:szCs w:val="18"/>
                <w:color w:val="auto"/>
              </w:rPr>
            </w:pPr>
          </w:p>
        </w:tc>
        <w:tc>
          <w:tcPr>
            <w:tcW w:w="100" w:type="dxa"/>
            <w:vAlign w:val="bottom"/>
            <w:tcBorders>
              <w:top w:val="single" w:sz="8" w:color="E5FFFF"/>
            </w:tcBorders>
            <w:shd w:val="clear" w:color="auto" w:fill="E5FFFF"/>
          </w:tcPr>
          <w:p>
            <w:pPr>
              <w:spacing w:after="0"/>
              <w:rPr>
                <w:sz w:val="18"/>
                <w:szCs w:val="18"/>
                <w:color w:val="auto"/>
              </w:rPr>
            </w:pPr>
          </w:p>
        </w:tc>
        <w:tc>
          <w:tcPr>
            <w:tcW w:w="12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48,183</w:t>
            </w:r>
          </w:p>
        </w:tc>
        <w:tc>
          <w:tcPr>
            <w:tcW w:w="100" w:type="dxa"/>
            <w:vAlign w:val="bottom"/>
            <w:tcBorders>
              <w:top w:val="single" w:sz="8" w:color="E5FFFF"/>
            </w:tcBorders>
            <w:shd w:val="clear" w:color="auto" w:fill="E5FFFF"/>
          </w:tcPr>
          <w:p>
            <w:pPr>
              <w:spacing w:after="0"/>
              <w:rPr>
                <w:sz w:val="18"/>
                <w:szCs w:val="18"/>
                <w:color w:val="auto"/>
              </w:rPr>
            </w:pPr>
          </w:p>
        </w:tc>
        <w:tc>
          <w:tcPr>
            <w:tcW w:w="120" w:type="dxa"/>
            <w:vAlign w:val="bottom"/>
            <w:tcBorders>
              <w:top w:val="single" w:sz="8" w:color="E5FFFF"/>
            </w:tcBorders>
            <w:shd w:val="clear" w:color="auto" w:fill="E5FFFF"/>
          </w:tcPr>
          <w:p>
            <w:pPr>
              <w:spacing w:after="0"/>
              <w:rPr>
                <w:sz w:val="18"/>
                <w:szCs w:val="18"/>
                <w:color w:val="auto"/>
              </w:rPr>
            </w:pPr>
          </w:p>
        </w:tc>
        <w:tc>
          <w:tcPr>
            <w:tcW w:w="122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52,270</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off-hire</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6,968</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7,205</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Accrued purchases</w:t>
            </w: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9,759</w:t>
            </w:r>
          </w:p>
        </w:tc>
        <w:tc>
          <w:tcPr>
            <w:tcW w:w="13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13,367</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color w:val="auto"/>
              </w:rPr>
              <w:t>Accrued interest</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color w:val="auto"/>
              </w:rPr>
              <w:t>36,746</w:t>
            </w: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21,737</w:t>
            </w:r>
          </w:p>
        </w:tc>
      </w:tr>
      <w:tr>
        <w:trPr>
          <w:trHeight w:val="216"/>
        </w:trPr>
        <w:tc>
          <w:tcPr>
            <w:tcW w:w="5520" w:type="dxa"/>
            <w:vAlign w:val="bottom"/>
            <w:shd w:val="clear" w:color="auto" w:fill="E5FFFF"/>
          </w:tcPr>
          <w:p>
            <w:pPr>
              <w:spacing w:after="0"/>
              <w:rPr>
                <w:sz w:val="20"/>
                <w:szCs w:val="20"/>
                <w:color w:val="auto"/>
              </w:rPr>
            </w:pPr>
            <w:r>
              <w:rPr>
                <w:rFonts w:ascii="Times New Roman" w:cs="Times New Roman" w:eastAsia="Times New Roman" w:hAnsi="Times New Roman"/>
                <w:sz w:val="18"/>
                <w:szCs w:val="18"/>
                <w:color w:val="auto"/>
              </w:rPr>
              <w:t>Other accruals</w:t>
            </w:r>
          </w:p>
        </w:tc>
        <w:tc>
          <w:tcPr>
            <w:tcW w:w="1260" w:type="dxa"/>
            <w:vAlign w:val="bottom"/>
            <w:shd w:val="clear" w:color="auto" w:fill="E5FFFF"/>
          </w:tcPr>
          <w:p>
            <w:pPr>
              <w:spacing w:after="0"/>
              <w:rPr>
                <w:sz w:val="18"/>
                <w:szCs w:val="18"/>
                <w:color w:val="auto"/>
              </w:rPr>
            </w:pPr>
          </w:p>
        </w:tc>
        <w:tc>
          <w:tcPr>
            <w:tcW w:w="240" w:type="dxa"/>
            <w:vAlign w:val="bottom"/>
            <w:shd w:val="clear" w:color="auto" w:fill="E5FFFF"/>
          </w:tcPr>
          <w:p>
            <w:pPr>
              <w:spacing w:after="0"/>
              <w:rPr>
                <w:sz w:val="18"/>
                <w:szCs w:val="18"/>
                <w:color w:val="auto"/>
              </w:rPr>
            </w:pPr>
          </w:p>
        </w:tc>
        <w:tc>
          <w:tcPr>
            <w:tcW w:w="12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440" w:type="dxa"/>
            <w:vAlign w:val="bottom"/>
            <w:gridSpan w:val="4"/>
            <w:shd w:val="clear" w:color="auto" w:fill="E5FFFF"/>
          </w:tcPr>
          <w:p>
            <w:pPr>
              <w:jc w:val="right"/>
              <w:ind w:right="100"/>
              <w:spacing w:after="0"/>
              <w:rPr>
                <w:sz w:val="20"/>
                <w:szCs w:val="20"/>
                <w:color w:val="auto"/>
              </w:rPr>
            </w:pPr>
            <w:r>
              <w:rPr>
                <w:rFonts w:ascii="Times New Roman" w:cs="Times New Roman" w:eastAsia="Times New Roman" w:hAnsi="Times New Roman"/>
                <w:sz w:val="18"/>
                <w:szCs w:val="18"/>
                <w:color w:val="auto"/>
              </w:rPr>
              <w:t>34,586</w:t>
            </w:r>
          </w:p>
        </w:tc>
        <w:tc>
          <w:tcPr>
            <w:tcW w:w="13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8"/>
                <w:szCs w:val="18"/>
                <w:color w:val="auto"/>
              </w:rPr>
              <w:t>35,193</w:t>
            </w:r>
          </w:p>
        </w:tc>
      </w:tr>
      <w:tr>
        <w:trPr>
          <w:trHeight w:val="216"/>
        </w:trPr>
        <w:tc>
          <w:tcPr>
            <w:tcW w:w="5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136,242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129,772</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13. Share Capital and Preference Shares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GasLog’s authorized share capital consists of 500,000,000 shares with a par value of $0.01 per share.</w:t>
      </w:r>
    </w:p>
    <w:p>
      <w:pPr>
        <w:spacing w:after="0" w:line="235" w:lineRule="exact"/>
        <w:rPr>
          <w:sz w:val="20"/>
          <w:szCs w:val="20"/>
          <w:color w:val="auto"/>
        </w:rPr>
      </w:pPr>
    </w:p>
    <w:p>
      <w:pPr>
        <w:ind w:right="740" w:firstLine="324"/>
        <w:spacing w:after="0" w:line="298" w:lineRule="auto"/>
        <w:rPr>
          <w:sz w:val="20"/>
          <w:szCs w:val="20"/>
          <w:color w:val="auto"/>
        </w:rPr>
      </w:pPr>
      <w:r>
        <w:rPr>
          <w:rFonts w:ascii="Times New Roman" w:cs="Times New Roman" w:eastAsia="Times New Roman" w:hAnsi="Times New Roman"/>
          <w:sz w:val="16"/>
          <w:szCs w:val="16"/>
          <w:color w:val="auto"/>
        </w:rPr>
        <w:t>On June 29, 2020, GasLog issued 14,400,000 common shares at a price of $2.50 per share for total gross proceeds of $36,000 through a private placement of unregistered common shares.</w:t>
      </w:r>
    </w:p>
    <w:p>
      <w:pPr>
        <w:spacing w:after="0" w:line="164"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As of September 30, 2020, the share capital consisted of 95,169,981 issued and outstanding common shares, par value $0.01 per share, 223,145 treasury shares issued and held by GasLog and 4,600,000 preference shares issued and outstanding. The treasury shares were acquired by GasLog in relation to the share-based compensation (Note 18).</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Dividend distributions</w:t>
      </w:r>
    </w:p>
    <w:p>
      <w:pPr>
        <w:spacing w:after="0" w:line="23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GasLog’s dividend distributions for the period ending September 30, 2020 are presented in the following table:</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Declaration date</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Type of shares</w:t>
            </w:r>
          </w:p>
        </w:tc>
        <w:tc>
          <w:tcPr>
            <w:tcW w:w="320" w:type="dxa"/>
            <w:vAlign w:val="bottom"/>
          </w:tcPr>
          <w:p>
            <w:pPr>
              <w:spacing w:after="0"/>
              <w:rPr>
                <w:sz w:val="20"/>
                <w:szCs w:val="20"/>
                <w:color w:val="auto"/>
              </w:rPr>
            </w:pPr>
          </w:p>
        </w:tc>
        <w:tc>
          <w:tcPr>
            <w:tcW w:w="194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Dividend per share</w:t>
            </w:r>
          </w:p>
        </w:tc>
        <w:tc>
          <w:tcPr>
            <w:tcW w:w="202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 paid</w:t>
            </w:r>
          </w:p>
        </w:tc>
        <w:tc>
          <w:tcPr>
            <w:tcW w:w="560" w:type="dxa"/>
            <w:vAlign w:val="bottom"/>
          </w:tcPr>
          <w:p>
            <w:pPr>
              <w:spacing w:after="0"/>
              <w:rPr>
                <w:sz w:val="20"/>
                <w:szCs w:val="20"/>
                <w:color w:val="auto"/>
              </w:rPr>
            </w:pPr>
          </w:p>
        </w:tc>
      </w:tr>
      <w:tr>
        <w:trPr>
          <w:trHeight w:val="209"/>
        </w:trPr>
        <w:tc>
          <w:tcPr>
            <w:tcW w:w="3540" w:type="dxa"/>
            <w:vAlign w:val="bottom"/>
            <w:tcBorders>
              <w:top w:val="single" w:sz="8" w:color="auto"/>
            </w:tcBorders>
            <w:shd w:val="clear" w:color="auto" w:fill="E5FFFF"/>
          </w:tcPr>
          <w:p>
            <w:pPr>
              <w:spacing w:after="0"/>
              <w:rPr>
                <w:sz w:val="20"/>
                <w:szCs w:val="20"/>
                <w:color w:val="auto"/>
              </w:rPr>
            </w:pPr>
            <w:r>
              <w:rPr>
                <w:rFonts w:ascii="Times New Roman" w:cs="Times New Roman" w:eastAsia="Times New Roman" w:hAnsi="Times New Roman"/>
                <w:sz w:val="18"/>
                <w:szCs w:val="18"/>
                <w:color w:val="auto"/>
              </w:rPr>
              <w:t>February 5, 2020</w:t>
            </w:r>
          </w:p>
        </w:tc>
        <w:tc>
          <w:tcPr>
            <w:tcW w:w="320" w:type="dxa"/>
            <w:vAlign w:val="bottom"/>
            <w:tcBorders>
              <w:top w:val="single" w:sz="8" w:color="E5FFFF"/>
            </w:tcBorders>
            <w:shd w:val="clear" w:color="auto" w:fill="E5FFFF"/>
          </w:tcPr>
          <w:p>
            <w:pPr>
              <w:spacing w:after="0"/>
              <w:rPr>
                <w:sz w:val="18"/>
                <w:szCs w:val="18"/>
                <w:color w:val="auto"/>
              </w:rPr>
            </w:pPr>
          </w:p>
        </w:tc>
        <w:tc>
          <w:tcPr>
            <w:tcW w:w="138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320" w:type="dxa"/>
            <w:vAlign w:val="bottom"/>
            <w:tcBorders>
              <w:top w:val="single" w:sz="8" w:color="E5FFFF"/>
            </w:tcBorders>
            <w:shd w:val="clear" w:color="auto" w:fill="E5FFFF"/>
          </w:tcPr>
          <w:p>
            <w:pPr>
              <w:spacing w:after="0"/>
              <w:rPr>
                <w:sz w:val="18"/>
                <w:szCs w:val="18"/>
                <w:color w:val="auto"/>
              </w:rPr>
            </w:pPr>
          </w:p>
        </w:tc>
        <w:tc>
          <w:tcPr>
            <w:tcW w:w="172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8"/>
              </w:rPr>
              <w:t>$0.15</w:t>
            </w:r>
          </w:p>
        </w:tc>
        <w:tc>
          <w:tcPr>
            <w:tcW w:w="220" w:type="dxa"/>
            <w:vAlign w:val="bottom"/>
            <w:tcBorders>
              <w:top w:val="single" w:sz="8" w:color="E5FFFF"/>
            </w:tcBorders>
            <w:shd w:val="clear" w:color="auto" w:fill="E5FFFF"/>
          </w:tcPr>
          <w:p>
            <w:pPr>
              <w:spacing w:after="0"/>
              <w:rPr>
                <w:sz w:val="18"/>
                <w:szCs w:val="18"/>
                <w:color w:val="auto"/>
              </w:rPr>
            </w:pPr>
          </w:p>
        </w:tc>
        <w:tc>
          <w:tcPr>
            <w:tcW w:w="1800" w:type="dxa"/>
            <w:vAlign w:val="bottom"/>
            <w:tcBorders>
              <w:top w:val="single" w:sz="8" w:color="auto"/>
            </w:tcBorders>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9"/>
              </w:rPr>
              <w:t>March 12, 2020</w:t>
            </w:r>
          </w:p>
        </w:tc>
        <w:tc>
          <w:tcPr>
            <w:tcW w:w="220" w:type="dxa"/>
            <w:vAlign w:val="bottom"/>
            <w:tcBorders>
              <w:top w:val="single" w:sz="8" w:color="E5FFFF"/>
            </w:tcBorders>
            <w:shd w:val="clear" w:color="auto" w:fill="E5FFFF"/>
          </w:tcPr>
          <w:p>
            <w:pPr>
              <w:spacing w:after="0"/>
              <w:rPr>
                <w:sz w:val="18"/>
                <w:szCs w:val="18"/>
                <w:color w:val="auto"/>
              </w:rPr>
            </w:pPr>
          </w:p>
        </w:tc>
        <w:tc>
          <w:tcPr>
            <w:tcW w:w="1160" w:type="dxa"/>
            <w:vAlign w:val="bottom"/>
            <w:tcBorders>
              <w:top w:val="single" w:sz="8" w:color="auto"/>
            </w:tcBorders>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12,082</w:t>
            </w:r>
          </w:p>
        </w:tc>
        <w:tc>
          <w:tcPr>
            <w:tcW w:w="56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March 12, 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Preference</w:t>
            </w:r>
          </w:p>
        </w:tc>
        <w:tc>
          <w:tcPr>
            <w:tcW w:w="20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$0.546875</w:t>
            </w:r>
          </w:p>
        </w:tc>
        <w:tc>
          <w:tcPr>
            <w:tcW w:w="2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April 1, 2020</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2,516</w:t>
            </w:r>
          </w:p>
        </w:tc>
        <w:tc>
          <w:tcPr>
            <w:tcW w:w="560" w:type="dxa"/>
            <w:vAlign w:val="bottom"/>
          </w:tcPr>
          <w:p>
            <w:pPr>
              <w:spacing w:after="0"/>
              <w:rPr>
                <w:sz w:val="18"/>
                <w:szCs w:val="18"/>
                <w:color w:val="auto"/>
              </w:rPr>
            </w:pPr>
          </w:p>
        </w:tc>
      </w:tr>
      <w:tr>
        <w:trPr>
          <w:trHeight w:val="216"/>
        </w:trPr>
        <w:tc>
          <w:tcPr>
            <w:tcW w:w="38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May 6, 2020</w:t>
            </w:r>
          </w:p>
        </w:tc>
        <w:tc>
          <w:tcPr>
            <w:tcW w:w="13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2040" w:type="dxa"/>
            <w:vAlign w:val="bottom"/>
            <w:gridSpan w:val="2"/>
            <w:shd w:val="clear" w:color="auto" w:fill="E5FFFF"/>
          </w:tcPr>
          <w:p>
            <w:pPr>
              <w:jc w:val="center"/>
              <w:ind w:left="230"/>
              <w:spacing w:after="0"/>
              <w:rPr>
                <w:sz w:val="20"/>
                <w:szCs w:val="20"/>
                <w:color w:val="auto"/>
              </w:rPr>
            </w:pPr>
            <w:r>
              <w:rPr>
                <w:rFonts w:ascii="Times New Roman" w:cs="Times New Roman" w:eastAsia="Times New Roman" w:hAnsi="Times New Roman"/>
                <w:sz w:val="18"/>
                <w:szCs w:val="18"/>
                <w:color w:val="auto"/>
                <w:w w:val="98"/>
              </w:rPr>
              <w:t>$0.05</w:t>
            </w:r>
          </w:p>
        </w:tc>
        <w:tc>
          <w:tcPr>
            <w:tcW w:w="22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8"/>
                <w:szCs w:val="18"/>
                <w:color w:val="auto"/>
                <w:w w:val="99"/>
              </w:rPr>
              <w:t>May 28, 2020</w:t>
            </w:r>
          </w:p>
        </w:tc>
        <w:tc>
          <w:tcPr>
            <w:tcW w:w="116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4,035</w:t>
            </w:r>
          </w:p>
        </w:tc>
        <w:tc>
          <w:tcPr>
            <w:tcW w:w="560" w:type="dxa"/>
            <w:vAlign w:val="bottom"/>
          </w:tcPr>
          <w:p>
            <w:pPr>
              <w:spacing w:after="0"/>
              <w:rPr>
                <w:sz w:val="18"/>
                <w:szCs w:val="18"/>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May 14, 2020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Preference</w:t>
            </w:r>
          </w:p>
        </w:tc>
        <w:tc>
          <w:tcPr>
            <w:tcW w:w="204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$0.546875</w:t>
            </w:r>
          </w:p>
        </w:tc>
        <w:tc>
          <w:tcPr>
            <w:tcW w:w="220" w:type="dxa"/>
            <w:vAlign w:val="bottom"/>
          </w:tcPr>
          <w:p>
            <w:pPr>
              <w:spacing w:after="0"/>
              <w:rPr>
                <w:sz w:val="18"/>
                <w:szCs w:val="18"/>
                <w:color w:val="auto"/>
              </w:rPr>
            </w:pPr>
          </w:p>
        </w:tc>
        <w:tc>
          <w:tcPr>
            <w:tcW w:w="20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July 1, 2020</w:t>
            </w:r>
          </w:p>
        </w:tc>
        <w:tc>
          <w:tcPr>
            <w:tcW w:w="116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2,516</w:t>
            </w:r>
          </w:p>
        </w:tc>
        <w:tc>
          <w:tcPr>
            <w:tcW w:w="560" w:type="dxa"/>
            <w:vAlign w:val="bottom"/>
          </w:tcPr>
          <w:p>
            <w:pPr>
              <w:spacing w:after="0"/>
              <w:rPr>
                <w:sz w:val="18"/>
                <w:szCs w:val="18"/>
                <w:color w:val="auto"/>
              </w:rPr>
            </w:pPr>
          </w:p>
        </w:tc>
      </w:tr>
      <w:tr>
        <w:trPr>
          <w:trHeight w:val="216"/>
        </w:trPr>
        <w:tc>
          <w:tcPr>
            <w:tcW w:w="38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color w:val="auto"/>
              </w:rPr>
              <w:t>August 4, 2020</w:t>
            </w:r>
          </w:p>
        </w:tc>
        <w:tc>
          <w:tcPr>
            <w:tcW w:w="1380" w:type="dxa"/>
            <w:vAlign w:val="bottom"/>
            <w:shd w:val="clear" w:color="auto" w:fill="E5FFFF"/>
          </w:tcPr>
          <w:p>
            <w:pPr>
              <w:jc w:val="center"/>
              <w:spacing w:after="0"/>
              <w:rPr>
                <w:sz w:val="20"/>
                <w:szCs w:val="20"/>
                <w:color w:val="auto"/>
              </w:rPr>
            </w:pPr>
            <w:r>
              <w:rPr>
                <w:rFonts w:ascii="Times New Roman" w:cs="Times New Roman" w:eastAsia="Times New Roman" w:hAnsi="Times New Roman"/>
                <w:sz w:val="18"/>
                <w:szCs w:val="18"/>
                <w:color w:val="auto"/>
                <w:w w:val="98"/>
              </w:rPr>
              <w:t>Common</w:t>
            </w:r>
          </w:p>
        </w:tc>
        <w:tc>
          <w:tcPr>
            <w:tcW w:w="2040" w:type="dxa"/>
            <w:vAlign w:val="bottom"/>
            <w:gridSpan w:val="2"/>
            <w:shd w:val="clear" w:color="auto" w:fill="E5FFFF"/>
          </w:tcPr>
          <w:p>
            <w:pPr>
              <w:jc w:val="center"/>
              <w:ind w:left="230"/>
              <w:spacing w:after="0"/>
              <w:rPr>
                <w:sz w:val="20"/>
                <w:szCs w:val="20"/>
                <w:color w:val="auto"/>
              </w:rPr>
            </w:pPr>
            <w:r>
              <w:rPr>
                <w:rFonts w:ascii="Times New Roman" w:cs="Times New Roman" w:eastAsia="Times New Roman" w:hAnsi="Times New Roman"/>
                <w:sz w:val="18"/>
                <w:szCs w:val="18"/>
                <w:color w:val="auto"/>
                <w:w w:val="98"/>
              </w:rPr>
              <w:t>$0.05</w:t>
            </w:r>
          </w:p>
        </w:tc>
        <w:tc>
          <w:tcPr>
            <w:tcW w:w="220" w:type="dxa"/>
            <w:vAlign w:val="bottom"/>
            <w:shd w:val="clear" w:color="auto" w:fill="E5FFFF"/>
          </w:tcPr>
          <w:p>
            <w:pPr>
              <w:spacing w:after="0"/>
              <w:rPr>
                <w:sz w:val="18"/>
                <w:szCs w:val="18"/>
                <w:color w:val="auto"/>
              </w:rPr>
            </w:pPr>
          </w:p>
        </w:tc>
        <w:tc>
          <w:tcPr>
            <w:tcW w:w="2020" w:type="dxa"/>
            <w:vAlign w:val="bottom"/>
            <w:gridSpan w:val="2"/>
            <w:shd w:val="clear" w:color="auto" w:fill="E5FFFF"/>
          </w:tcPr>
          <w:p>
            <w:pPr>
              <w:jc w:val="center"/>
              <w:ind w:right="220"/>
              <w:spacing w:after="0"/>
              <w:rPr>
                <w:sz w:val="20"/>
                <w:szCs w:val="20"/>
                <w:color w:val="auto"/>
              </w:rPr>
            </w:pPr>
            <w:r>
              <w:rPr>
                <w:rFonts w:ascii="Times New Roman" w:cs="Times New Roman" w:eastAsia="Times New Roman" w:hAnsi="Times New Roman"/>
                <w:sz w:val="18"/>
                <w:szCs w:val="18"/>
                <w:color w:val="auto"/>
              </w:rPr>
              <w:t>August 27, 2020</w:t>
            </w:r>
          </w:p>
        </w:tc>
        <w:tc>
          <w:tcPr>
            <w:tcW w:w="1160" w:type="dxa"/>
            <w:vAlign w:val="bottom"/>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color w:val="auto"/>
              </w:rPr>
              <w:t>4,758</w:t>
            </w:r>
          </w:p>
        </w:tc>
        <w:tc>
          <w:tcPr>
            <w:tcW w:w="560" w:type="dxa"/>
            <w:vAlign w:val="bottom"/>
          </w:tcPr>
          <w:p>
            <w:pPr>
              <w:spacing w:after="0"/>
              <w:rPr>
                <w:sz w:val="18"/>
                <w:szCs w:val="18"/>
                <w:color w:val="auto"/>
              </w:rPr>
            </w:pPr>
          </w:p>
        </w:tc>
      </w:tr>
      <w:tr>
        <w:trPr>
          <w:trHeight w:val="216"/>
        </w:trPr>
        <w:tc>
          <w:tcPr>
            <w:tcW w:w="3860" w:type="dxa"/>
            <w:vAlign w:val="bottom"/>
            <w:tcBorders>
              <w:bottom w:val="single" w:sz="8" w:color="E5FFFF"/>
            </w:tcBorders>
            <w:gridSpan w:val="2"/>
          </w:tcPr>
          <w:p>
            <w:pPr>
              <w:spacing w:after="0"/>
              <w:rPr>
                <w:sz w:val="20"/>
                <w:szCs w:val="20"/>
                <w:color w:val="auto"/>
              </w:rPr>
            </w:pPr>
            <w:r>
              <w:rPr>
                <w:rFonts w:ascii="Times New Roman" w:cs="Times New Roman" w:eastAsia="Times New Roman" w:hAnsi="Times New Roman"/>
                <w:sz w:val="18"/>
                <w:szCs w:val="18"/>
                <w:color w:val="auto"/>
              </w:rPr>
              <w:t>September 16, 2020</w:t>
            </w:r>
          </w:p>
        </w:tc>
        <w:tc>
          <w:tcPr>
            <w:tcW w:w="1380" w:type="dxa"/>
            <w:vAlign w:val="bottom"/>
            <w:tcBorders>
              <w:bottom w:val="single" w:sz="8" w:color="E5FFFF"/>
            </w:tcBorders>
          </w:tcPr>
          <w:p>
            <w:pPr>
              <w:jc w:val="center"/>
              <w:spacing w:after="0"/>
              <w:rPr>
                <w:sz w:val="20"/>
                <w:szCs w:val="20"/>
                <w:color w:val="auto"/>
              </w:rPr>
            </w:pPr>
            <w:r>
              <w:rPr>
                <w:rFonts w:ascii="Times New Roman" w:cs="Times New Roman" w:eastAsia="Times New Roman" w:hAnsi="Times New Roman"/>
                <w:sz w:val="18"/>
                <w:szCs w:val="18"/>
                <w:color w:val="auto"/>
              </w:rPr>
              <w:t>Preference</w:t>
            </w:r>
          </w:p>
        </w:tc>
        <w:tc>
          <w:tcPr>
            <w:tcW w:w="2040" w:type="dxa"/>
            <w:vAlign w:val="bottom"/>
            <w:tcBorders>
              <w:bottom w:val="single" w:sz="8" w:color="E5FFFF"/>
            </w:tcBorders>
            <w:gridSpan w:val="2"/>
          </w:tcPr>
          <w:p>
            <w:pPr>
              <w:jc w:val="center"/>
              <w:ind w:left="230"/>
              <w:spacing w:after="0"/>
              <w:rPr>
                <w:sz w:val="20"/>
                <w:szCs w:val="20"/>
                <w:color w:val="auto"/>
              </w:rPr>
            </w:pPr>
            <w:r>
              <w:rPr>
                <w:rFonts w:ascii="Times New Roman" w:cs="Times New Roman" w:eastAsia="Times New Roman" w:hAnsi="Times New Roman"/>
                <w:sz w:val="18"/>
                <w:szCs w:val="18"/>
                <w:color w:val="auto"/>
                <w:w w:val="99"/>
              </w:rPr>
              <w:t>$0.546875</w:t>
            </w:r>
          </w:p>
        </w:tc>
        <w:tc>
          <w:tcPr>
            <w:tcW w:w="220" w:type="dxa"/>
            <w:vAlign w:val="bottom"/>
            <w:tcBorders>
              <w:bottom w:val="single" w:sz="8" w:color="E5FFFF"/>
            </w:tcBorders>
          </w:tcPr>
          <w:p>
            <w:pPr>
              <w:spacing w:after="0"/>
              <w:rPr>
                <w:sz w:val="18"/>
                <w:szCs w:val="18"/>
                <w:color w:val="auto"/>
              </w:rPr>
            </w:pPr>
          </w:p>
        </w:tc>
        <w:tc>
          <w:tcPr>
            <w:tcW w:w="2020" w:type="dxa"/>
            <w:vAlign w:val="bottom"/>
            <w:tcBorders>
              <w:bottom w:val="single" w:sz="8" w:color="E5FFFF"/>
            </w:tcBorders>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October 1, 2020</w:t>
            </w:r>
          </w:p>
        </w:tc>
        <w:tc>
          <w:tcPr>
            <w:tcW w:w="116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2,516</w:t>
            </w:r>
          </w:p>
        </w:tc>
        <w:tc>
          <w:tcPr>
            <w:tcW w:w="560" w:type="dxa"/>
            <w:vAlign w:val="bottom"/>
          </w:tcPr>
          <w:p>
            <w:pPr>
              <w:spacing w:after="0"/>
              <w:rPr>
                <w:sz w:val="18"/>
                <w:szCs w:val="18"/>
                <w:color w:val="auto"/>
              </w:rPr>
            </w:pPr>
          </w:p>
        </w:tc>
      </w:tr>
      <w:tr>
        <w:trPr>
          <w:trHeight w:val="209"/>
        </w:trPr>
        <w:tc>
          <w:tcPr>
            <w:tcW w:w="3860" w:type="dxa"/>
            <w:vAlign w:val="bottom"/>
            <w:gridSpan w:val="2"/>
            <w:shd w:val="clear" w:color="auto" w:fill="E5FF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380" w:type="dxa"/>
            <w:vAlign w:val="bottom"/>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7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80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160" w:type="dxa"/>
            <w:vAlign w:val="bottom"/>
            <w:tcBorders>
              <w:bottom w:val="single" w:sz="8" w:color="auto"/>
            </w:tcBorders>
            <w:shd w:val="clear" w:color="auto" w:fill="E5FFFF"/>
          </w:tcPr>
          <w:p>
            <w:pPr>
              <w:jc w:val="right"/>
              <w:ind w:right="190"/>
              <w:spacing w:after="0"/>
              <w:rPr>
                <w:sz w:val="20"/>
                <w:szCs w:val="20"/>
                <w:color w:val="auto"/>
              </w:rPr>
            </w:pPr>
            <w:r>
              <w:rPr>
                <w:rFonts w:ascii="Times New Roman" w:cs="Times New Roman" w:eastAsia="Times New Roman" w:hAnsi="Times New Roman"/>
                <w:sz w:val="18"/>
                <w:szCs w:val="18"/>
                <w:b w:val="1"/>
                <w:bCs w:val="1"/>
                <w:color w:val="auto"/>
              </w:rPr>
              <w:t>28,423</w:t>
            </w:r>
          </w:p>
        </w:tc>
        <w:tc>
          <w:tcPr>
            <w:tcW w:w="560" w:type="dxa"/>
            <w:vAlign w:val="bottom"/>
          </w:tcPr>
          <w:p>
            <w:pPr>
              <w:spacing w:after="0"/>
              <w:rPr>
                <w:sz w:val="18"/>
                <w:szCs w:val="18"/>
                <w:color w:val="auto"/>
              </w:rPr>
            </w:pPr>
          </w:p>
        </w:tc>
      </w:tr>
      <w:tr>
        <w:trPr>
          <w:trHeight w:val="641"/>
        </w:trPr>
        <w:tc>
          <w:tcPr>
            <w:tcW w:w="35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ind w:left="220"/>
              <w:spacing w:after="0"/>
              <w:rPr>
                <w:sz w:val="20"/>
                <w:szCs w:val="20"/>
                <w:color w:val="auto"/>
              </w:rPr>
            </w:pPr>
            <w:r>
              <w:rPr>
                <w:rFonts w:ascii="Times New Roman" w:cs="Times New Roman" w:eastAsia="Times New Roman" w:hAnsi="Times New Roman"/>
                <w:sz w:val="18"/>
                <w:szCs w:val="18"/>
                <w:color w:val="auto"/>
              </w:rPr>
              <w:t>F-13</w:t>
            </w:r>
          </w:p>
        </w:tc>
        <w:tc>
          <w:tcPr>
            <w:tcW w:w="18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7" w:right="339" w:bottom="906"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6"/>
          <w:szCs w:val="16"/>
          <w:b w:val="1"/>
          <w:bCs w:val="1"/>
          <w:color w:val="auto"/>
        </w:rPr>
        <w:t>14. Commitments and Contingencies</w:t>
      </w:r>
    </w:p>
    <w:p>
      <w:pPr>
        <w:spacing w:after="0" w:line="25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 Commitments relating to the vessels under construction (Note 4) as of September 30, 2020 payable to Samsung were as follows:</w:t>
      </w:r>
    </w:p>
    <w:p>
      <w:pPr>
        <w:sectPr>
          <w:pgSz w:w="11900" w:h="16838" w:orient="portrait"/>
          <w:cols w:equalWidth="0" w:num="1">
            <w:col w:w="11240"/>
          </w:cols>
          <w:pgMar w:left="320" w:top="907" w:right="339" w:bottom="487" w:gutter="0" w:footer="0" w:header="0"/>
        </w:sect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6858000" cy="1454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00" cy="14541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Not later than one year</w:t>
      </w:r>
    </w:p>
    <w:p>
      <w:pPr>
        <w:spacing w:after="0" w:line="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Total</w:t>
      </w:r>
    </w:p>
    <w:p>
      <w:pPr>
        <w:spacing w:after="0" w:line="20" w:lineRule="exact"/>
        <w:rPr>
          <w:sz w:val="20"/>
          <w:szCs w:val="20"/>
          <w:color w:val="auto"/>
        </w:rPr>
      </w:pPr>
      <w:r>
        <w:rPr>
          <w:sz w:val="20"/>
          <w:szCs w:val="20"/>
          <w:color w:val="auto"/>
        </w:rPr>
        <w:br w:type="column"/>
      </w: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September 30, 2020</w:t>
      </w:r>
    </w:p>
    <w:p>
      <w:pPr>
        <w:spacing w:after="0" w:line="264"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6"/>
          <w:szCs w:val="16"/>
          <w:color w:val="auto"/>
        </w:rPr>
        <w:t>641,030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-5937885</wp:posOffset>
            </wp:positionH>
            <wp:positionV relativeFrom="paragraph">
              <wp:posOffset>20320</wp:posOffset>
            </wp:positionV>
            <wp:extent cx="7132320" cy="1625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4" w:lineRule="exact"/>
        <w:rPr>
          <w:sz w:val="20"/>
          <w:szCs w:val="20"/>
          <w:color w:val="auto"/>
        </w:rPr>
      </w:pPr>
    </w:p>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641,030</w:t>
      </w:r>
    </w:p>
    <w:p>
      <w:pPr>
        <w:spacing w:after="0" w:line="213" w:lineRule="exact"/>
        <w:rPr>
          <w:sz w:val="20"/>
          <w:szCs w:val="20"/>
          <w:color w:val="auto"/>
        </w:rPr>
      </w:pPr>
    </w:p>
    <w:p>
      <w:pPr>
        <w:sectPr>
          <w:pgSz w:w="11900" w:h="16838" w:orient="portrait"/>
          <w:cols w:equalWidth="0" w:num="2">
            <w:col w:w="8640" w:space="720"/>
            <w:col w:w="1880"/>
          </w:cols>
          <w:pgMar w:left="320" w:top="907" w:right="339" w:bottom="487" w:gutter="0" w:footer="0" w:header="0"/>
          <w:type w:val="continuous"/>
        </w:sectPr>
      </w:pPr>
    </w:p>
    <w:p>
      <w:pPr>
        <w:spacing w:after="0" w:line="266" w:lineRule="exact"/>
        <w:rPr>
          <w:sz w:val="20"/>
          <w:szCs w:val="20"/>
          <w:color w:val="auto"/>
        </w:rPr>
      </w:pPr>
    </w:p>
    <w:p>
      <w:pPr>
        <w:ind w:right="20" w:firstLine="8"/>
        <w:spacing w:after="0" w:line="281" w:lineRule="auto"/>
        <w:tabs>
          <w:tab w:leader="none" w:pos="229"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Future gross minimum revenues receivable in relation to non-cancellable time charter agreements for vessels in operation, including a vessel under a lease (Note 5), as of September 30, 2020 are as follows (30 off-hire days are assumed when each vessel will undergo scheduled dry-docking; in addition, early delivery of the vessels by the charterers or any exercise of the charterers’ options to extend the terms of the charters are not accounted for):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9240" w:type="dxa"/>
            <w:vAlign w:val="bottom"/>
          </w:tcPr>
          <w:p>
            <w:pPr>
              <w:spacing w:after="0"/>
              <w:rPr>
                <w:sz w:val="18"/>
                <w:szCs w:val="18"/>
                <w:color w:val="auto"/>
              </w:rPr>
            </w:pPr>
          </w:p>
        </w:tc>
        <w:tc>
          <w:tcPr>
            <w:tcW w:w="1700" w:type="dxa"/>
            <w:vAlign w:val="bottom"/>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September 30, 2020</w:t>
            </w:r>
          </w:p>
        </w:tc>
      </w:tr>
      <w:tr>
        <w:trPr>
          <w:trHeight w:val="213"/>
        </w:trPr>
        <w:tc>
          <w:tcPr>
            <w:tcW w:w="92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Period</w:t>
            </w:r>
          </w:p>
        </w:tc>
        <w:tc>
          <w:tcPr>
            <w:tcW w:w="1680" w:type="dxa"/>
            <w:vAlign w:val="bottom"/>
            <w:tcBorders>
              <w:top w:val="single" w:sz="8" w:color="auto"/>
            </w:tcBorders>
            <w:shd w:val="clear" w:color="auto" w:fill="E5FFFF"/>
          </w:tcPr>
          <w:p>
            <w:pPr>
              <w:spacing w:after="0"/>
              <w:rPr>
                <w:sz w:val="18"/>
                <w:szCs w:val="18"/>
                <w:color w:val="auto"/>
              </w:rPr>
            </w:pPr>
          </w:p>
        </w:tc>
        <w:tc>
          <w:tcPr>
            <w:tcW w:w="20" w:type="dxa"/>
            <w:vAlign w:val="bottom"/>
          </w:tcPr>
          <w:p>
            <w:pPr>
              <w:spacing w:after="0"/>
              <w:rPr>
                <w:sz w:val="18"/>
                <w:szCs w:val="18"/>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Not later than one year</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406,697</w:t>
            </w:r>
          </w:p>
        </w:tc>
        <w:tc>
          <w:tcPr>
            <w:tcW w:w="20" w:type="dxa"/>
            <w:vAlign w:val="bottom"/>
          </w:tcPr>
          <w:p>
            <w:pPr>
              <w:spacing w:after="0"/>
              <w:rPr>
                <w:sz w:val="18"/>
                <w:szCs w:val="18"/>
                <w:color w:val="auto"/>
              </w:rPr>
            </w:pPr>
          </w:p>
        </w:tc>
      </w:tr>
      <w:tr>
        <w:trPr>
          <w:trHeight w:val="222"/>
        </w:trPr>
        <w:tc>
          <w:tcPr>
            <w:tcW w:w="92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one year and not later than two years</w:t>
            </w:r>
          </w:p>
        </w:tc>
        <w:tc>
          <w:tcPr>
            <w:tcW w:w="1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356,265</w:t>
            </w:r>
          </w:p>
        </w:tc>
        <w:tc>
          <w:tcPr>
            <w:tcW w:w="20" w:type="dxa"/>
            <w:vAlign w:val="bottom"/>
          </w:tcPr>
          <w:p>
            <w:pPr>
              <w:spacing w:after="0"/>
              <w:rPr>
                <w:sz w:val="19"/>
                <w:szCs w:val="19"/>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Later than two years and not later than three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342,684</w:t>
            </w:r>
          </w:p>
        </w:tc>
        <w:tc>
          <w:tcPr>
            <w:tcW w:w="20" w:type="dxa"/>
            <w:vAlign w:val="bottom"/>
          </w:tcPr>
          <w:p>
            <w:pPr>
              <w:spacing w:after="0"/>
              <w:rPr>
                <w:sz w:val="18"/>
                <w:szCs w:val="18"/>
                <w:color w:val="auto"/>
              </w:rPr>
            </w:pPr>
          </w:p>
        </w:tc>
      </w:tr>
      <w:tr>
        <w:trPr>
          <w:trHeight w:val="222"/>
        </w:trPr>
        <w:tc>
          <w:tcPr>
            <w:tcW w:w="92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Later than three years and not later than four years</w:t>
            </w:r>
          </w:p>
        </w:tc>
        <w:tc>
          <w:tcPr>
            <w:tcW w:w="168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282,391</w:t>
            </w:r>
          </w:p>
        </w:tc>
        <w:tc>
          <w:tcPr>
            <w:tcW w:w="20" w:type="dxa"/>
            <w:vAlign w:val="bottom"/>
          </w:tcPr>
          <w:p>
            <w:pPr>
              <w:spacing w:after="0"/>
              <w:rPr>
                <w:sz w:val="19"/>
                <w:szCs w:val="19"/>
                <w:color w:val="auto"/>
              </w:rPr>
            </w:pPr>
          </w:p>
        </w:tc>
      </w:tr>
      <w:tr>
        <w:trPr>
          <w:trHeight w:val="210"/>
        </w:trPr>
        <w:tc>
          <w:tcPr>
            <w:tcW w:w="9240" w:type="dxa"/>
            <w:vAlign w:val="bottom"/>
          </w:tcPr>
          <w:p>
            <w:pPr>
              <w:spacing w:after="0"/>
              <w:rPr>
                <w:sz w:val="20"/>
                <w:szCs w:val="20"/>
                <w:color w:val="auto"/>
              </w:rPr>
            </w:pPr>
            <w:r>
              <w:rPr>
                <w:rFonts w:ascii="Times New Roman" w:cs="Times New Roman" w:eastAsia="Times New Roman" w:hAnsi="Times New Roman"/>
                <w:sz w:val="16"/>
                <w:szCs w:val="16"/>
                <w:color w:val="auto"/>
              </w:rPr>
              <w:t>Later than four years and not later than five years</w:t>
            </w: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264,696</w:t>
            </w:r>
          </w:p>
        </w:tc>
        <w:tc>
          <w:tcPr>
            <w:tcW w:w="20" w:type="dxa"/>
            <w:vAlign w:val="bottom"/>
          </w:tcPr>
          <w:p>
            <w:pPr>
              <w:spacing w:after="0"/>
              <w:rPr>
                <w:sz w:val="18"/>
                <w:szCs w:val="18"/>
                <w:color w:val="auto"/>
              </w:rPr>
            </w:pPr>
          </w:p>
        </w:tc>
      </w:tr>
      <w:tr>
        <w:trPr>
          <w:trHeight w:val="219"/>
        </w:trPr>
        <w:tc>
          <w:tcPr>
            <w:tcW w:w="92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More than five years</w:t>
            </w:r>
          </w:p>
        </w:tc>
        <w:tc>
          <w:tcPr>
            <w:tcW w:w="168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620,570</w:t>
            </w:r>
          </w:p>
        </w:tc>
        <w:tc>
          <w:tcPr>
            <w:tcW w:w="20" w:type="dxa"/>
            <w:vAlign w:val="bottom"/>
          </w:tcPr>
          <w:p>
            <w:pPr>
              <w:spacing w:after="0"/>
              <w:rPr>
                <w:sz w:val="19"/>
                <w:szCs w:val="19"/>
                <w:color w:val="auto"/>
              </w:rPr>
            </w:pPr>
          </w:p>
        </w:tc>
      </w:tr>
      <w:tr>
        <w:trPr>
          <w:trHeight w:val="219"/>
        </w:trPr>
        <w:tc>
          <w:tcPr>
            <w:tcW w:w="92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2,273,303</w:t>
            </w:r>
          </w:p>
        </w:tc>
        <w:tc>
          <w:tcPr>
            <w:tcW w:w="20" w:type="dxa"/>
            <w:vAlign w:val="bottom"/>
            <w:tcBorders>
              <w:bottom w:val="single" w:sz="8" w:color="auto"/>
            </w:tcBorders>
          </w:tcPr>
          <w:p>
            <w:pPr>
              <w:spacing w:after="0"/>
              <w:rPr>
                <w:sz w:val="19"/>
                <w:szCs w:val="19"/>
                <w:color w:val="auto"/>
              </w:rPr>
            </w:pPr>
          </w:p>
        </w:tc>
      </w:tr>
    </w:tbl>
    <w:p>
      <w:pPr>
        <w:spacing w:after="0" w:line="20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Future gross minimum lease payments disclosed in the above table excludes the lease payments of the vessels that are under construction.</w:t>
      </w:r>
    </w:p>
    <w:p>
      <w:pPr>
        <w:spacing w:after="0" w:line="235" w:lineRule="exact"/>
        <w:rPr>
          <w:sz w:val="20"/>
          <w:szCs w:val="20"/>
          <w:color w:val="auto"/>
        </w:rPr>
      </w:pPr>
    </w:p>
    <w:p>
      <w:pPr>
        <w:ind w:left="340" w:right="180" w:hanging="332"/>
        <w:spacing w:after="0" w:line="275"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September 2017 (and in addition to the seven existing maintenance agreements signed in 2015 in relation to GasLog vessels), GasLog LNG Services Ltd. entered into further maintenance agreements with Wartsila Greece S.A. (“Wartsila”) in respect of eight additional GasLog LNG carriers. In July 2018, GasLog LNG Services Ltd. renewed the maintenance agreements signed in 2015 with Wartsila. The agreements ensure dynamic maintenance planning, technical support, security of spare parts supply, specialist technical personnel and performance monitoring.</w:t>
      </w:r>
    </w:p>
    <w:p>
      <w:pPr>
        <w:spacing w:after="0" w:line="182" w:lineRule="exact"/>
        <w:rPr>
          <w:rFonts w:ascii="Times New Roman" w:cs="Times New Roman" w:eastAsia="Times New Roman" w:hAnsi="Times New Roman"/>
          <w:sz w:val="16"/>
          <w:szCs w:val="16"/>
          <w:color w:val="auto"/>
        </w:rPr>
      </w:pPr>
    </w:p>
    <w:p>
      <w:pPr>
        <w:ind w:left="340" w:right="80" w:hanging="332"/>
        <w:spacing w:after="0" w:line="281" w:lineRule="auto"/>
        <w:tabs>
          <w:tab w:leader="none" w:pos="3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March 2019, GasLog LNG Services entered into an agreement with Samsung in respect of nineteen of GasLog’s vessels. The agreement covers the supply of ballast water management systems on board the vessels by Samsung and associated field, commissioning and engineering services for a firm period of six years. As of September 30, 2020, ballast water management systems had been installed on nine out of the nineteen vessels.</w:t>
      </w:r>
    </w:p>
    <w:p>
      <w:pPr>
        <w:spacing w:after="0" w:line="177" w:lineRule="exact"/>
        <w:rPr>
          <w:sz w:val="20"/>
          <w:szCs w:val="20"/>
          <w:color w:val="auto"/>
        </w:rPr>
      </w:pPr>
    </w:p>
    <w:p>
      <w:pPr>
        <w:jc w:val="both"/>
        <w:ind w:right="220" w:firstLine="324"/>
        <w:spacing w:after="0" w:line="281" w:lineRule="auto"/>
        <w:rPr>
          <w:sz w:val="20"/>
          <w:szCs w:val="20"/>
          <w:color w:val="auto"/>
        </w:rPr>
      </w:pPr>
      <w:r>
        <w:rPr>
          <w:rFonts w:ascii="Times New Roman" w:cs="Times New Roman" w:eastAsia="Times New Roman" w:hAnsi="Times New Roman"/>
          <w:sz w:val="16"/>
          <w:szCs w:val="16"/>
          <w:color w:val="auto"/>
        </w:rPr>
        <w:t>Various claims, suits and complaints, including those involving government regulations, arise in the ordinary course of the shipping business. In addition, losses may arise from disputes with charterers, environmental claims, agents and insurers and from claims with suppliers relating to the operations of the Group’s vessels. Currently, management is not aware of any such claims or contingent liabilities requiring disclosure in the unaudited condensed consolidated financial statements.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82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15. Derivative Financial Instruments</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419"/>
        </w:trPr>
        <w:tc>
          <w:tcPr>
            <w:tcW w:w="240" w:type="dxa"/>
            <w:vAlign w:val="bottom"/>
          </w:tcPr>
          <w:p>
            <w:pPr>
              <w:spacing w:after="0"/>
              <w:rPr>
                <w:sz w:val="24"/>
                <w:szCs w:val="24"/>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fair value of the derivative assets is as follows: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9"/>
        </w:trPr>
        <w:tc>
          <w:tcPr>
            <w:tcW w:w="2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240" w:type="dxa"/>
            <w:vAlign w:val="bottom"/>
          </w:tcPr>
          <w:p>
            <w:pPr>
              <w:spacing w:after="0"/>
              <w:rPr>
                <w:sz w:val="18"/>
                <w:szCs w:val="18"/>
                <w:color w:val="auto"/>
              </w:rPr>
            </w:pPr>
          </w:p>
        </w:tc>
        <w:tc>
          <w:tcPr>
            <w:tcW w:w="80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13"/>
        </w:trPr>
        <w:tc>
          <w:tcPr>
            <w:tcW w:w="240" w:type="dxa"/>
            <w:vAlign w:val="bottom"/>
          </w:tcPr>
          <w:p>
            <w:pPr>
              <w:spacing w:after="0"/>
              <w:rPr>
                <w:sz w:val="18"/>
                <w:szCs w:val="18"/>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assets carried at fair value through profit or loss (FVTPL)</w:t>
            </w:r>
          </w:p>
        </w:tc>
        <w:tc>
          <w:tcPr>
            <w:tcW w:w="15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240" w:type="dxa"/>
            <w:vAlign w:val="bottom"/>
          </w:tcPr>
          <w:p>
            <w:pPr>
              <w:spacing w:after="0"/>
              <w:rPr>
                <w:sz w:val="19"/>
                <w:szCs w:val="19"/>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Forward foreign exchange contracts</w:t>
            </w:r>
          </w:p>
        </w:tc>
        <w:tc>
          <w:tcPr>
            <w:tcW w:w="15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120" w:type="dxa"/>
            <w:vAlign w:val="bottom"/>
            <w:shd w:val="clear" w:color="auto" w:fill="E5FFFF"/>
          </w:tcPr>
          <w:p>
            <w:pPr>
              <w:spacing w:after="0"/>
              <w:rPr>
                <w:sz w:val="19"/>
                <w:szCs w:val="19"/>
                <w:color w:val="auto"/>
              </w:rPr>
            </w:pP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2"/>
        </w:trPr>
        <w:tc>
          <w:tcPr>
            <w:tcW w:w="2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 assets designated and effective as hedging instruments carried at fair value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240" w:type="dxa"/>
            <w:vAlign w:val="bottom"/>
          </w:tcPr>
          <w:p>
            <w:pPr>
              <w:spacing w:after="0"/>
              <w:rPr>
                <w:sz w:val="19"/>
                <w:szCs w:val="19"/>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Cross-currency swaps</w:t>
            </w:r>
          </w:p>
        </w:tc>
        <w:tc>
          <w:tcPr>
            <w:tcW w:w="15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3,594</w:t>
            </w:r>
          </w:p>
        </w:tc>
        <w:tc>
          <w:tcPr>
            <w:tcW w:w="120" w:type="dxa"/>
            <w:vAlign w:val="bottom"/>
            <w:shd w:val="clear" w:color="auto" w:fill="E5FFFF"/>
          </w:tcPr>
          <w:p>
            <w:pPr>
              <w:spacing w:after="0"/>
              <w:rPr>
                <w:sz w:val="19"/>
                <w:szCs w:val="19"/>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4,001</w:t>
            </w:r>
          </w:p>
        </w:tc>
        <w:tc>
          <w:tcPr>
            <w:tcW w:w="120" w:type="dxa"/>
            <w:vAlign w:val="bottom"/>
          </w:tcPr>
          <w:p>
            <w:pPr>
              <w:spacing w:after="0"/>
              <w:rPr>
                <w:sz w:val="17"/>
                <w:szCs w:val="17"/>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r>
      <w:tr>
        <w:trPr>
          <w:trHeight w:val="202"/>
        </w:trPr>
        <w:tc>
          <w:tcPr>
            <w:tcW w:w="240" w:type="dxa"/>
            <w:vAlign w:val="bottom"/>
          </w:tcPr>
          <w:p>
            <w:pPr>
              <w:spacing w:after="0"/>
              <w:rPr>
                <w:sz w:val="17"/>
                <w:szCs w:val="17"/>
                <w:color w:val="auto"/>
              </w:rPr>
            </w:pPr>
          </w:p>
        </w:tc>
        <w:tc>
          <w:tcPr>
            <w:tcW w:w="80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assets</w:t>
            </w:r>
          </w:p>
        </w:tc>
        <w:tc>
          <w:tcPr>
            <w:tcW w:w="15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429</w:t>
            </w:r>
          </w:p>
        </w:tc>
        <w:tc>
          <w:tcPr>
            <w:tcW w:w="1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383</w:t>
            </w:r>
          </w:p>
        </w:tc>
      </w:tr>
      <w:tr>
        <w:trPr>
          <w:trHeight w:val="210"/>
        </w:trPr>
        <w:tc>
          <w:tcPr>
            <w:tcW w:w="240" w:type="dxa"/>
            <w:vAlign w:val="bottom"/>
          </w:tcPr>
          <w:p>
            <w:pPr>
              <w:spacing w:after="0"/>
              <w:rPr>
                <w:sz w:val="18"/>
                <w:szCs w:val="18"/>
                <w:color w:val="auto"/>
              </w:rPr>
            </w:pPr>
          </w:p>
        </w:tc>
        <w:tc>
          <w:tcPr>
            <w:tcW w:w="80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assets</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3,572</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22"/>
        </w:trPr>
        <w:tc>
          <w:tcPr>
            <w:tcW w:w="240" w:type="dxa"/>
            <w:vAlign w:val="bottom"/>
          </w:tcPr>
          <w:p>
            <w:pPr>
              <w:spacing w:after="0"/>
              <w:rPr>
                <w:sz w:val="19"/>
                <w:szCs w:val="19"/>
                <w:color w:val="auto"/>
              </w:rPr>
            </w:pPr>
          </w:p>
        </w:tc>
        <w:tc>
          <w:tcPr>
            <w:tcW w:w="80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4,001</w:t>
            </w:r>
          </w:p>
        </w:tc>
        <w:tc>
          <w:tcPr>
            <w:tcW w:w="120" w:type="dxa"/>
            <w:vAlign w:val="bottom"/>
            <w:tcBorders>
              <w:bottom w:val="single" w:sz="8" w:color="E5FFFF"/>
            </w:tcBorders>
            <w:shd w:val="clear" w:color="auto" w:fill="E5FFFF"/>
          </w:tcPr>
          <w:p>
            <w:pPr>
              <w:spacing w:after="0"/>
              <w:rPr>
                <w:sz w:val="19"/>
                <w:szCs w:val="19"/>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383</w:t>
            </w:r>
          </w:p>
        </w:tc>
      </w:tr>
      <w:tr>
        <w:trPr>
          <w:trHeight w:val="399"/>
        </w:trPr>
        <w:tc>
          <w:tcPr>
            <w:tcW w:w="240" w:type="dxa"/>
            <w:vAlign w:val="bottom"/>
          </w:tcPr>
          <w:p>
            <w:pPr>
              <w:spacing w:after="0"/>
              <w:rPr>
                <w:sz w:val="24"/>
                <w:szCs w:val="24"/>
                <w:color w:val="auto"/>
              </w:rPr>
            </w:pPr>
          </w:p>
        </w:tc>
        <w:tc>
          <w:tcPr>
            <w:tcW w:w="804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The fair value of the derivative liabilities is as follows:</w:t>
            </w: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09"/>
        </w:trPr>
        <w:tc>
          <w:tcPr>
            <w:tcW w:w="240" w:type="dxa"/>
            <w:vAlign w:val="bottom"/>
          </w:tcPr>
          <w:p>
            <w:pPr>
              <w:spacing w:after="0"/>
              <w:rPr>
                <w:sz w:val="24"/>
                <w:szCs w:val="24"/>
                <w:color w:val="auto"/>
              </w:rPr>
            </w:pPr>
          </w:p>
        </w:tc>
        <w:tc>
          <w:tcPr>
            <w:tcW w:w="8040" w:type="dxa"/>
            <w:vAlign w:val="bottom"/>
          </w:tcPr>
          <w:p>
            <w:pPr>
              <w:spacing w:after="0"/>
              <w:rPr>
                <w:sz w:val="24"/>
                <w:szCs w:val="24"/>
                <w:color w:val="auto"/>
              </w:rPr>
            </w:pPr>
          </w:p>
        </w:tc>
        <w:tc>
          <w:tcPr>
            <w:tcW w:w="16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3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240" w:type="dxa"/>
            <w:vAlign w:val="bottom"/>
          </w:tcPr>
          <w:p>
            <w:pPr>
              <w:spacing w:after="0"/>
              <w:rPr>
                <w:sz w:val="18"/>
                <w:szCs w:val="18"/>
                <w:color w:val="auto"/>
              </w:rPr>
            </w:pPr>
          </w:p>
        </w:tc>
        <w:tc>
          <w:tcPr>
            <w:tcW w:w="8040" w:type="dxa"/>
            <w:vAlign w:val="bottom"/>
            <w:tcBorders>
              <w:bottom w:val="single" w:sz="8" w:color="E5FFFF"/>
            </w:tcBorders>
          </w:tcPr>
          <w:p>
            <w:pPr>
              <w:spacing w:after="0"/>
              <w:rPr>
                <w:sz w:val="18"/>
                <w:szCs w:val="18"/>
                <w:color w:val="auto"/>
              </w:rPr>
            </w:pPr>
          </w:p>
        </w:tc>
        <w:tc>
          <w:tcPr>
            <w:tcW w:w="1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212"/>
        </w:trPr>
        <w:tc>
          <w:tcPr>
            <w:tcW w:w="240" w:type="dxa"/>
            <w:vAlign w:val="bottom"/>
          </w:tcPr>
          <w:p>
            <w:pPr>
              <w:spacing w:after="0"/>
              <w:rPr>
                <w:sz w:val="18"/>
                <w:szCs w:val="18"/>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carried at fair value through profit or loss (FVTPL)</w:t>
            </w:r>
          </w:p>
        </w:tc>
        <w:tc>
          <w:tcPr>
            <w:tcW w:w="15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300" w:type="dxa"/>
            <w:vAlign w:val="bottom"/>
            <w:shd w:val="clear" w:color="auto" w:fill="E5FFFF"/>
          </w:tcPr>
          <w:p>
            <w:pPr>
              <w:spacing w:after="0"/>
              <w:rPr>
                <w:sz w:val="18"/>
                <w:szCs w:val="18"/>
                <w:color w:val="auto"/>
              </w:rPr>
            </w:pPr>
          </w:p>
        </w:tc>
      </w:tr>
      <w:tr>
        <w:trPr>
          <w:trHeight w:val="210"/>
        </w:trPr>
        <w:tc>
          <w:tcPr>
            <w:tcW w:w="2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6"/>
                <w:szCs w:val="16"/>
                <w:color w:val="auto"/>
              </w:rPr>
              <w:t>Interest rate swaps</w:t>
            </w: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49,891</w:t>
            </w: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129,150</w:t>
            </w:r>
          </w:p>
        </w:tc>
      </w:tr>
      <w:tr>
        <w:trPr>
          <w:trHeight w:val="222"/>
        </w:trPr>
        <w:tc>
          <w:tcPr>
            <w:tcW w:w="240" w:type="dxa"/>
            <w:vAlign w:val="bottom"/>
          </w:tcPr>
          <w:p>
            <w:pPr>
              <w:spacing w:after="0"/>
              <w:rPr>
                <w:sz w:val="19"/>
                <w:szCs w:val="19"/>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Forward foreign exchange contracts</w:t>
            </w:r>
          </w:p>
        </w:tc>
        <w:tc>
          <w:tcPr>
            <w:tcW w:w="15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20" w:type="dxa"/>
            <w:vAlign w:val="bottom"/>
            <w:shd w:val="clear" w:color="auto" w:fill="E5FFFF"/>
          </w:tcPr>
          <w:p>
            <w:pPr>
              <w:spacing w:after="0"/>
              <w:rPr>
                <w:sz w:val="19"/>
                <w:szCs w:val="19"/>
                <w:color w:val="auto"/>
              </w:rPr>
            </w:pP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240" w:type="dxa"/>
            <w:vAlign w:val="bottom"/>
          </w:tcPr>
          <w:p>
            <w:pPr>
              <w:spacing w:after="0"/>
              <w:rPr>
                <w:sz w:val="18"/>
                <w:szCs w:val="18"/>
                <w:color w:val="auto"/>
              </w:rPr>
            </w:pPr>
          </w:p>
        </w:tc>
        <w:tc>
          <w:tcPr>
            <w:tcW w:w="80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Derivative liabilities designated and effective as hedging instruments carried at fair value</w:t>
            </w:r>
          </w:p>
        </w:tc>
        <w:tc>
          <w:tcPr>
            <w:tcW w:w="1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20"/>
        </w:trPr>
        <w:tc>
          <w:tcPr>
            <w:tcW w:w="240" w:type="dxa"/>
            <w:vAlign w:val="bottom"/>
          </w:tcPr>
          <w:p>
            <w:pPr>
              <w:spacing w:after="0"/>
              <w:rPr>
                <w:sz w:val="19"/>
                <w:szCs w:val="19"/>
                <w:color w:val="auto"/>
              </w:rPr>
            </w:pPr>
          </w:p>
        </w:tc>
        <w:tc>
          <w:tcPr>
            <w:tcW w:w="804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Cross currency swaps</w:t>
            </w:r>
          </w:p>
        </w:tc>
        <w:tc>
          <w:tcPr>
            <w:tcW w:w="1660" w:type="dxa"/>
            <w:vAlign w:val="bottom"/>
            <w:gridSpan w:val="2"/>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13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4,917</w:t>
            </w:r>
          </w:p>
        </w:tc>
      </w:tr>
      <w:tr>
        <w:trPr>
          <w:trHeight w:val="203"/>
        </w:trPr>
        <w:tc>
          <w:tcPr>
            <w:tcW w:w="8280" w:type="dxa"/>
            <w:vAlign w:val="bottom"/>
            <w:gridSpan w:val="2"/>
          </w:tcPr>
          <w:p>
            <w:pPr>
              <w:ind w:left="2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49,932</w:t>
            </w:r>
          </w:p>
        </w:tc>
        <w:tc>
          <w:tcPr>
            <w:tcW w:w="120" w:type="dxa"/>
            <w:vAlign w:val="bottom"/>
          </w:tcPr>
          <w:p>
            <w:pPr>
              <w:spacing w:after="0"/>
              <w:rPr>
                <w:sz w:val="17"/>
                <w:szCs w:val="17"/>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134,072</w:t>
            </w:r>
          </w:p>
        </w:tc>
      </w:tr>
      <w:tr>
        <w:trPr>
          <w:trHeight w:val="203"/>
        </w:trPr>
        <w:tc>
          <w:tcPr>
            <w:tcW w:w="240" w:type="dxa"/>
            <w:vAlign w:val="bottom"/>
          </w:tcPr>
          <w:p>
            <w:pPr>
              <w:spacing w:after="0"/>
              <w:rPr>
                <w:sz w:val="17"/>
                <w:szCs w:val="17"/>
                <w:color w:val="auto"/>
              </w:rPr>
            </w:pPr>
          </w:p>
        </w:tc>
        <w:tc>
          <w:tcPr>
            <w:tcW w:w="804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Derivative financial instruments, current liability</w:t>
            </w:r>
          </w:p>
        </w:tc>
        <w:tc>
          <w:tcPr>
            <w:tcW w:w="15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120" w:type="dxa"/>
            <w:vAlign w:val="bottom"/>
            <w:tcBorders>
              <w:top w:val="single" w:sz="8" w:color="E5FFFF"/>
            </w:tcBorders>
            <w:shd w:val="clear" w:color="auto" w:fill="E5FFFF"/>
          </w:tcPr>
          <w:p>
            <w:pPr>
              <w:spacing w:after="0"/>
              <w:rPr>
                <w:sz w:val="17"/>
                <w:szCs w:val="17"/>
                <w:color w:val="auto"/>
              </w:rPr>
            </w:pPr>
          </w:p>
        </w:tc>
        <w:tc>
          <w:tcPr>
            <w:tcW w:w="13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36,803</w:t>
            </w:r>
          </w:p>
        </w:tc>
      </w:tr>
      <w:tr>
        <w:trPr>
          <w:trHeight w:val="210"/>
        </w:trPr>
        <w:tc>
          <w:tcPr>
            <w:tcW w:w="240" w:type="dxa"/>
            <w:vAlign w:val="bottom"/>
          </w:tcPr>
          <w:p>
            <w:pPr>
              <w:spacing w:after="0"/>
              <w:rPr>
                <w:sz w:val="18"/>
                <w:szCs w:val="18"/>
                <w:color w:val="auto"/>
              </w:rPr>
            </w:pPr>
          </w:p>
        </w:tc>
        <w:tc>
          <w:tcPr>
            <w:tcW w:w="8040" w:type="dxa"/>
            <w:vAlign w:val="bottom"/>
            <w:tcBorders>
              <w:bottom w:val="single" w:sz="8" w:color="E5FFFF"/>
            </w:tcBorders>
          </w:tcPr>
          <w:p>
            <w:pPr>
              <w:spacing w:after="0"/>
              <w:rPr>
                <w:sz w:val="20"/>
                <w:szCs w:val="20"/>
                <w:color w:val="auto"/>
              </w:rPr>
            </w:pPr>
            <w:r>
              <w:rPr>
                <w:rFonts w:ascii="Times New Roman" w:cs="Times New Roman" w:eastAsia="Times New Roman" w:hAnsi="Times New Roman"/>
                <w:sz w:val="16"/>
                <w:szCs w:val="16"/>
                <w:color w:val="auto"/>
              </w:rPr>
              <w:t>Derivative financial instruments, non-current liability</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41,837</w:t>
            </w:r>
          </w:p>
        </w:tc>
        <w:tc>
          <w:tcPr>
            <w:tcW w:w="120" w:type="dxa"/>
            <w:vAlign w:val="bottom"/>
            <w:tcBorders>
              <w:bottom w:val="single" w:sz="8" w:color="E5FFFF"/>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97,269</w:t>
            </w:r>
          </w:p>
        </w:tc>
      </w:tr>
      <w:tr>
        <w:trPr>
          <w:trHeight w:val="222"/>
        </w:trPr>
        <w:tc>
          <w:tcPr>
            <w:tcW w:w="240" w:type="dxa"/>
            <w:vAlign w:val="bottom"/>
          </w:tcPr>
          <w:p>
            <w:pPr>
              <w:spacing w:after="0"/>
              <w:rPr>
                <w:sz w:val="19"/>
                <w:szCs w:val="19"/>
                <w:color w:val="auto"/>
              </w:rPr>
            </w:pPr>
          </w:p>
        </w:tc>
        <w:tc>
          <w:tcPr>
            <w:tcW w:w="8040" w:type="dxa"/>
            <w:vAlign w:val="bottom"/>
            <w:tcBorders>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54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49,932</w:t>
            </w:r>
          </w:p>
        </w:tc>
        <w:tc>
          <w:tcPr>
            <w:tcW w:w="120" w:type="dxa"/>
            <w:vAlign w:val="bottom"/>
            <w:tcBorders>
              <w:bottom w:val="single" w:sz="8" w:color="E5FFFF"/>
            </w:tcBorders>
            <w:shd w:val="clear" w:color="auto" w:fill="E5FFFF"/>
          </w:tcPr>
          <w:p>
            <w:pPr>
              <w:spacing w:after="0"/>
              <w:rPr>
                <w:sz w:val="19"/>
                <w:szCs w:val="19"/>
                <w:color w:val="auto"/>
              </w:rPr>
            </w:pPr>
          </w:p>
        </w:tc>
        <w:tc>
          <w:tcPr>
            <w:tcW w:w="1300" w:type="dxa"/>
            <w:vAlign w:val="bottom"/>
            <w:tcBorders>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134,072</w:t>
            </w:r>
          </w:p>
        </w:tc>
      </w:tr>
      <w:tr>
        <w:trPr>
          <w:trHeight w:val="203"/>
        </w:trPr>
        <w:tc>
          <w:tcPr>
            <w:tcW w:w="240" w:type="dxa"/>
            <w:vAlign w:val="bottom"/>
            <w:tcBorders>
              <w:bottom w:val="single" w:sz="8" w:color="auto"/>
            </w:tcBorders>
          </w:tcPr>
          <w:p>
            <w:pPr>
              <w:spacing w:after="0"/>
              <w:rPr>
                <w:sz w:val="17"/>
                <w:szCs w:val="17"/>
                <w:color w:val="auto"/>
              </w:rPr>
            </w:pPr>
          </w:p>
        </w:tc>
        <w:tc>
          <w:tcPr>
            <w:tcW w:w="8040" w:type="dxa"/>
            <w:vAlign w:val="bottom"/>
            <w:tcBorders>
              <w:bottom w:val="single" w:sz="8" w:color="auto"/>
            </w:tcBorders>
          </w:tcPr>
          <w:p>
            <w:pPr>
              <w:ind w:left="5220"/>
              <w:spacing w:after="0" w:line="203" w:lineRule="exact"/>
              <w:rPr>
                <w:sz w:val="20"/>
                <w:szCs w:val="20"/>
                <w:color w:val="auto"/>
              </w:rPr>
            </w:pPr>
            <w:r>
              <w:rPr>
                <w:rFonts w:ascii="Times New Roman" w:cs="Times New Roman" w:eastAsia="Times New Roman" w:hAnsi="Times New Roman"/>
                <w:sz w:val="18"/>
                <w:szCs w:val="18"/>
                <w:color w:val="auto"/>
              </w:rPr>
              <w:t>F-14</w:t>
            </w:r>
          </w:p>
        </w:tc>
        <w:tc>
          <w:tcPr>
            <w:tcW w:w="15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spacing w:after="0"/>
              <w:rPr>
                <w:sz w:val="17"/>
                <w:szCs w:val="17"/>
                <w:color w:val="auto"/>
              </w:rPr>
            </w:pPr>
          </w:p>
        </w:tc>
      </w:tr>
    </w:tbl>
    <w:p>
      <w:pPr>
        <w:sectPr>
          <w:pgSz w:w="11900" w:h="16838" w:orient="portrait"/>
          <w:cols w:equalWidth="0" w:num="1">
            <w:col w:w="11240"/>
          </w:cols>
          <w:pgMar w:left="320" w:top="907" w:right="339" w:bottom="487" w:gutter="0" w:footer="0" w:header="0"/>
          <w:type w:val="continuous"/>
        </w:sectPr>
      </w:pPr>
    </w:p>
    <w:bookmarkStart w:id="41" w:name="page42"/>
    <w:bookmarkEnd w:id="41"/>
    <w:p>
      <w:pPr>
        <w:spacing w:after="0"/>
        <w:rPr>
          <w:sz w:val="20"/>
          <w:szCs w:val="20"/>
          <w:color w:val="auto"/>
        </w:rPr>
      </w:pPr>
      <w:r>
        <w:rPr>
          <w:rFonts w:ascii="Times New Roman" w:cs="Times New Roman" w:eastAsia="Times New Roman" w:hAnsi="Times New Roman"/>
          <w:sz w:val="16"/>
          <w:szCs w:val="16"/>
          <w:b w:val="1"/>
          <w:bCs w:val="1"/>
          <w:color w:val="auto"/>
        </w:rPr>
        <w:t>Interest rate swap agreements</w:t>
      </w:r>
    </w:p>
    <w:p>
      <w:pPr>
        <w:spacing w:after="0" w:line="237" w:lineRule="exact"/>
        <w:rPr>
          <w:sz w:val="20"/>
          <w:szCs w:val="20"/>
          <w:color w:val="auto"/>
        </w:rPr>
      </w:pPr>
    </w:p>
    <w:p>
      <w:pPr>
        <w:jc w:val="both"/>
        <w:ind w:right="40" w:firstLine="324"/>
        <w:spacing w:after="0" w:line="281" w:lineRule="auto"/>
        <w:rPr>
          <w:sz w:val="20"/>
          <w:szCs w:val="20"/>
          <w:color w:val="auto"/>
        </w:rPr>
      </w:pPr>
      <w:r>
        <w:rPr>
          <w:rFonts w:ascii="Times New Roman" w:cs="Times New Roman" w:eastAsia="Times New Roman" w:hAnsi="Times New Roman"/>
          <w:sz w:val="16"/>
          <w:szCs w:val="16"/>
          <w:color w:val="auto"/>
        </w:rPr>
        <w:t>The Group enters into interest rate swap agreements which convert the floating interest rate exposure into a fixed interest rate in order to hedge a portion of the Group’s exposure to fluctuations in prevailing market interest rates. Under the interest rate swaps, the bank counterparty effects quarterly floating-rate payments to the Group for the notional amount based on the USD LIBOR, and the Group effects quarterly payments to the bank on the notional amounts at the respective fixed rates.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Interest rate swaps held for trading</w:t>
      </w:r>
    </w:p>
    <w:p>
      <w:pPr>
        <w:spacing w:after="0" w:line="239"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The principal terms of the Group’s interest rate swaps held for trading in existence as of December 31, 2019 have been disclosed in the annual audited consolidated financial statements for the year ended December 31, 2019. Refer to Note 26 “Derivative Financial Instruments”.</w:t>
      </w:r>
    </w:p>
    <w:p>
      <w:pPr>
        <w:spacing w:after="0" w:line="160" w:lineRule="exact"/>
        <w:rPr>
          <w:sz w:val="20"/>
          <w:szCs w:val="20"/>
          <w:color w:val="auto"/>
        </w:rPr>
      </w:pPr>
    </w:p>
    <w:p>
      <w:pPr>
        <w:ind w:right="60" w:firstLine="324"/>
        <w:spacing w:after="0" w:line="259" w:lineRule="auto"/>
        <w:rPr>
          <w:sz w:val="20"/>
          <w:szCs w:val="20"/>
          <w:color w:val="auto"/>
        </w:rPr>
      </w:pPr>
      <w:r>
        <w:rPr>
          <w:rFonts w:ascii="Times New Roman" w:cs="Times New Roman" w:eastAsia="Times New Roman" w:hAnsi="Times New Roman"/>
          <w:sz w:val="18"/>
          <w:szCs w:val="18"/>
          <w:color w:val="auto"/>
        </w:rPr>
        <w:t xml:space="preserve">In </w:t>
      </w:r>
      <w:r>
        <w:rPr>
          <w:rFonts w:ascii="Times New Roman" w:cs="Times New Roman" w:eastAsia="Times New Roman" w:hAnsi="Times New Roman"/>
          <w:sz w:val="16"/>
          <w:szCs w:val="16"/>
          <w:color w:val="auto"/>
        </w:rPr>
        <w:t>February 2017, the Group entered into an interest rate swap with HSBC Bank plc (“HSBC”) with a notional value of $100,000. The fixed interest rate was agreed at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6"/>
          <w:szCs w:val="16"/>
          <w:color w:val="auto"/>
        </w:rPr>
        <w:t>2.005% until May 2020 and was increased at 2.17% from May 2020 to February 2022.</w:t>
      </w:r>
    </w:p>
    <w:p>
      <w:pPr>
        <w:spacing w:after="0" w:line="192" w:lineRule="exact"/>
        <w:rPr>
          <w:sz w:val="20"/>
          <w:szCs w:val="20"/>
          <w:color w:val="auto"/>
        </w:rPr>
      </w:pPr>
    </w:p>
    <w:p>
      <w:pPr>
        <w:ind w:right="120" w:firstLine="324"/>
        <w:spacing w:after="0" w:line="281" w:lineRule="auto"/>
        <w:rPr>
          <w:sz w:val="20"/>
          <w:szCs w:val="20"/>
          <w:color w:val="auto"/>
        </w:rPr>
      </w:pPr>
      <w:r>
        <w:rPr>
          <w:rFonts w:ascii="Times New Roman" w:cs="Times New Roman" w:eastAsia="Times New Roman" w:hAnsi="Times New Roman"/>
          <w:sz w:val="16"/>
          <w:szCs w:val="16"/>
          <w:color w:val="auto"/>
        </w:rPr>
        <w:t>In May 2020, the Group terminated an interest rate swap with Nordea Bank Finland (“Nordea”) originally maturing in July 2024 and replaced it with a new swap with ING Bank N.V. of the same notional amount of $100,000 and the same maturity date of July 2024 with an effective date of July 2020. The impact of these parallel transactions for the Group was a loss of $41.</w:t>
      </w:r>
    </w:p>
    <w:p>
      <w:pPr>
        <w:spacing w:after="0" w:line="177" w:lineRule="exact"/>
        <w:rPr>
          <w:sz w:val="20"/>
          <w:szCs w:val="20"/>
          <w:color w:val="auto"/>
        </w:rPr>
      </w:pPr>
    </w:p>
    <w:p>
      <w:pPr>
        <w:ind w:right="20" w:firstLine="324"/>
        <w:spacing w:after="0" w:line="272" w:lineRule="auto"/>
        <w:rPr>
          <w:sz w:val="20"/>
          <w:szCs w:val="20"/>
          <w:color w:val="auto"/>
        </w:rPr>
      </w:pPr>
      <w:r>
        <w:rPr>
          <w:rFonts w:ascii="Times New Roman" w:cs="Times New Roman" w:eastAsia="Times New Roman" w:hAnsi="Times New Roman"/>
          <w:sz w:val="16"/>
          <w:szCs w:val="16"/>
          <w:color w:val="auto"/>
        </w:rPr>
        <w:t>In July 2020, the Group terminated an interest rate swap with DNB Bank ASA, London Branch (“DNB”) originally maturing in July 2024 and replaced it with two new interest rate swap agreements entered by GAS-twenty seven Ltd. with DNB and ING Bank N.V., London Branch (“ING”) of the same total notional amount of $73,333 and the same maturity date of July 2024 with an effective date of July 2020 and with no impact on the Group. In addition, the Group terminated an interest rate swap with DNB originally maturing in April 2025 and replaced it with two new interest rate swap agreements entered by GAS-twenty seven Ltd. with DNB and ING of the same total notional amount of $60,000 and the same maturity date of April 2025 with an effective date of July 2020 and with no impact on the Group.</w:t>
      </w:r>
    </w:p>
    <w:p>
      <w:pPr>
        <w:spacing w:after="0" w:line="186"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In September 2020, GAS-fifteen Ltd. entered into a new interest rate swap agreement with a notional amount of $96,815 maturing in July 2025 with National Bank of Greece (“NBG”), the bank which was registered as hedging provider under the relevant facility entered into in August 2020 (Note 7), with GAS-fifteen Ltd. receiving an amount of $4,795.</w:t>
      </w:r>
    </w:p>
    <w:p>
      <w:pPr>
        <w:spacing w:after="0" w:line="177" w:lineRule="exact"/>
        <w:rPr>
          <w:sz w:val="20"/>
          <w:szCs w:val="20"/>
          <w:color w:val="auto"/>
        </w:rPr>
      </w:pPr>
    </w:p>
    <w:p>
      <w:pPr>
        <w:ind w:right="40" w:firstLine="324"/>
        <w:spacing w:after="0" w:line="272" w:lineRule="auto"/>
        <w:rPr>
          <w:sz w:val="20"/>
          <w:szCs w:val="20"/>
          <w:color w:val="auto"/>
        </w:rPr>
      </w:pPr>
      <w:r>
        <w:rPr>
          <w:rFonts w:ascii="Times New Roman" w:cs="Times New Roman" w:eastAsia="Times New Roman" w:hAnsi="Times New Roman"/>
          <w:sz w:val="16"/>
          <w:szCs w:val="16"/>
          <w:color w:val="auto"/>
        </w:rPr>
        <w:t>The Group’s derivative instruments were not designated as cash flow hedging instruments. The change in the fair value of the interest rate swaps held for trading the three and nine months ended September 30, 2020 amounted to a net gain of $550 and a net loss of $79,277, respectively (for the three and nine months ended September 30, 2019: a net loss of $15,739 and a net loss of $68,444, respectively), which was recognized against profit or loss in the period incurred and is included in Gain/(loss) on derivatives. During the three and nine months ended September 30, 2020, the net gain of $550 and the net loss of $79,277, respectively derived from changes in the LIBOR curve as well as modifications of the Group’s interest swap portfolio that includes interest rate swap agreements with maturities out to 2028.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Cross currency swap agreements</w:t>
      </w:r>
    </w:p>
    <w:p>
      <w:pPr>
        <w:spacing w:after="0" w:line="237" w:lineRule="exact"/>
        <w:rPr>
          <w:sz w:val="20"/>
          <w:szCs w:val="20"/>
          <w:color w:val="auto"/>
        </w:rPr>
      </w:pPr>
    </w:p>
    <w:p>
      <w:pPr>
        <w:jc w:val="both"/>
        <w:ind w:right="60" w:firstLine="324"/>
        <w:spacing w:after="0" w:line="281" w:lineRule="auto"/>
        <w:rPr>
          <w:sz w:val="20"/>
          <w:szCs w:val="20"/>
          <w:color w:val="auto"/>
        </w:rPr>
      </w:pPr>
      <w:r>
        <w:rPr>
          <w:rFonts w:ascii="Times New Roman" w:cs="Times New Roman" w:eastAsia="Times New Roman" w:hAnsi="Times New Roman"/>
          <w:sz w:val="16"/>
          <w:szCs w:val="16"/>
          <w:color w:val="auto"/>
        </w:rPr>
        <w:t>The principal terms of the Group’s CCSs designated as cash flow hedging instruments in existence as of December 31, 2019 have been disclosed in the annual audited consolidated financial statements for the year ended December 31, 2019. Refer to Note 26 “Derivative Financial Instruments”. During the nine months ended September 30, 2020, the Group did not enter into any CCS designated as cash flow hedging instruments.</w:t>
      </w:r>
    </w:p>
    <w:p>
      <w:pPr>
        <w:spacing w:after="0" w:line="177" w:lineRule="exact"/>
        <w:rPr>
          <w:sz w:val="20"/>
          <w:szCs w:val="20"/>
          <w:color w:val="auto"/>
        </w:rPr>
      </w:pPr>
    </w:p>
    <w:p>
      <w:pPr>
        <w:ind w:right="40" w:firstLine="324"/>
        <w:spacing w:after="0" w:line="269" w:lineRule="auto"/>
        <w:rPr>
          <w:sz w:val="20"/>
          <w:szCs w:val="20"/>
          <w:color w:val="auto"/>
        </w:rPr>
      </w:pPr>
      <w:r>
        <w:rPr>
          <w:rFonts w:ascii="Times New Roman" w:cs="Times New Roman" w:eastAsia="Times New Roman" w:hAnsi="Times New Roman"/>
          <w:sz w:val="16"/>
          <w:szCs w:val="16"/>
          <w:color w:val="auto"/>
        </w:rPr>
        <w:t>For the three and nine months ended September 30, 2020, the effective portion of changes in the fair value of CCSs amounting to a gain of $2,854 and a loss of $8,928, respectively, has been recognized in Other comprehensive income (for the three and nine months ended September 30, 2019: a loss of $6,460 and a loss of $7,376, respectively). For the three and nine months ended September 30, 2020, a loss of $108 and $563, respectively, was recycled to profit or loss representing the realized loss on CCSs in relation to the interest expenses component of the hedge (for the three and nine months ended September 30, 2019: a loss of $154 and $463, respectively). Additionally, for the three and nine months ended September 30, 2020, a loss of $2,272 and a gain of $6,826, respectively, was recognized in Other comprehensive income in relation to the retranslation of the NOK Bonds in U.S. dollars as of September 30, 2020 (for the three and nine months ended September 30, 2019: a gain of $5,473 and $3,616, respectively).</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Forward foreign exchange contracts</w:t>
      </w:r>
    </w:p>
    <w:p>
      <w:pPr>
        <w:spacing w:after="0" w:line="237" w:lineRule="exact"/>
        <w:rPr>
          <w:sz w:val="20"/>
          <w:szCs w:val="20"/>
          <w:color w:val="auto"/>
        </w:rPr>
      </w:pPr>
    </w:p>
    <w:p>
      <w:pPr>
        <w:ind w:right="60" w:firstLine="324"/>
        <w:spacing w:after="0" w:line="275" w:lineRule="auto"/>
        <w:rPr>
          <w:sz w:val="20"/>
          <w:szCs w:val="20"/>
          <w:color w:val="auto"/>
        </w:rPr>
      </w:pPr>
      <w:r>
        <w:rPr>
          <w:rFonts w:ascii="Times New Roman" w:cs="Times New Roman" w:eastAsia="Times New Roman" w:hAnsi="Times New Roman"/>
          <w:sz w:val="16"/>
          <w:szCs w:val="16"/>
          <w:color w:val="auto"/>
        </w:rPr>
        <w:t>The Group uses forward foreign exchange contracts to mitigate foreign exchange transaction exposures in British Pounds Sterling (“GBP”), Euros (“EUR”), Singapore dollars (“SGD”) and Japanese Yen (“JPY”). Under these forward foreign exchange contracts, the bank counterparty will effect fixed payments in GBP or EUR or SGD or JPY to the Group and the Group will effect fixed payments in USD to the bank counterparty on the respective settlement dates. All forward foreign exchange contracts are considered by management to be part of economic hedge arrangements but have not been formally designated as such.</w:t>
      </w:r>
    </w:p>
    <w:p>
      <w:pPr>
        <w:spacing w:after="0" w:line="183" w:lineRule="exact"/>
        <w:rPr>
          <w:sz w:val="20"/>
          <w:szCs w:val="20"/>
          <w:color w:val="auto"/>
        </w:rPr>
      </w:pPr>
    </w:p>
    <w:p>
      <w:pPr>
        <w:ind w:right="100" w:firstLine="324"/>
        <w:spacing w:after="0" w:line="275" w:lineRule="auto"/>
        <w:rPr>
          <w:sz w:val="20"/>
          <w:szCs w:val="20"/>
          <w:color w:val="auto"/>
        </w:rPr>
      </w:pPr>
      <w:r>
        <w:rPr>
          <w:rFonts w:ascii="Times New Roman" w:cs="Times New Roman" w:eastAsia="Times New Roman" w:hAnsi="Times New Roman"/>
          <w:sz w:val="16"/>
          <w:szCs w:val="16"/>
          <w:color w:val="auto"/>
        </w:rPr>
        <w:t>The principal terms of the forward foreign exchange contracts held for trading in existence as of December 31, 2019 have been disclosed in the annual audited consolidation financial statements for the year ended December 31, 2019. Refer to Note 26 “Derivative Financial Instruments”. In February 2020, the Group entered into three new forward foreign exchange contracts with Citibank for a total exchange amount of S$3,000. The contracts had fixed exchange rates ranging from 1.3861 to 1.3867 and settlement dates ranging from July to September 2020 and have all expired.</w:t>
      </w: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7" w:right="339" w:bottom="1440" w:gutter="0" w:footer="0" w:header="0"/>
        </w:sectPr>
      </w:pPr>
    </w:p>
    <w:bookmarkStart w:id="42" w:name="page43"/>
    <w:bookmarkEnd w:id="42"/>
    <w:p>
      <w:pPr>
        <w:ind w:right="160"/>
        <w:spacing w:after="0" w:line="298" w:lineRule="auto"/>
        <w:rPr>
          <w:sz w:val="20"/>
          <w:szCs w:val="20"/>
          <w:color w:val="auto"/>
        </w:rPr>
      </w:pPr>
      <w:r>
        <w:rPr>
          <w:rFonts w:ascii="Times New Roman" w:cs="Times New Roman" w:eastAsia="Times New Roman" w:hAnsi="Times New Roman"/>
          <w:sz w:val="16"/>
          <w:szCs w:val="16"/>
          <w:color w:val="auto"/>
        </w:rPr>
        <w:t>Apart from the abovementioned contracts the Group did not enter into any other forward foreign exchange contracts, while 46 contracts expired with staggered maturities from January to September 2020.</w:t>
      </w:r>
    </w:p>
    <w:p>
      <w:pPr>
        <w:spacing w:after="0" w:line="164" w:lineRule="exact"/>
        <w:rPr>
          <w:sz w:val="20"/>
          <w:szCs w:val="20"/>
          <w:color w:val="auto"/>
        </w:rPr>
      </w:pPr>
    </w:p>
    <w:p>
      <w:pPr>
        <w:jc w:val="both"/>
        <w:ind w:firstLine="324"/>
        <w:spacing w:after="0" w:line="281" w:lineRule="auto"/>
        <w:rPr>
          <w:sz w:val="20"/>
          <w:szCs w:val="20"/>
          <w:color w:val="auto"/>
        </w:rPr>
      </w:pPr>
      <w:r>
        <w:rPr>
          <w:rFonts w:ascii="Times New Roman" w:cs="Times New Roman" w:eastAsia="Times New Roman" w:hAnsi="Times New Roman"/>
          <w:sz w:val="16"/>
          <w:szCs w:val="16"/>
          <w:color w:val="auto"/>
        </w:rPr>
        <w:t>The Group’s derivative instruments were not designated as cash flow hedging instruments as of September 30, 2020. The change in the fair value of these contracts for the three and nine months ended September 30, 2020 amounted to a net gain of $634 and a net gain of $30, respectively (for the three and nine months ended September 30, 2019: a net loss of $158 and a net gain of $616, respectively), which was recognized against profit or loss in the period incurred and is included in Loss on derivatives.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16. Financial Costs and Loss on Derivatives</w:t>
            </w: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418"/>
        </w:trPr>
        <w:tc>
          <w:tcPr>
            <w:tcW w:w="54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 analysis of financial costs and loss on derivatives is as follows:</w:t>
            </w:r>
          </w:p>
        </w:tc>
        <w:tc>
          <w:tcPr>
            <w:tcW w:w="1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422"/>
        </w:trPr>
        <w:tc>
          <w:tcPr>
            <w:tcW w:w="5420" w:type="dxa"/>
            <w:vAlign w:val="bottom"/>
          </w:tcPr>
          <w:p>
            <w:pPr>
              <w:spacing w:after="0"/>
              <w:rPr>
                <w:sz w:val="24"/>
                <w:szCs w:val="24"/>
                <w:color w:val="auto"/>
              </w:rPr>
            </w:pPr>
          </w:p>
        </w:tc>
        <w:tc>
          <w:tcPr>
            <w:tcW w:w="294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c>
          <w:tcPr>
            <w:tcW w:w="278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5420" w:type="dxa"/>
            <w:vAlign w:val="bottom"/>
          </w:tcPr>
          <w:p>
            <w:pPr>
              <w:spacing w:after="0"/>
              <w:rPr>
                <w:sz w:val="17"/>
                <w:szCs w:val="17"/>
                <w:color w:val="auto"/>
              </w:rPr>
            </w:pPr>
          </w:p>
        </w:tc>
        <w:tc>
          <w:tcPr>
            <w:tcW w:w="148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6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440" w:type="dxa"/>
            <w:vAlign w:val="bottom"/>
            <w:gridSpan w:val="2"/>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34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2"/>
        </w:trPr>
        <w:tc>
          <w:tcPr>
            <w:tcW w:w="54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4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2020</w:t>
            </w:r>
          </w:p>
        </w:tc>
        <w:tc>
          <w:tcPr>
            <w:tcW w:w="220" w:type="dxa"/>
            <w:vAlign w:val="bottom"/>
            <w:tcBorders>
              <w:bottom w:val="single" w:sz="8" w:color="E5FFFF"/>
            </w:tcBorders>
          </w:tcPr>
          <w:p>
            <w:pPr>
              <w:spacing w:after="0"/>
              <w:rPr>
                <w:sz w:val="18"/>
                <w:szCs w:val="18"/>
                <w:color w:val="auto"/>
              </w:rPr>
            </w:pPr>
          </w:p>
        </w:tc>
        <w:tc>
          <w:tcPr>
            <w:tcW w:w="122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220" w:type="dxa"/>
            <w:vAlign w:val="bottom"/>
            <w:tcBorders>
              <w:bottom w:val="single" w:sz="8" w:color="E5FFFF"/>
            </w:tcBorders>
          </w:tcPr>
          <w:p>
            <w:pPr>
              <w:spacing w:after="0"/>
              <w:rPr>
                <w:sz w:val="18"/>
                <w:szCs w:val="18"/>
                <w:color w:val="auto"/>
              </w:rPr>
            </w:pPr>
          </w:p>
        </w:tc>
        <w:tc>
          <w:tcPr>
            <w:tcW w:w="134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20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Amortization and write-off of deferred loan/bond issuance costs/premium</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3,265</w:t>
            </w:r>
          </w:p>
        </w:tc>
        <w:tc>
          <w:tcPr>
            <w:tcW w:w="240" w:type="dxa"/>
            <w:vAlign w:val="bottom"/>
            <w:shd w:val="clear" w:color="auto" w:fill="E5FFFF"/>
          </w:tcPr>
          <w:p>
            <w:pPr>
              <w:spacing w:after="0"/>
              <w:rPr>
                <w:sz w:val="17"/>
                <w:szCs w:val="17"/>
                <w:color w:val="auto"/>
              </w:rPr>
            </w:pP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8,315</w:t>
            </w: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220" w:type="dxa"/>
            <w:vAlign w:val="bottom"/>
            <w:shd w:val="clear" w:color="auto" w:fill="E5FFFF"/>
          </w:tcPr>
          <w:p>
            <w:pPr>
              <w:spacing w:after="0"/>
              <w:rPr>
                <w:sz w:val="17"/>
                <w:szCs w:val="17"/>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15,829</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Interest expense on loans</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30,833</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21,248</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93,807</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73,221</w:t>
            </w:r>
          </w:p>
        </w:tc>
      </w:tr>
      <w:tr>
        <w:trPr>
          <w:trHeight w:val="22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Interest expense on bonds and realized loss on CCS</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9,190</w:t>
            </w:r>
          </w:p>
        </w:tc>
        <w:tc>
          <w:tcPr>
            <w:tcW w:w="24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8,745</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24,929</w:t>
            </w:r>
          </w:p>
        </w:tc>
        <w:tc>
          <w:tcPr>
            <w:tcW w:w="2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27,085</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Lease charge</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2,636</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2,522</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7,900</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7,597</w:t>
            </w:r>
          </w:p>
        </w:tc>
      </w:tr>
      <w:tr>
        <w:trPr>
          <w:trHeight w:val="22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arising on bond repurchase</w:t>
            </w:r>
          </w:p>
        </w:tc>
        <w:tc>
          <w:tcPr>
            <w:tcW w:w="1480" w:type="dxa"/>
            <w:vAlign w:val="bottom"/>
            <w:gridSpan w:val="2"/>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1,937</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Other financial costs, net</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537</w:t>
            </w:r>
          </w:p>
        </w:tc>
        <w:tc>
          <w:tcPr>
            <w:tcW w:w="240" w:type="dxa"/>
            <w:vAlign w:val="bottom"/>
          </w:tcPr>
          <w:p>
            <w:pPr>
              <w:spacing w:after="0"/>
              <w:rPr>
                <w:sz w:val="18"/>
                <w:szCs w:val="18"/>
                <w:color w:val="auto"/>
              </w:rPr>
            </w:pP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273</w:t>
            </w: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1,579</w:t>
            </w:r>
          </w:p>
        </w:tc>
        <w:tc>
          <w:tcPr>
            <w:tcW w:w="2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w:t>
            </w:r>
          </w:p>
        </w:tc>
      </w:tr>
      <w:tr>
        <w:trPr>
          <w:trHeight w:val="209"/>
        </w:trPr>
        <w:tc>
          <w:tcPr>
            <w:tcW w:w="54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financial costs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46,461</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41,103</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138,865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126,101</w:t>
            </w:r>
          </w:p>
        </w:tc>
      </w:tr>
      <w:tr>
        <w:trPr>
          <w:trHeight w:val="216"/>
        </w:trPr>
        <w:tc>
          <w:tcPr>
            <w:tcW w:w="5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189"/>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Unrealized loss/(gain) on derivative financial instruments held for trading (Note</w:t>
            </w:r>
          </w:p>
        </w:tc>
        <w:tc>
          <w:tcPr>
            <w:tcW w:w="1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r>
      <w:tr>
        <w:trPr>
          <w:trHeight w:val="216"/>
        </w:trPr>
        <w:tc>
          <w:tcPr>
            <w:tcW w:w="542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15)</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15,897</w:t>
            </w:r>
          </w:p>
        </w:tc>
        <w:tc>
          <w:tcPr>
            <w:tcW w:w="240" w:type="dxa"/>
            <w:vAlign w:val="bottom"/>
            <w:shd w:val="clear" w:color="auto" w:fill="E5FFFF"/>
          </w:tcPr>
          <w:p>
            <w:pPr>
              <w:spacing w:after="0"/>
              <w:rPr>
                <w:sz w:val="18"/>
                <w:szCs w:val="18"/>
                <w:color w:val="auto"/>
              </w:rPr>
            </w:pPr>
          </w:p>
        </w:tc>
        <w:tc>
          <w:tcPr>
            <w:tcW w:w="14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(5,980)</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67,828</w:t>
            </w:r>
          </w:p>
        </w:tc>
        <w:tc>
          <w:tcPr>
            <w:tcW w:w="220" w:type="dxa"/>
            <w:vAlign w:val="bottom"/>
            <w:shd w:val="clear" w:color="auto" w:fill="E5FFFF"/>
          </w:tcPr>
          <w:p>
            <w:pPr>
              <w:spacing w:after="0"/>
              <w:rPr>
                <w:sz w:val="18"/>
                <w:szCs w:val="18"/>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74,492</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Realized (gain)/loss on interest rate swaps held for trading</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(446)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8,332</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(3,407)</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11,932</w:t>
            </w:r>
          </w:p>
        </w:tc>
      </w:tr>
      <w:tr>
        <w:trPr>
          <w:trHeight w:val="222"/>
        </w:trPr>
        <w:tc>
          <w:tcPr>
            <w:tcW w:w="54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Realized loss/(gain) on forward foreign exchange contracts held for trading</w:t>
            </w:r>
          </w:p>
        </w:tc>
        <w:tc>
          <w:tcPr>
            <w:tcW w:w="12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1,443</w:t>
            </w:r>
          </w:p>
        </w:tc>
        <w:tc>
          <w:tcPr>
            <w:tcW w:w="240" w:type="dxa"/>
            <w:vAlign w:val="bottom"/>
            <w:shd w:val="clear" w:color="auto" w:fill="E5FFFF"/>
          </w:tcPr>
          <w:p>
            <w:pPr>
              <w:spacing w:after="0"/>
              <w:rPr>
                <w:sz w:val="19"/>
                <w:szCs w:val="19"/>
                <w:color w:val="auto"/>
              </w:rPr>
            </w:pPr>
          </w:p>
        </w:tc>
        <w:tc>
          <w:tcPr>
            <w:tcW w:w="1460" w:type="dxa"/>
            <w:vAlign w:val="bottom"/>
            <w:gridSpan w:val="2"/>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(621)</w:t>
            </w:r>
          </w:p>
        </w:tc>
        <w:tc>
          <w:tcPr>
            <w:tcW w:w="122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3,565</w:t>
            </w:r>
          </w:p>
        </w:tc>
        <w:tc>
          <w:tcPr>
            <w:tcW w:w="2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0"/>
        </w:trPr>
        <w:tc>
          <w:tcPr>
            <w:tcW w:w="5420" w:type="dxa"/>
            <w:vAlign w:val="bottom"/>
          </w:tcPr>
          <w:p>
            <w:pPr>
              <w:spacing w:after="0"/>
              <w:rPr>
                <w:sz w:val="20"/>
                <w:szCs w:val="20"/>
                <w:color w:val="auto"/>
              </w:rPr>
            </w:pPr>
            <w:r>
              <w:rPr>
                <w:rFonts w:ascii="Times New Roman" w:cs="Times New Roman" w:eastAsia="Times New Roman" w:hAnsi="Times New Roman"/>
                <w:sz w:val="16"/>
                <w:szCs w:val="16"/>
                <w:color w:val="auto"/>
              </w:rPr>
              <w:t>Ineffective portion of cash flow hedges</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(136)</w:t>
            </w:r>
          </w:p>
        </w:tc>
        <w:tc>
          <w:tcPr>
            <w:tcW w:w="14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364</w:t>
            </w: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(185)</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146</w:t>
            </w:r>
          </w:p>
        </w:tc>
      </w:tr>
      <w:tr>
        <w:trPr>
          <w:trHeight w:val="209"/>
        </w:trPr>
        <w:tc>
          <w:tcPr>
            <w:tcW w:w="5420" w:type="dxa"/>
            <w:vAlign w:val="bottom"/>
            <w:tcBorders>
              <w:top w:val="single" w:sz="8" w:color="E5FFFF"/>
              <w:bottom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Total loss on derivatives</w:t>
            </w: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16,758</w:t>
            </w:r>
          </w:p>
        </w:tc>
        <w:tc>
          <w:tcPr>
            <w:tcW w:w="240" w:type="dxa"/>
            <w:vAlign w:val="bottom"/>
            <w:tcBorders>
              <w:top w:val="single" w:sz="8" w:color="E5FFFF"/>
              <w:bottom w:val="single" w:sz="8" w:color="E5FFFF"/>
            </w:tcBorders>
            <w:shd w:val="clear" w:color="auto" w:fill="E5FFFF"/>
          </w:tcPr>
          <w:p>
            <w:pPr>
              <w:spacing w:after="0"/>
              <w:rPr>
                <w:sz w:val="18"/>
                <w:szCs w:val="18"/>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2,095</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22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67,801</w:t>
            </w:r>
          </w:p>
        </w:tc>
        <w:tc>
          <w:tcPr>
            <w:tcW w:w="220" w:type="dxa"/>
            <w:vAlign w:val="bottom"/>
            <w:tcBorders>
              <w:top w:val="single" w:sz="8" w:color="E5FFFF"/>
              <w:bottom w:val="single" w:sz="8" w:color="E5FFFF"/>
            </w:tcBorders>
            <w:shd w:val="clear" w:color="auto" w:fill="E5FFFF"/>
          </w:tcPr>
          <w:p>
            <w:pPr>
              <w:spacing w:after="0"/>
              <w:rPr>
                <w:sz w:val="18"/>
                <w:szCs w:val="18"/>
                <w:color w:val="auto"/>
              </w:rPr>
            </w:pPr>
          </w:p>
        </w:tc>
        <w:tc>
          <w:tcPr>
            <w:tcW w:w="13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86,686</w:t>
            </w: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17. Cash Flow Reconciliations</w:t>
      </w:r>
    </w:p>
    <w:p>
      <w:pPr>
        <w:spacing w:after="0" w:line="23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The reconciliation of the Group’s non-cash financing activities for the periods ended September 30, 2019 and September 30, 2020 are presented in the tables below:</w:t>
      </w:r>
    </w:p>
    <w:p>
      <w:pPr>
        <w:spacing w:after="0" w:line="23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A reconciliation of borrowings arising from financing activities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20" w:type="dxa"/>
            <w:vAlign w:val="bottom"/>
          </w:tcPr>
          <w:p>
            <w:pPr>
              <w:spacing w:after="0"/>
              <w:rPr>
                <w:sz w:val="17"/>
                <w:szCs w:val="17"/>
                <w:color w:val="auto"/>
              </w:rPr>
            </w:pP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Non-cash</w:t>
            </w:r>
          </w:p>
        </w:tc>
        <w:tc>
          <w:tcPr>
            <w:tcW w:w="220" w:type="dxa"/>
            <w:vAlign w:val="bottom"/>
          </w:tcPr>
          <w:p>
            <w:pPr>
              <w:spacing w:after="0"/>
              <w:rPr>
                <w:sz w:val="17"/>
                <w:szCs w:val="17"/>
                <w:color w:val="auto"/>
              </w:rPr>
            </w:pPr>
          </w:p>
        </w:tc>
        <w:tc>
          <w:tcPr>
            <w:tcW w:w="1540" w:type="dxa"/>
            <w:vAlign w:val="bottom"/>
            <w:gridSpan w:val="4"/>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Opening balance</w:t>
            </w:r>
          </w:p>
        </w:tc>
        <w:tc>
          <w:tcPr>
            <w:tcW w:w="1580" w:type="dxa"/>
            <w:vAlign w:val="bottom"/>
            <w:gridSpan w:val="3"/>
          </w:tcPr>
          <w:p>
            <w:pPr>
              <w:jc w:val="right"/>
              <w:ind w:right="520"/>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76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0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220" w:type="dxa"/>
            <w:vAlign w:val="bottom"/>
          </w:tcPr>
          <w:p>
            <w:pPr>
              <w:spacing w:after="0"/>
              <w:rPr>
                <w:sz w:val="18"/>
                <w:szCs w:val="18"/>
                <w:color w:val="auto"/>
              </w:rPr>
            </w:pPr>
          </w:p>
        </w:tc>
        <w:tc>
          <w:tcPr>
            <w:tcW w:w="1540" w:type="dxa"/>
            <w:vAlign w:val="bottom"/>
            <w:gridSpan w:val="4"/>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2"/>
        </w:trPr>
        <w:tc>
          <w:tcPr>
            <w:tcW w:w="2280" w:type="dxa"/>
            <w:vAlign w:val="bottom"/>
            <w:tcBorders>
              <w:top w:val="single" w:sz="8" w:color="E5FFFF"/>
            </w:tcBorders>
            <w:shd w:val="clear" w:color="auto" w:fill="E5FFFF"/>
          </w:tcPr>
          <w:p>
            <w:pPr>
              <w:spacing w:after="0" w:line="171" w:lineRule="exact"/>
              <w:rPr>
                <w:sz w:val="20"/>
                <w:szCs w:val="20"/>
                <w:color w:val="auto"/>
              </w:rPr>
            </w:pPr>
            <w:r>
              <w:rPr>
                <w:rFonts w:ascii="Times New Roman" w:cs="Times New Roman" w:eastAsia="Times New Roman" w:hAnsi="Times New Roman"/>
                <w:sz w:val="16"/>
                <w:szCs w:val="16"/>
                <w:color w:val="auto"/>
              </w:rPr>
              <w:t>Borrowings outstanding as of</w:t>
            </w:r>
          </w:p>
        </w:tc>
        <w:tc>
          <w:tcPr>
            <w:tcW w:w="220" w:type="dxa"/>
            <w:vAlign w:val="bottom"/>
            <w:tcBorders>
              <w:top w:val="single" w:sz="8" w:color="E5FFFF"/>
            </w:tcBorders>
            <w:shd w:val="clear" w:color="auto" w:fill="E5FFFF"/>
          </w:tcPr>
          <w:p>
            <w:pPr>
              <w:spacing w:after="0"/>
              <w:rPr>
                <w:sz w:val="14"/>
                <w:szCs w:val="14"/>
                <w:color w:val="auto"/>
              </w:rPr>
            </w:pPr>
          </w:p>
        </w:tc>
        <w:tc>
          <w:tcPr>
            <w:tcW w:w="124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020" w:type="dxa"/>
            <w:vAlign w:val="bottom"/>
            <w:tcBorders>
              <w:top w:val="single" w:sz="8" w:color="auto"/>
            </w:tcBorders>
            <w:shd w:val="clear" w:color="auto" w:fill="E5FFFF"/>
          </w:tcPr>
          <w:p>
            <w:pPr>
              <w:spacing w:after="0"/>
              <w:rPr>
                <w:sz w:val="14"/>
                <w:szCs w:val="14"/>
                <w:color w:val="auto"/>
              </w:rPr>
            </w:pPr>
          </w:p>
        </w:tc>
        <w:tc>
          <w:tcPr>
            <w:tcW w:w="32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E5FFFF"/>
            </w:tcBorders>
            <w:shd w:val="clear" w:color="auto" w:fill="E5FFFF"/>
          </w:tcPr>
          <w:p>
            <w:pPr>
              <w:spacing w:after="0"/>
              <w:rPr>
                <w:sz w:val="14"/>
                <w:szCs w:val="14"/>
                <w:color w:val="auto"/>
              </w:rPr>
            </w:pPr>
          </w:p>
        </w:tc>
        <w:tc>
          <w:tcPr>
            <w:tcW w:w="144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auto"/>
              <w:right w:val="single" w:sz="8" w:color="E5FFFF"/>
            </w:tcBorders>
            <w:shd w:val="clear" w:color="auto" w:fill="E5FFFF"/>
          </w:tcPr>
          <w:p>
            <w:pPr>
              <w:spacing w:after="0"/>
              <w:rPr>
                <w:sz w:val="14"/>
                <w:szCs w:val="14"/>
                <w:color w:val="auto"/>
              </w:rPr>
            </w:pPr>
          </w:p>
        </w:tc>
        <w:tc>
          <w:tcPr>
            <w:tcW w:w="80" w:type="dxa"/>
            <w:vAlign w:val="bottom"/>
            <w:tcBorders>
              <w:top w:val="single" w:sz="8" w:color="E5FFFF"/>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6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auto"/>
              <w:right w:val="single" w:sz="8" w:color="E5FFFF"/>
            </w:tcBorders>
            <w:shd w:val="clear" w:color="auto" w:fill="E5FFFF"/>
          </w:tcPr>
          <w:p>
            <w:pPr>
              <w:spacing w:after="0"/>
              <w:rPr>
                <w:sz w:val="14"/>
                <w:szCs w:val="14"/>
                <w:color w:val="auto"/>
              </w:rPr>
            </w:pPr>
          </w:p>
        </w:tc>
        <w:tc>
          <w:tcPr>
            <w:tcW w:w="220" w:type="dxa"/>
            <w:vAlign w:val="bottom"/>
            <w:tcBorders>
              <w:top w:val="single" w:sz="8" w:color="E5FFFF"/>
            </w:tcBorders>
            <w:shd w:val="clear" w:color="auto" w:fill="E5FFFF"/>
          </w:tcPr>
          <w:p>
            <w:pPr>
              <w:spacing w:after="0"/>
              <w:rPr>
                <w:sz w:val="14"/>
                <w:szCs w:val="14"/>
                <w:color w:val="auto"/>
              </w:rPr>
            </w:pPr>
          </w:p>
        </w:tc>
        <w:tc>
          <w:tcPr>
            <w:tcW w:w="12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auto"/>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January 1, 2019</w:t>
            </w:r>
          </w:p>
        </w:tc>
        <w:tc>
          <w:tcPr>
            <w:tcW w:w="1820" w:type="dxa"/>
            <w:vAlign w:val="bottom"/>
            <w:gridSpan w:val="4"/>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2,828,459</w:t>
            </w:r>
          </w:p>
        </w:tc>
        <w:tc>
          <w:tcPr>
            <w:tcW w:w="120" w:type="dxa"/>
            <w:vAlign w:val="bottom"/>
            <w:shd w:val="clear" w:color="auto" w:fill="E5FFFF"/>
          </w:tcPr>
          <w:p>
            <w:pPr>
              <w:spacing w:after="0"/>
              <w:rPr>
                <w:sz w:val="18"/>
                <w:szCs w:val="18"/>
                <w:color w:val="auto"/>
              </w:rPr>
            </w:pPr>
          </w:p>
        </w:tc>
        <w:tc>
          <w:tcPr>
            <w:tcW w:w="1020" w:type="dxa"/>
            <w:vAlign w:val="bottom"/>
            <w:shd w:val="clear" w:color="auto" w:fill="E5FFFF"/>
          </w:tcPr>
          <w:p>
            <w:pPr>
              <w:spacing w:after="0"/>
              <w:rPr>
                <w:sz w:val="18"/>
                <w:szCs w:val="18"/>
                <w:color w:val="auto"/>
              </w:rPr>
            </w:pPr>
          </w:p>
        </w:tc>
        <w:tc>
          <w:tcPr>
            <w:tcW w:w="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8"/>
                <w:szCs w:val="18"/>
                <w:color w:val="auto"/>
              </w:rPr>
            </w:pPr>
          </w:p>
        </w:tc>
        <w:tc>
          <w:tcPr>
            <w:tcW w:w="680" w:type="dxa"/>
            <w:vAlign w:val="bottom"/>
            <w:shd w:val="clear" w:color="auto" w:fill="E5FFFF"/>
          </w:tcPr>
          <w:p>
            <w:pPr>
              <w:spacing w:after="0"/>
              <w:rPr>
                <w:sz w:val="18"/>
                <w:szCs w:val="18"/>
                <w:color w:val="auto"/>
              </w:rPr>
            </w:pPr>
          </w:p>
        </w:tc>
        <w:tc>
          <w:tcPr>
            <w:tcW w:w="22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2,828,459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bank loans and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bonds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color w:val="auto"/>
              </w:rPr>
              <w:t>807,180</w:t>
            </w:r>
          </w:p>
        </w:tc>
        <w:tc>
          <w:tcPr>
            <w:tcW w:w="14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807,180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Bank loan repayments</w:t>
            </w:r>
          </w:p>
        </w:tc>
        <w:tc>
          <w:tcPr>
            <w:tcW w:w="22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480" w:type="dxa"/>
            <w:vAlign w:val="bottom"/>
            <w:gridSpan w:val="3"/>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E5FFFF"/>
          </w:tcPr>
          <w:p>
            <w:pPr>
              <w:jc w:val="right"/>
              <w:ind w:right="180"/>
              <w:spacing w:after="0"/>
              <w:rPr>
                <w:sz w:val="20"/>
                <w:szCs w:val="20"/>
                <w:color w:val="auto"/>
              </w:rPr>
            </w:pPr>
            <w:r>
              <w:rPr>
                <w:rFonts w:ascii="Times New Roman" w:cs="Times New Roman" w:eastAsia="Times New Roman" w:hAnsi="Times New Roman"/>
                <w:sz w:val="16"/>
                <w:szCs w:val="16"/>
                <w:color w:val="auto"/>
              </w:rPr>
              <w:t>(519,379)</w:t>
            </w:r>
          </w:p>
        </w:tc>
        <w:tc>
          <w:tcPr>
            <w:tcW w:w="1440" w:type="dxa"/>
            <w:vAlign w:val="bottom"/>
            <w:shd w:val="clear" w:color="auto" w:fill="E5FFFF"/>
          </w:tcPr>
          <w:p>
            <w:pPr>
              <w:spacing w:after="0"/>
              <w:rPr>
                <w:sz w:val="19"/>
                <w:szCs w:val="19"/>
                <w:color w:val="auto"/>
              </w:rPr>
            </w:pPr>
          </w:p>
        </w:tc>
        <w:tc>
          <w:tcPr>
            <w:tcW w:w="3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9"/>
                <w:szCs w:val="19"/>
                <w:color w:val="auto"/>
              </w:rPr>
            </w:pPr>
          </w:p>
        </w:tc>
        <w:tc>
          <w:tcPr>
            <w:tcW w:w="680" w:type="dxa"/>
            <w:vAlign w:val="bottom"/>
            <w:shd w:val="clear" w:color="auto" w:fill="E5FFFF"/>
          </w:tcPr>
          <w:p>
            <w:pPr>
              <w:spacing w:after="0"/>
              <w:rPr>
                <w:sz w:val="19"/>
                <w:szCs w:val="19"/>
                <w:color w:val="auto"/>
              </w:rPr>
            </w:pPr>
          </w:p>
        </w:tc>
        <w:tc>
          <w:tcPr>
            <w:tcW w:w="220" w:type="dxa"/>
            <w:vAlign w:val="bottom"/>
            <w:tcBorders>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5FFFF"/>
          </w:tcPr>
          <w:p>
            <w:pPr>
              <w:spacing w:after="0"/>
              <w:rPr>
                <w:sz w:val="19"/>
                <w:szCs w:val="19"/>
                <w:color w:val="auto"/>
              </w:rPr>
            </w:pPr>
          </w:p>
        </w:tc>
        <w:tc>
          <w:tcPr>
            <w:tcW w:w="154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(519,379)</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Additions in deferred loan fees</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8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180"/>
              <w:spacing w:after="0"/>
              <w:rPr>
                <w:sz w:val="20"/>
                <w:szCs w:val="20"/>
                <w:color w:val="auto"/>
              </w:rPr>
            </w:pPr>
            <w:r>
              <w:rPr>
                <w:rFonts w:ascii="Times New Roman" w:cs="Times New Roman" w:eastAsia="Times New Roman" w:hAnsi="Times New Roman"/>
                <w:sz w:val="16"/>
                <w:szCs w:val="16"/>
                <w:color w:val="auto"/>
              </w:rPr>
              <w:t>(11,269)</w:t>
            </w:r>
          </w:p>
        </w:tc>
        <w:tc>
          <w:tcPr>
            <w:tcW w:w="1440" w:type="dxa"/>
            <w:vAlign w:val="bottom"/>
          </w:tcPr>
          <w:p>
            <w:pPr>
              <w:spacing w:after="0"/>
              <w:rPr>
                <w:sz w:val="18"/>
                <w:szCs w:val="18"/>
                <w:color w:val="auto"/>
              </w:rPr>
            </w:pPr>
          </w:p>
        </w:tc>
        <w:tc>
          <w:tcPr>
            <w:tcW w:w="320" w:type="dxa"/>
            <w:vAlign w:val="bottom"/>
            <w:gridSpan w:val="2"/>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66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color w:val="auto"/>
              </w:rPr>
              <w:t>(4,550)</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Amortization and write-off of</w:t>
            </w: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240" w:type="dxa"/>
            <w:vAlign w:val="bottom"/>
            <w:tcBorders>
              <w:right w:val="single" w:sz="8" w:color="E5FFFF"/>
            </w:tcBorders>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220" w:type="dxa"/>
            <w:vAlign w:val="bottom"/>
            <w:tcBorders>
              <w:right w:val="single" w:sz="8" w:color="E5FFFF"/>
            </w:tcBorders>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6"/>
                <w:szCs w:val="16"/>
                <w:color w:val="auto"/>
              </w:rPr>
              <w:t>deferred loan/bond issuance</w:t>
            </w:r>
          </w:p>
        </w:tc>
        <w:tc>
          <w:tcPr>
            <w:tcW w:w="220" w:type="dxa"/>
            <w:vAlign w:val="bottom"/>
            <w:shd w:val="clear" w:color="auto" w:fill="E5FFFF"/>
          </w:tcPr>
          <w:p>
            <w:pPr>
              <w:spacing w:after="0"/>
              <w:rPr>
                <w:sz w:val="17"/>
                <w:szCs w:val="17"/>
                <w:color w:val="auto"/>
              </w:rPr>
            </w:pPr>
          </w:p>
        </w:tc>
        <w:tc>
          <w:tcPr>
            <w:tcW w:w="124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20" w:type="dxa"/>
            <w:vAlign w:val="bottom"/>
            <w:shd w:val="clear" w:color="auto" w:fill="E5FFFF"/>
          </w:tcPr>
          <w:p>
            <w:pPr>
              <w:spacing w:after="0"/>
              <w:rPr>
                <w:sz w:val="17"/>
                <w:szCs w:val="17"/>
                <w:color w:val="auto"/>
              </w:rPr>
            </w:pPr>
          </w:p>
        </w:tc>
        <w:tc>
          <w:tcPr>
            <w:tcW w:w="320" w:type="dxa"/>
            <w:vAlign w:val="bottom"/>
            <w:shd w:val="clear" w:color="auto" w:fill="E5FFFF"/>
          </w:tcPr>
          <w:p>
            <w:pPr>
              <w:spacing w:after="0"/>
              <w:rPr>
                <w:sz w:val="17"/>
                <w:szCs w:val="17"/>
                <w:color w:val="auto"/>
              </w:rPr>
            </w:pPr>
          </w:p>
        </w:tc>
        <w:tc>
          <w:tcPr>
            <w:tcW w:w="240" w:type="dxa"/>
            <w:vAlign w:val="bottom"/>
            <w:shd w:val="clear" w:color="auto" w:fill="E5FFFF"/>
          </w:tcPr>
          <w:p>
            <w:pPr>
              <w:spacing w:after="0"/>
              <w:rPr>
                <w:sz w:val="17"/>
                <w:szCs w:val="17"/>
                <w:color w:val="auto"/>
              </w:rPr>
            </w:pPr>
          </w:p>
        </w:tc>
        <w:tc>
          <w:tcPr>
            <w:tcW w:w="1440" w:type="dxa"/>
            <w:vAlign w:val="bottom"/>
            <w:shd w:val="clear" w:color="auto" w:fill="E5FFFF"/>
          </w:tcPr>
          <w:p>
            <w:pPr>
              <w:spacing w:after="0"/>
              <w:rPr>
                <w:sz w:val="17"/>
                <w:szCs w:val="17"/>
                <w:color w:val="auto"/>
              </w:rPr>
            </w:pPr>
          </w:p>
        </w:tc>
        <w:tc>
          <w:tcPr>
            <w:tcW w:w="240" w:type="dxa"/>
            <w:vAlign w:val="bottom"/>
            <w:tcBorders>
              <w:right w:val="single" w:sz="8" w:color="E5FFFF"/>
            </w:tcBorders>
            <w:shd w:val="clear" w:color="auto" w:fill="E5FFFF"/>
          </w:tcPr>
          <w:p>
            <w:pPr>
              <w:spacing w:after="0"/>
              <w:rPr>
                <w:sz w:val="17"/>
                <w:szCs w:val="17"/>
                <w:color w:val="auto"/>
              </w:rPr>
            </w:pPr>
          </w:p>
        </w:tc>
        <w:tc>
          <w:tcPr>
            <w:tcW w:w="8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680" w:type="dxa"/>
            <w:vAlign w:val="bottom"/>
            <w:shd w:val="clear" w:color="auto" w:fill="E5FFFF"/>
          </w:tcPr>
          <w:p>
            <w:pPr>
              <w:spacing w:after="0"/>
              <w:rPr>
                <w:sz w:val="17"/>
                <w:szCs w:val="17"/>
                <w:color w:val="auto"/>
              </w:rPr>
            </w:pPr>
          </w:p>
        </w:tc>
        <w:tc>
          <w:tcPr>
            <w:tcW w:w="220" w:type="dxa"/>
            <w:vAlign w:val="bottom"/>
            <w:tcBorders>
              <w:right w:val="single" w:sz="8" w:color="E5FFFF"/>
            </w:tcBorders>
            <w:shd w:val="clear" w:color="auto" w:fill="E5FFFF"/>
          </w:tcPr>
          <w:p>
            <w:pPr>
              <w:spacing w:after="0"/>
              <w:rPr>
                <w:sz w:val="17"/>
                <w:szCs w:val="17"/>
                <w:color w:val="auto"/>
              </w:rPr>
            </w:pPr>
          </w:p>
        </w:tc>
        <w:tc>
          <w:tcPr>
            <w:tcW w:w="220" w:type="dxa"/>
            <w:vAlign w:val="bottom"/>
            <w:shd w:val="clear" w:color="auto" w:fill="E5FFFF"/>
          </w:tcPr>
          <w:p>
            <w:pPr>
              <w:spacing w:after="0"/>
              <w:rPr>
                <w:sz w:val="17"/>
                <w:szCs w:val="17"/>
                <w:color w:val="auto"/>
              </w:rPr>
            </w:pPr>
          </w:p>
        </w:tc>
        <w:tc>
          <w:tcPr>
            <w:tcW w:w="1220" w:type="dxa"/>
            <w:vAlign w:val="bottom"/>
            <w:shd w:val="clear" w:color="auto" w:fill="E5FFFF"/>
          </w:tcPr>
          <w:p>
            <w:pPr>
              <w:spacing w:after="0"/>
              <w:rPr>
                <w:sz w:val="17"/>
                <w:szCs w:val="17"/>
                <w:color w:val="auto"/>
              </w:rPr>
            </w:pPr>
          </w:p>
        </w:tc>
        <w:tc>
          <w:tcPr>
            <w:tcW w:w="12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100" w:type="dxa"/>
            <w:vAlign w:val="bottom"/>
            <w:shd w:val="clear" w:color="auto" w:fill="E5FFFF"/>
          </w:tcPr>
          <w:p>
            <w:pPr>
              <w:spacing w:after="0"/>
              <w:rPr>
                <w:sz w:val="17"/>
                <w:szCs w:val="17"/>
                <w:color w:val="auto"/>
              </w:rPr>
            </w:pPr>
          </w:p>
        </w:tc>
        <w:tc>
          <w:tcPr>
            <w:tcW w:w="800" w:type="dxa"/>
            <w:vAlign w:val="bottom"/>
            <w:shd w:val="clear" w:color="auto" w:fill="E5FF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FFFF"/>
          </w:tcPr>
          <w:p>
            <w:pPr>
              <w:ind w:left="180"/>
              <w:spacing w:after="0"/>
              <w:rPr>
                <w:sz w:val="20"/>
                <w:szCs w:val="20"/>
                <w:color w:val="auto"/>
              </w:rPr>
            </w:pPr>
            <w:r>
              <w:rPr>
                <w:rFonts w:ascii="Times New Roman" w:cs="Times New Roman" w:eastAsia="Times New Roman" w:hAnsi="Times New Roman"/>
                <w:sz w:val="16"/>
                <w:szCs w:val="16"/>
                <w:color w:val="auto"/>
              </w:rPr>
              <w:t>costs/premium</w:t>
            </w:r>
          </w:p>
        </w:tc>
        <w:tc>
          <w:tcPr>
            <w:tcW w:w="2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80" w:type="dxa"/>
            <w:vAlign w:val="bottom"/>
            <w:gridSpan w:val="3"/>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E5FFFF"/>
          </w:tcPr>
          <w:p>
            <w:pPr>
              <w:spacing w:after="0"/>
              <w:rPr>
                <w:sz w:val="18"/>
                <w:szCs w:val="18"/>
                <w:color w:val="auto"/>
              </w:rPr>
            </w:pPr>
          </w:p>
        </w:tc>
        <w:tc>
          <w:tcPr>
            <w:tcW w:w="560" w:type="dxa"/>
            <w:vAlign w:val="bottom"/>
            <w:gridSpan w:val="2"/>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E5FFFF"/>
          </w:tcPr>
          <w:p>
            <w:pPr>
              <w:spacing w:after="0"/>
              <w:rPr>
                <w:sz w:val="18"/>
                <w:szCs w:val="18"/>
                <w:color w:val="auto"/>
              </w:rPr>
            </w:pPr>
          </w:p>
        </w:tc>
        <w:tc>
          <w:tcPr>
            <w:tcW w:w="320" w:type="dxa"/>
            <w:vAlign w:val="bottom"/>
            <w:gridSpan w:val="2"/>
            <w:shd w:val="clear" w:color="auto" w:fill="E5FFFF"/>
          </w:tcPr>
          <w:p>
            <w:pPr>
              <w:jc w:val="right"/>
              <w:ind w:right="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E5FFFF"/>
            </w:tcBorders>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22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10,650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Retranslation of the 2021 NOK</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Bonds in USD</w:t>
            </w: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gridSpan w:val="2"/>
          </w:tcPr>
          <w:p>
            <w:pPr>
              <w:spacing w:after="0"/>
              <w:rPr>
                <w:sz w:val="18"/>
                <w:szCs w:val="18"/>
                <w:color w:val="auto"/>
              </w:rPr>
            </w:pPr>
          </w:p>
        </w:tc>
        <w:tc>
          <w:tcPr>
            <w:tcW w:w="1020" w:type="dxa"/>
            <w:vAlign w:val="bottom"/>
          </w:tcPr>
          <w:p>
            <w:pPr>
              <w:spacing w:after="0"/>
              <w:rPr>
                <w:sz w:val="18"/>
                <w:szCs w:val="18"/>
                <w:color w:val="auto"/>
              </w:rPr>
            </w:pPr>
          </w:p>
        </w:tc>
        <w:tc>
          <w:tcPr>
            <w:tcW w:w="56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color w:val="auto"/>
              </w:rPr>
              <w:t>(3,616)</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gridSpan w:val="4"/>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(3,616)</w:t>
            </w:r>
          </w:p>
        </w:tc>
        <w:tc>
          <w:tcPr>
            <w:tcW w:w="0" w:type="dxa"/>
            <w:vAlign w:val="bottom"/>
          </w:tcPr>
          <w:p>
            <w:pPr>
              <w:spacing w:after="0"/>
              <w:rPr>
                <w:sz w:val="1"/>
                <w:szCs w:val="1"/>
                <w:color w:val="auto"/>
              </w:rPr>
            </w:pPr>
          </w:p>
        </w:tc>
      </w:tr>
      <w:tr>
        <w:trPr>
          <w:trHeight w:val="20"/>
        </w:trPr>
        <w:tc>
          <w:tcPr>
            <w:tcW w:w="228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Borrowings outstanding as of</w:t>
            </w:r>
          </w:p>
        </w:tc>
        <w:tc>
          <w:tcPr>
            <w:tcW w:w="22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E5FF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shd w:val="clear" w:color="auto" w:fill="E5FFFF"/>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100" w:type="dxa"/>
            <w:vAlign w:val="bottom"/>
            <w:shd w:val="clear" w:color="auto" w:fill="E5FF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2280" w:type="dxa"/>
            <w:vAlign w:val="bottom"/>
            <w:vMerge w:val="continue"/>
            <w:shd w:val="clear" w:color="auto" w:fill="E5FFFF"/>
          </w:tcPr>
          <w:p>
            <w:pPr>
              <w:spacing w:after="0"/>
              <w:rPr>
                <w:sz w:val="14"/>
                <w:szCs w:val="14"/>
                <w:color w:val="auto"/>
              </w:rPr>
            </w:pPr>
          </w:p>
        </w:tc>
        <w:tc>
          <w:tcPr>
            <w:tcW w:w="220" w:type="dxa"/>
            <w:vAlign w:val="bottom"/>
            <w:vMerge w:val="restart"/>
            <w:shd w:val="clear" w:color="auto" w:fill="E5FFFF"/>
          </w:tcPr>
          <w:p>
            <w:pPr>
              <w:spacing w:after="0"/>
              <w:rPr>
                <w:sz w:val="14"/>
                <w:szCs w:val="14"/>
                <w:color w:val="auto"/>
              </w:rPr>
            </w:pPr>
          </w:p>
        </w:tc>
        <w:tc>
          <w:tcPr>
            <w:tcW w:w="1480" w:type="dxa"/>
            <w:vAlign w:val="bottom"/>
            <w:gridSpan w:val="2"/>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2,828,459</w:t>
            </w:r>
          </w:p>
        </w:tc>
        <w:tc>
          <w:tcPr>
            <w:tcW w:w="120" w:type="dxa"/>
            <w:vAlign w:val="bottom"/>
            <w:vMerge w:val="restart"/>
            <w:shd w:val="clear" w:color="auto" w:fill="E5FFFF"/>
          </w:tcPr>
          <w:p>
            <w:pPr>
              <w:spacing w:after="0"/>
              <w:rPr>
                <w:sz w:val="14"/>
                <w:szCs w:val="14"/>
                <w:color w:val="auto"/>
              </w:rPr>
            </w:pPr>
          </w:p>
        </w:tc>
        <w:tc>
          <w:tcPr>
            <w:tcW w:w="120" w:type="dxa"/>
            <w:vAlign w:val="bottom"/>
            <w:shd w:val="clear" w:color="auto" w:fill="E5FFFF"/>
          </w:tcPr>
          <w:p>
            <w:pPr>
              <w:spacing w:after="0"/>
              <w:rPr>
                <w:sz w:val="14"/>
                <w:szCs w:val="14"/>
                <w:color w:val="auto"/>
              </w:rPr>
            </w:pPr>
          </w:p>
        </w:tc>
        <w:tc>
          <w:tcPr>
            <w:tcW w:w="1580" w:type="dxa"/>
            <w:vAlign w:val="bottom"/>
            <w:gridSpan w:val="3"/>
            <w:vMerge w:val="restart"/>
            <w:shd w:val="clear" w:color="auto" w:fill="E5FFFF"/>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276,532</w:t>
            </w:r>
          </w:p>
        </w:tc>
        <w:tc>
          <w:tcPr>
            <w:tcW w:w="1760" w:type="dxa"/>
            <w:vAlign w:val="bottom"/>
            <w:gridSpan w:val="3"/>
            <w:vMerge w:val="restart"/>
            <w:shd w:val="clear" w:color="auto" w:fill="E5FFFF"/>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(3,616)</w:t>
            </w:r>
          </w:p>
        </w:tc>
        <w:tc>
          <w:tcPr>
            <w:tcW w:w="1020" w:type="dxa"/>
            <w:vAlign w:val="bottom"/>
            <w:tcBorders>
              <w:right w:val="single" w:sz="8" w:color="E5FFFF"/>
            </w:tcBorders>
            <w:gridSpan w:val="3"/>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10,964</w:t>
            </w:r>
          </w:p>
        </w:tc>
        <w:tc>
          <w:tcPr>
            <w:tcW w:w="1660" w:type="dxa"/>
            <w:vAlign w:val="bottom"/>
            <w:gridSpan w:val="4"/>
            <w:vMerge w:val="restart"/>
            <w:shd w:val="clear" w:color="auto" w:fill="E5FFFF"/>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(4,550)</w:t>
            </w:r>
          </w:p>
        </w:tc>
        <w:tc>
          <w:tcPr>
            <w:tcW w:w="100" w:type="dxa"/>
            <w:vAlign w:val="bottom"/>
            <w:shd w:val="clear" w:color="auto" w:fill="E5FFFF"/>
          </w:tcPr>
          <w:p>
            <w:pPr>
              <w:spacing w:after="0"/>
              <w:rPr>
                <w:sz w:val="14"/>
                <w:szCs w:val="14"/>
                <w:color w:val="auto"/>
              </w:rPr>
            </w:pPr>
          </w:p>
        </w:tc>
        <w:tc>
          <w:tcPr>
            <w:tcW w:w="80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3,107,789</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220" w:type="dxa"/>
            <w:vAlign w:val="bottom"/>
            <w:vMerge w:val="continue"/>
            <w:shd w:val="clear" w:color="auto" w:fill="E5FFFF"/>
          </w:tcPr>
          <w:p>
            <w:pPr>
              <w:spacing w:after="0"/>
              <w:rPr>
                <w:sz w:val="18"/>
                <w:szCs w:val="18"/>
                <w:color w:val="auto"/>
              </w:rPr>
            </w:pPr>
          </w:p>
        </w:tc>
        <w:tc>
          <w:tcPr>
            <w:tcW w:w="1480" w:type="dxa"/>
            <w:vAlign w:val="bottom"/>
            <w:gridSpan w:val="2"/>
            <w:vMerge w:val="continue"/>
            <w:shd w:val="clear" w:color="auto" w:fill="E5FFFF"/>
          </w:tcPr>
          <w:p>
            <w:pPr>
              <w:spacing w:after="0"/>
              <w:rPr>
                <w:sz w:val="18"/>
                <w:szCs w:val="18"/>
                <w:color w:val="auto"/>
              </w:rPr>
            </w:pPr>
          </w:p>
        </w:tc>
        <w:tc>
          <w:tcPr>
            <w:tcW w:w="120" w:type="dxa"/>
            <w:vAlign w:val="bottom"/>
            <w:vMerge w:val="continue"/>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80" w:type="dxa"/>
            <w:vAlign w:val="bottom"/>
            <w:gridSpan w:val="3"/>
            <w:vMerge w:val="continue"/>
            <w:shd w:val="clear" w:color="auto" w:fill="E5FFFF"/>
          </w:tcPr>
          <w:p>
            <w:pPr>
              <w:spacing w:after="0"/>
              <w:rPr>
                <w:sz w:val="18"/>
                <w:szCs w:val="18"/>
                <w:color w:val="auto"/>
              </w:rPr>
            </w:pPr>
          </w:p>
        </w:tc>
        <w:tc>
          <w:tcPr>
            <w:tcW w:w="1760" w:type="dxa"/>
            <w:vAlign w:val="bottom"/>
            <w:gridSpan w:val="3"/>
            <w:vMerge w:val="continue"/>
            <w:shd w:val="clear" w:color="auto" w:fill="E5FFFF"/>
          </w:tcPr>
          <w:p>
            <w:pPr>
              <w:spacing w:after="0"/>
              <w:rPr>
                <w:sz w:val="18"/>
                <w:szCs w:val="18"/>
                <w:color w:val="auto"/>
              </w:rPr>
            </w:pPr>
          </w:p>
        </w:tc>
        <w:tc>
          <w:tcPr>
            <w:tcW w:w="1020" w:type="dxa"/>
            <w:vAlign w:val="bottom"/>
            <w:tcBorders>
              <w:right w:val="single" w:sz="8" w:color="E5FFFF"/>
            </w:tcBorders>
            <w:gridSpan w:val="3"/>
            <w:vMerge w:val="continue"/>
            <w:shd w:val="clear" w:color="auto" w:fill="E5FFFF"/>
          </w:tcPr>
          <w:p>
            <w:pPr>
              <w:spacing w:after="0"/>
              <w:rPr>
                <w:sz w:val="18"/>
                <w:szCs w:val="18"/>
                <w:color w:val="auto"/>
              </w:rPr>
            </w:pPr>
          </w:p>
        </w:tc>
        <w:tc>
          <w:tcPr>
            <w:tcW w:w="1660" w:type="dxa"/>
            <w:vAlign w:val="bottom"/>
            <w:gridSpan w:val="4"/>
            <w:vMerge w:val="continue"/>
            <w:shd w:val="clear" w:color="auto" w:fill="E5FFFF"/>
          </w:tcPr>
          <w:p>
            <w:pPr>
              <w:spacing w:after="0"/>
              <w:rPr>
                <w:sz w:val="18"/>
                <w:szCs w:val="18"/>
                <w:color w:val="auto"/>
              </w:rPr>
            </w:pPr>
          </w:p>
        </w:tc>
        <w:tc>
          <w:tcPr>
            <w:tcW w:w="100" w:type="dxa"/>
            <w:vAlign w:val="bottom"/>
            <w:shd w:val="clear" w:color="auto" w:fill="E5FFFF"/>
          </w:tcPr>
          <w:p>
            <w:pPr>
              <w:spacing w:after="0"/>
              <w:rPr>
                <w:sz w:val="18"/>
                <w:szCs w:val="18"/>
                <w:color w:val="auto"/>
              </w:rPr>
            </w:pPr>
          </w:p>
        </w:tc>
        <w:tc>
          <w:tcPr>
            <w:tcW w:w="800" w:type="dxa"/>
            <w:vAlign w:val="bottom"/>
            <w:vMerge w:val="continue"/>
            <w:shd w:val="clear" w:color="auto" w:fill="E5FF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08"/>
        </w:trPr>
        <w:tc>
          <w:tcPr>
            <w:tcW w:w="2280" w:type="dxa"/>
            <w:vAlign w:val="bottom"/>
            <w:tcBorders>
              <w:top w:val="single" w:sz="8" w:color="E5FFFF"/>
            </w:tcBorders>
          </w:tcPr>
          <w:p>
            <w:pPr>
              <w:spacing w:after="0"/>
              <w:rPr>
                <w:sz w:val="24"/>
                <w:szCs w:val="24"/>
                <w:color w:val="auto"/>
              </w:rPr>
            </w:pPr>
          </w:p>
        </w:tc>
        <w:tc>
          <w:tcPr>
            <w:tcW w:w="220" w:type="dxa"/>
            <w:vAlign w:val="bottom"/>
            <w:tcBorders>
              <w:top w:val="single" w:sz="8" w:color="E5FF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20" w:type="dxa"/>
            <w:vAlign w:val="bottom"/>
            <w:tcBorders>
              <w:top w:val="single" w:sz="8" w:color="E5FFFF"/>
            </w:tcBorders>
          </w:tcPr>
          <w:p>
            <w:pPr>
              <w:spacing w:after="0"/>
              <w:rPr>
                <w:sz w:val="24"/>
                <w:szCs w:val="24"/>
                <w:color w:val="auto"/>
              </w:rPr>
            </w:pPr>
          </w:p>
        </w:tc>
        <w:tc>
          <w:tcPr>
            <w:tcW w:w="120" w:type="dxa"/>
            <w:vAlign w:val="bottom"/>
            <w:tcBorders>
              <w:top w:val="single" w:sz="8" w:color="E5FFFF"/>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240" w:type="dxa"/>
            <w:vAlign w:val="bottom"/>
            <w:tcBorders>
              <w:top w:val="single" w:sz="8" w:color="E5FFFF"/>
            </w:tcBorders>
          </w:tcPr>
          <w:p>
            <w:pPr>
              <w:spacing w:after="0"/>
              <w:rPr>
                <w:sz w:val="24"/>
                <w:szCs w:val="24"/>
                <w:color w:val="auto"/>
              </w:rPr>
            </w:pPr>
          </w:p>
        </w:tc>
        <w:tc>
          <w:tcPr>
            <w:tcW w:w="1680" w:type="dxa"/>
            <w:vAlign w:val="bottom"/>
            <w:tcBorders>
              <w:top w:val="single" w:sz="8" w:color="auto"/>
            </w:tcBorders>
            <w:gridSpan w:val="2"/>
          </w:tcPr>
          <w:p>
            <w:pPr>
              <w:jc w:val="center"/>
              <w:ind w:right="419"/>
              <w:spacing w:after="0"/>
              <w:rPr>
                <w:sz w:val="20"/>
                <w:szCs w:val="20"/>
                <w:color w:val="auto"/>
              </w:rPr>
            </w:pPr>
            <w:r>
              <w:rPr>
                <w:rFonts w:ascii="Times New Roman" w:cs="Times New Roman" w:eastAsia="Times New Roman" w:hAnsi="Times New Roman"/>
                <w:sz w:val="16"/>
                <w:szCs w:val="16"/>
                <w:b w:val="1"/>
                <w:bCs w:val="1"/>
                <w:color w:val="auto"/>
              </w:rPr>
              <w:t>Other</w:t>
            </w:r>
          </w:p>
        </w:tc>
        <w:tc>
          <w:tcPr>
            <w:tcW w:w="80" w:type="dxa"/>
            <w:vAlign w:val="bottom"/>
            <w:tcBorders>
              <w:top w:val="single" w:sz="8" w:color="E5FFFF"/>
            </w:tcBorders>
          </w:tcPr>
          <w:p>
            <w:pPr>
              <w:spacing w:after="0"/>
              <w:rPr>
                <w:sz w:val="24"/>
                <w:szCs w:val="24"/>
                <w:color w:val="auto"/>
              </w:rPr>
            </w:pPr>
          </w:p>
        </w:tc>
        <w:tc>
          <w:tcPr>
            <w:tcW w:w="120" w:type="dxa"/>
            <w:vAlign w:val="bottom"/>
            <w:tcBorders>
              <w:top w:val="single" w:sz="8" w:color="E5FFFF"/>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20" w:type="dxa"/>
            <w:vAlign w:val="bottom"/>
            <w:tcBorders>
              <w:top w:val="single" w:sz="8" w:color="E5FFFF"/>
            </w:tcBorders>
          </w:tcPr>
          <w:p>
            <w:pPr>
              <w:spacing w:after="0"/>
              <w:rPr>
                <w:sz w:val="24"/>
                <w:szCs w:val="24"/>
                <w:color w:val="auto"/>
              </w:rPr>
            </w:pPr>
          </w:p>
        </w:tc>
        <w:tc>
          <w:tcPr>
            <w:tcW w:w="1340" w:type="dxa"/>
            <w:vAlign w:val="bottom"/>
            <w:tcBorders>
              <w:top w:val="single" w:sz="8" w:color="auto"/>
            </w:tcBorders>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Deferred</w:t>
            </w:r>
          </w:p>
        </w:tc>
        <w:tc>
          <w:tcPr>
            <w:tcW w:w="200" w:type="dxa"/>
            <w:vAlign w:val="bottom"/>
            <w:tcBorders>
              <w:top w:val="single" w:sz="8" w:color="E5FFFF"/>
            </w:tcBorders>
            <w:gridSpan w:val="2"/>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20" w:type="dxa"/>
            <w:vAlign w:val="bottom"/>
            <w:gridSpan w:val="3"/>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Non-cash</w:t>
            </w:r>
          </w:p>
        </w:tc>
        <w:tc>
          <w:tcPr>
            <w:tcW w:w="1760" w:type="dxa"/>
            <w:vAlign w:val="bottom"/>
            <w:gridSpan w:val="5"/>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financing costs,</w:t>
            </w: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280" w:type="dxa"/>
            <w:vAlign w:val="bottom"/>
          </w:tcPr>
          <w:p>
            <w:pPr>
              <w:spacing w:after="0"/>
              <w:rPr>
                <w:sz w:val="18"/>
                <w:szCs w:val="18"/>
                <w:color w:val="auto"/>
              </w:rPr>
            </w:pPr>
          </w:p>
        </w:tc>
        <w:tc>
          <w:tcPr>
            <w:tcW w:w="194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Opening balance</w:t>
            </w:r>
          </w:p>
        </w:tc>
        <w:tc>
          <w:tcPr>
            <w:tcW w:w="1580" w:type="dxa"/>
            <w:vAlign w:val="bottom"/>
            <w:gridSpan w:val="3"/>
          </w:tcPr>
          <w:p>
            <w:pPr>
              <w:jc w:val="right"/>
              <w:ind w:right="760"/>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760" w:type="dxa"/>
            <w:vAlign w:val="bottom"/>
            <w:gridSpan w:val="3"/>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120" w:type="dxa"/>
            <w:vAlign w:val="bottom"/>
          </w:tcPr>
          <w:p>
            <w:pPr>
              <w:spacing w:after="0"/>
              <w:rPr>
                <w:sz w:val="18"/>
                <w:szCs w:val="18"/>
                <w:color w:val="auto"/>
              </w:rPr>
            </w:pPr>
          </w:p>
        </w:tc>
        <w:tc>
          <w:tcPr>
            <w:tcW w:w="900" w:type="dxa"/>
            <w:vAlign w:val="bottom"/>
            <w:gridSpan w:val="2"/>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items</w:t>
            </w:r>
          </w:p>
        </w:tc>
        <w:tc>
          <w:tcPr>
            <w:tcW w:w="220" w:type="dxa"/>
            <w:vAlign w:val="bottom"/>
          </w:tcPr>
          <w:p>
            <w:pPr>
              <w:spacing w:after="0"/>
              <w:rPr>
                <w:sz w:val="18"/>
                <w:szCs w:val="18"/>
                <w:color w:val="auto"/>
              </w:rPr>
            </w:pPr>
          </w:p>
        </w:tc>
        <w:tc>
          <w:tcPr>
            <w:tcW w:w="1540" w:type="dxa"/>
            <w:vAlign w:val="bottom"/>
            <w:gridSpan w:val="4"/>
          </w:tcPr>
          <w:p>
            <w:pPr>
              <w:jc w:val="center"/>
              <w:ind w:right="5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72"/>
        </w:trPr>
        <w:tc>
          <w:tcPr>
            <w:tcW w:w="2280" w:type="dxa"/>
            <w:vAlign w:val="bottom"/>
            <w:tcBorders>
              <w:top w:val="single" w:sz="8" w:color="E5FFFF"/>
            </w:tcBorders>
            <w:shd w:val="clear" w:color="auto" w:fill="E5FFFF"/>
          </w:tcPr>
          <w:p>
            <w:pPr>
              <w:spacing w:after="0" w:line="171" w:lineRule="exact"/>
              <w:rPr>
                <w:sz w:val="20"/>
                <w:szCs w:val="20"/>
                <w:color w:val="auto"/>
              </w:rPr>
            </w:pPr>
            <w:r>
              <w:rPr>
                <w:rFonts w:ascii="Times New Roman" w:cs="Times New Roman" w:eastAsia="Times New Roman" w:hAnsi="Times New Roman"/>
                <w:sz w:val="16"/>
                <w:szCs w:val="16"/>
                <w:color w:val="auto"/>
              </w:rPr>
              <w:t>Borrowings outstanding as of</w:t>
            </w:r>
          </w:p>
        </w:tc>
        <w:tc>
          <w:tcPr>
            <w:tcW w:w="220" w:type="dxa"/>
            <w:vAlign w:val="bottom"/>
            <w:tcBorders>
              <w:top w:val="single" w:sz="8" w:color="auto"/>
            </w:tcBorders>
            <w:shd w:val="clear" w:color="auto" w:fill="E5FFFF"/>
          </w:tcPr>
          <w:p>
            <w:pPr>
              <w:spacing w:after="0"/>
              <w:rPr>
                <w:sz w:val="14"/>
                <w:szCs w:val="14"/>
                <w:color w:val="auto"/>
              </w:rPr>
            </w:pPr>
          </w:p>
        </w:tc>
        <w:tc>
          <w:tcPr>
            <w:tcW w:w="124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E5FFFF"/>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20" w:type="dxa"/>
            <w:vAlign w:val="bottom"/>
            <w:tcBorders>
              <w:top w:val="single" w:sz="8" w:color="auto"/>
            </w:tcBorders>
            <w:shd w:val="clear" w:color="auto" w:fill="E5FFFF"/>
          </w:tcPr>
          <w:p>
            <w:pPr>
              <w:spacing w:after="0"/>
              <w:rPr>
                <w:sz w:val="14"/>
                <w:szCs w:val="14"/>
                <w:color w:val="auto"/>
              </w:rPr>
            </w:pPr>
          </w:p>
        </w:tc>
        <w:tc>
          <w:tcPr>
            <w:tcW w:w="1020" w:type="dxa"/>
            <w:vAlign w:val="bottom"/>
            <w:tcBorders>
              <w:top w:val="single" w:sz="8" w:color="auto"/>
            </w:tcBorders>
            <w:shd w:val="clear" w:color="auto" w:fill="E5FFFF"/>
          </w:tcPr>
          <w:p>
            <w:pPr>
              <w:spacing w:after="0"/>
              <w:rPr>
                <w:sz w:val="14"/>
                <w:szCs w:val="14"/>
                <w:color w:val="auto"/>
              </w:rPr>
            </w:pPr>
          </w:p>
        </w:tc>
        <w:tc>
          <w:tcPr>
            <w:tcW w:w="320" w:type="dxa"/>
            <w:vAlign w:val="bottom"/>
            <w:tcBorders>
              <w:top w:val="single" w:sz="8" w:color="E5FFFF"/>
            </w:tcBorders>
            <w:shd w:val="clear" w:color="auto" w:fill="E5FFFF"/>
          </w:tcPr>
          <w:p>
            <w:pPr>
              <w:spacing w:after="0"/>
              <w:rPr>
                <w:sz w:val="14"/>
                <w:szCs w:val="14"/>
                <w:color w:val="auto"/>
              </w:rPr>
            </w:pPr>
          </w:p>
        </w:tc>
        <w:tc>
          <w:tcPr>
            <w:tcW w:w="240" w:type="dxa"/>
            <w:vAlign w:val="bottom"/>
            <w:tcBorders>
              <w:top w:val="single" w:sz="8" w:color="auto"/>
            </w:tcBorders>
            <w:shd w:val="clear" w:color="auto" w:fill="E5FFFF"/>
          </w:tcPr>
          <w:p>
            <w:pPr>
              <w:spacing w:after="0"/>
              <w:rPr>
                <w:sz w:val="14"/>
                <w:szCs w:val="14"/>
                <w:color w:val="auto"/>
              </w:rPr>
            </w:pPr>
          </w:p>
        </w:tc>
        <w:tc>
          <w:tcPr>
            <w:tcW w:w="1440" w:type="dxa"/>
            <w:vAlign w:val="bottom"/>
            <w:tcBorders>
              <w:top w:val="single" w:sz="8" w:color="auto"/>
            </w:tcBorders>
            <w:shd w:val="clear" w:color="auto" w:fill="E5FFFF"/>
          </w:tcPr>
          <w:p>
            <w:pPr>
              <w:spacing w:after="0"/>
              <w:rPr>
                <w:sz w:val="14"/>
                <w:szCs w:val="14"/>
                <w:color w:val="auto"/>
              </w:rPr>
            </w:pPr>
          </w:p>
        </w:tc>
        <w:tc>
          <w:tcPr>
            <w:tcW w:w="240" w:type="dxa"/>
            <w:vAlign w:val="bottom"/>
            <w:tcBorders>
              <w:top w:val="single" w:sz="8" w:color="E5FFFF"/>
              <w:right w:val="single" w:sz="8" w:color="E5FFFF"/>
            </w:tcBorders>
            <w:shd w:val="clear" w:color="auto" w:fill="E5FFFF"/>
          </w:tcPr>
          <w:p>
            <w:pPr>
              <w:spacing w:after="0"/>
              <w:rPr>
                <w:sz w:val="14"/>
                <w:szCs w:val="14"/>
                <w:color w:val="auto"/>
              </w:rPr>
            </w:pPr>
          </w:p>
        </w:tc>
        <w:tc>
          <w:tcPr>
            <w:tcW w:w="8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auto"/>
            </w:tcBorders>
            <w:shd w:val="clear" w:color="auto" w:fill="E5FFFF"/>
          </w:tcPr>
          <w:p>
            <w:pPr>
              <w:spacing w:after="0"/>
              <w:rPr>
                <w:sz w:val="14"/>
                <w:szCs w:val="14"/>
                <w:color w:val="auto"/>
              </w:rPr>
            </w:pPr>
          </w:p>
        </w:tc>
        <w:tc>
          <w:tcPr>
            <w:tcW w:w="680" w:type="dxa"/>
            <w:vAlign w:val="bottom"/>
            <w:tcBorders>
              <w:top w:val="single" w:sz="8" w:color="auto"/>
            </w:tcBorders>
            <w:shd w:val="clear" w:color="auto" w:fill="E5FFFF"/>
          </w:tcPr>
          <w:p>
            <w:pPr>
              <w:spacing w:after="0"/>
              <w:rPr>
                <w:sz w:val="14"/>
                <w:szCs w:val="14"/>
                <w:color w:val="auto"/>
              </w:rPr>
            </w:pPr>
          </w:p>
        </w:tc>
        <w:tc>
          <w:tcPr>
            <w:tcW w:w="220" w:type="dxa"/>
            <w:vAlign w:val="bottom"/>
            <w:tcBorders>
              <w:top w:val="single" w:sz="8" w:color="E5FFFF"/>
              <w:right w:val="single" w:sz="8" w:color="E5FFFF"/>
            </w:tcBorders>
            <w:shd w:val="clear" w:color="auto" w:fill="E5FFFF"/>
          </w:tcPr>
          <w:p>
            <w:pPr>
              <w:spacing w:after="0"/>
              <w:rPr>
                <w:sz w:val="14"/>
                <w:szCs w:val="14"/>
                <w:color w:val="auto"/>
              </w:rPr>
            </w:pPr>
          </w:p>
        </w:tc>
        <w:tc>
          <w:tcPr>
            <w:tcW w:w="220" w:type="dxa"/>
            <w:vAlign w:val="bottom"/>
            <w:tcBorders>
              <w:top w:val="single" w:sz="8" w:color="auto"/>
            </w:tcBorders>
            <w:shd w:val="clear" w:color="auto" w:fill="E5FFFF"/>
          </w:tcPr>
          <w:p>
            <w:pPr>
              <w:spacing w:after="0"/>
              <w:rPr>
                <w:sz w:val="14"/>
                <w:szCs w:val="14"/>
                <w:color w:val="auto"/>
              </w:rPr>
            </w:pPr>
          </w:p>
        </w:tc>
        <w:tc>
          <w:tcPr>
            <w:tcW w:w="1220" w:type="dxa"/>
            <w:vAlign w:val="bottom"/>
            <w:tcBorders>
              <w:top w:val="single" w:sz="8" w:color="auto"/>
            </w:tcBorders>
            <w:shd w:val="clear" w:color="auto" w:fill="E5FFFF"/>
          </w:tcPr>
          <w:p>
            <w:pPr>
              <w:spacing w:after="0"/>
              <w:rPr>
                <w:sz w:val="14"/>
                <w:szCs w:val="14"/>
                <w:color w:val="auto"/>
              </w:rPr>
            </w:pPr>
          </w:p>
        </w:tc>
        <w:tc>
          <w:tcPr>
            <w:tcW w:w="120" w:type="dxa"/>
            <w:vAlign w:val="bottom"/>
            <w:tcBorders>
              <w:top w:val="single" w:sz="8" w:color="E5FFFF"/>
            </w:tcBorders>
            <w:shd w:val="clear" w:color="auto" w:fill="E5FFFF"/>
          </w:tcPr>
          <w:p>
            <w:pPr>
              <w:spacing w:after="0"/>
              <w:rPr>
                <w:sz w:val="14"/>
                <w:szCs w:val="14"/>
                <w:color w:val="auto"/>
              </w:rPr>
            </w:pPr>
          </w:p>
        </w:tc>
        <w:tc>
          <w:tcPr>
            <w:tcW w:w="100" w:type="dxa"/>
            <w:vAlign w:val="bottom"/>
            <w:tcBorders>
              <w:top w:val="single" w:sz="8" w:color="E5FFFF"/>
            </w:tcBorders>
            <w:shd w:val="clear" w:color="auto" w:fill="E5FFFF"/>
          </w:tcPr>
          <w:p>
            <w:pPr>
              <w:spacing w:after="0"/>
              <w:rPr>
                <w:sz w:val="14"/>
                <w:szCs w:val="14"/>
                <w:color w:val="auto"/>
              </w:rPr>
            </w:pPr>
          </w:p>
        </w:tc>
        <w:tc>
          <w:tcPr>
            <w:tcW w:w="100" w:type="dxa"/>
            <w:vAlign w:val="bottom"/>
            <w:tcBorders>
              <w:top w:val="single" w:sz="8" w:color="auto"/>
            </w:tcBorders>
            <w:shd w:val="clear" w:color="auto" w:fill="E5FFFF"/>
          </w:tcPr>
          <w:p>
            <w:pPr>
              <w:spacing w:after="0"/>
              <w:rPr>
                <w:sz w:val="14"/>
                <w:szCs w:val="14"/>
                <w:color w:val="auto"/>
              </w:rPr>
            </w:pPr>
          </w:p>
        </w:tc>
        <w:tc>
          <w:tcPr>
            <w:tcW w:w="800" w:type="dxa"/>
            <w:vAlign w:val="bottom"/>
            <w:tcBorders>
              <w:top w:val="single" w:sz="8" w:color="auto"/>
            </w:tcBorders>
            <w:shd w:val="clear" w:color="auto" w:fill="E5FFFF"/>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January 1, 2020</w:t>
            </w:r>
          </w:p>
        </w:tc>
        <w:tc>
          <w:tcPr>
            <w:tcW w:w="14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3,147,395</w:t>
            </w:r>
          </w:p>
        </w:tc>
        <w:tc>
          <w:tcPr>
            <w:tcW w:w="24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1580" w:type="dxa"/>
            <w:vAlign w:val="bottom"/>
            <w:gridSpan w:val="3"/>
            <w:shd w:val="clear" w:color="auto" w:fill="E5FF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8"/>
                <w:szCs w:val="18"/>
                <w:color w:val="auto"/>
              </w:rPr>
            </w:pPr>
          </w:p>
        </w:tc>
        <w:tc>
          <w:tcPr>
            <w:tcW w:w="900" w:type="dxa"/>
            <w:vAlign w:val="bottom"/>
            <w:tcBorders>
              <w:right w:val="single" w:sz="8" w:color="E5FFFF"/>
            </w:tcBorders>
            <w:gridSpan w:val="2"/>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3,147,395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Proceeds from bank loans and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bonds</w:t>
            </w:r>
          </w:p>
        </w:tc>
        <w:tc>
          <w:tcPr>
            <w:tcW w:w="220" w:type="dxa"/>
            <w:vAlign w:val="bottom"/>
          </w:tcPr>
          <w:p>
            <w:pPr>
              <w:spacing w:after="0"/>
              <w:rPr>
                <w:sz w:val="18"/>
                <w:szCs w:val="18"/>
                <w:color w:val="auto"/>
              </w:rPr>
            </w:pP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1,678,938</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1,678,938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Bank loan and bond</w:t>
            </w: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240" w:type="dxa"/>
            <w:vAlign w:val="bottom"/>
            <w:tcBorders>
              <w:right w:val="single" w:sz="8" w:color="E5FFFF"/>
            </w:tcBorders>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220" w:type="dxa"/>
            <w:vAlign w:val="bottom"/>
            <w:tcBorders>
              <w:right w:val="single" w:sz="8" w:color="E5FFFF"/>
            </w:tcBorders>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repayments</w:t>
            </w:r>
          </w:p>
        </w:tc>
        <w:tc>
          <w:tcPr>
            <w:tcW w:w="220" w:type="dxa"/>
            <w:vAlign w:val="bottom"/>
            <w:shd w:val="clear" w:color="auto" w:fill="E5FFFF"/>
          </w:tcPr>
          <w:p>
            <w:pPr>
              <w:spacing w:after="0"/>
              <w:rPr>
                <w:sz w:val="18"/>
                <w:szCs w:val="18"/>
                <w:color w:val="auto"/>
              </w:rPr>
            </w:pPr>
          </w:p>
        </w:tc>
        <w:tc>
          <w:tcPr>
            <w:tcW w:w="1720" w:type="dxa"/>
            <w:vAlign w:val="bottom"/>
            <w:gridSpan w:val="4"/>
            <w:shd w:val="clear" w:color="auto" w:fill="E5FF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(1,318,416)</w:t>
            </w:r>
          </w:p>
        </w:tc>
        <w:tc>
          <w:tcPr>
            <w:tcW w:w="240" w:type="dxa"/>
            <w:vAlign w:val="bottom"/>
            <w:shd w:val="clear" w:color="auto" w:fill="E5FFFF"/>
          </w:tcPr>
          <w:p>
            <w:pPr>
              <w:spacing w:after="0"/>
              <w:rPr>
                <w:sz w:val="18"/>
                <w:szCs w:val="18"/>
                <w:color w:val="auto"/>
              </w:rPr>
            </w:pPr>
          </w:p>
        </w:tc>
        <w:tc>
          <w:tcPr>
            <w:tcW w:w="176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E5FFFF"/>
            </w:tcBorders>
            <w:gridSpan w:val="3"/>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(8,063)</w:t>
            </w:r>
          </w:p>
        </w:tc>
        <w:tc>
          <w:tcPr>
            <w:tcW w:w="22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(1,326,479)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Payment for bond repurchase</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2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at premium</w:t>
            </w:r>
          </w:p>
        </w:tc>
        <w:tc>
          <w:tcPr>
            <w:tcW w:w="220" w:type="dxa"/>
            <w:vAlign w:val="bottom"/>
          </w:tcPr>
          <w:p>
            <w:pPr>
              <w:spacing w:after="0"/>
              <w:rPr>
                <w:sz w:val="18"/>
                <w:szCs w:val="18"/>
                <w:color w:val="auto"/>
              </w:rPr>
            </w:pP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tcPr>
          <w:p>
            <w:pPr>
              <w:jc w:val="right"/>
              <w:ind w:right="199"/>
              <w:spacing w:after="0"/>
              <w:rPr>
                <w:sz w:val="20"/>
                <w:szCs w:val="20"/>
                <w:color w:val="auto"/>
              </w:rPr>
            </w:pPr>
            <w:r>
              <w:rPr>
                <w:rFonts w:ascii="Times New Roman" w:cs="Times New Roman" w:eastAsia="Times New Roman" w:hAnsi="Times New Roman"/>
                <w:sz w:val="16"/>
                <w:szCs w:val="16"/>
                <w:color w:val="auto"/>
              </w:rPr>
              <w:t>(1,937)</w:t>
            </w:r>
          </w:p>
        </w:tc>
        <w:tc>
          <w:tcPr>
            <w:tcW w:w="240" w:type="dxa"/>
            <w:vAlign w:val="bottom"/>
          </w:tcPr>
          <w:p>
            <w:pPr>
              <w:spacing w:after="0"/>
              <w:rPr>
                <w:sz w:val="18"/>
                <w:szCs w:val="18"/>
                <w:color w:val="auto"/>
              </w:rPr>
            </w:pPr>
          </w:p>
        </w:tc>
        <w:tc>
          <w:tcPr>
            <w:tcW w:w="17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0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(1,937)</w:t>
            </w:r>
          </w:p>
        </w:tc>
        <w:tc>
          <w:tcPr>
            <w:tcW w:w="0" w:type="dxa"/>
            <w:vAlign w:val="bottom"/>
          </w:tcPr>
          <w:p>
            <w:pPr>
              <w:spacing w:after="0"/>
              <w:rPr>
                <w:sz w:val="1"/>
                <w:szCs w:val="1"/>
                <w:color w:val="auto"/>
              </w:rPr>
            </w:pPr>
          </w:p>
        </w:tc>
      </w:tr>
      <w:tr>
        <w:trPr>
          <w:trHeight w:val="222"/>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Additions in deferred loan fees</w:t>
            </w:r>
          </w:p>
        </w:tc>
        <w:tc>
          <w:tcPr>
            <w:tcW w:w="220" w:type="dxa"/>
            <w:vAlign w:val="bottom"/>
            <w:shd w:val="clear" w:color="auto" w:fill="E5FFFF"/>
          </w:tcPr>
          <w:p>
            <w:pPr>
              <w:spacing w:after="0"/>
              <w:rPr>
                <w:sz w:val="19"/>
                <w:szCs w:val="19"/>
                <w:color w:val="auto"/>
              </w:rPr>
            </w:pPr>
          </w:p>
        </w:tc>
        <w:tc>
          <w:tcPr>
            <w:tcW w:w="1720" w:type="dxa"/>
            <w:vAlign w:val="bottom"/>
            <w:gridSpan w:val="4"/>
            <w:shd w:val="clear" w:color="auto" w:fill="E5FF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gridSpan w:val="2"/>
            <w:shd w:val="clear" w:color="auto" w:fill="E5FFFF"/>
          </w:tcPr>
          <w:p>
            <w:pPr>
              <w:jc w:val="right"/>
              <w:ind w:right="199"/>
              <w:spacing w:after="0"/>
              <w:rPr>
                <w:sz w:val="20"/>
                <w:szCs w:val="20"/>
                <w:color w:val="auto"/>
              </w:rPr>
            </w:pPr>
            <w:r>
              <w:rPr>
                <w:rFonts w:ascii="Times New Roman" w:cs="Times New Roman" w:eastAsia="Times New Roman" w:hAnsi="Times New Roman"/>
                <w:sz w:val="16"/>
                <w:szCs w:val="16"/>
                <w:color w:val="auto"/>
              </w:rPr>
              <w:t>(25,657)</w:t>
            </w:r>
          </w:p>
        </w:tc>
        <w:tc>
          <w:tcPr>
            <w:tcW w:w="240" w:type="dxa"/>
            <w:vAlign w:val="bottom"/>
            <w:shd w:val="clear" w:color="auto" w:fill="E5FFFF"/>
          </w:tcPr>
          <w:p>
            <w:pPr>
              <w:spacing w:after="0"/>
              <w:rPr>
                <w:sz w:val="19"/>
                <w:szCs w:val="19"/>
                <w:color w:val="auto"/>
              </w:rPr>
            </w:pPr>
          </w:p>
        </w:tc>
        <w:tc>
          <w:tcPr>
            <w:tcW w:w="1760" w:type="dxa"/>
            <w:vAlign w:val="bottom"/>
            <w:gridSpan w:val="3"/>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tcBorders>
              <w:right w:val="single" w:sz="8" w:color="E5FFFF"/>
            </w:tcBorders>
            <w:gridSpan w:val="3"/>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(289)</w:t>
            </w:r>
          </w:p>
        </w:tc>
        <w:tc>
          <w:tcPr>
            <w:tcW w:w="1560" w:type="dxa"/>
            <w:vAlign w:val="bottom"/>
            <w:gridSpan w:val="3"/>
            <w:shd w:val="clear" w:color="auto" w:fill="E5FFFF"/>
          </w:tcPr>
          <w:p>
            <w:pPr>
              <w:jc w:val="right"/>
              <w:ind w:right="120"/>
              <w:spacing w:after="0"/>
              <w:rPr>
                <w:sz w:val="20"/>
                <w:szCs w:val="20"/>
                <w:color w:val="auto"/>
              </w:rPr>
            </w:pPr>
            <w:r>
              <w:rPr>
                <w:rFonts w:ascii="Times New Roman" w:cs="Times New Roman" w:eastAsia="Times New Roman" w:hAnsi="Times New Roman"/>
                <w:sz w:val="16"/>
                <w:szCs w:val="16"/>
                <w:color w:val="auto"/>
              </w:rPr>
              <w:t>(2,546)</w:t>
            </w:r>
          </w:p>
        </w:tc>
        <w:tc>
          <w:tcPr>
            <w:tcW w:w="100" w:type="dxa"/>
            <w:vAlign w:val="bottom"/>
            <w:shd w:val="clear" w:color="auto" w:fill="E5FFFF"/>
          </w:tcPr>
          <w:p>
            <w:pPr>
              <w:spacing w:after="0"/>
              <w:rPr>
                <w:sz w:val="19"/>
                <w:szCs w:val="19"/>
                <w:color w:val="auto"/>
              </w:rPr>
            </w:pPr>
          </w:p>
        </w:tc>
        <w:tc>
          <w:tcPr>
            <w:tcW w:w="100" w:type="dxa"/>
            <w:vAlign w:val="bottom"/>
            <w:shd w:val="clear" w:color="auto" w:fill="E5FFFF"/>
          </w:tcPr>
          <w:p>
            <w:pPr>
              <w:spacing w:after="0"/>
              <w:rPr>
                <w:sz w:val="19"/>
                <w:szCs w:val="19"/>
                <w:color w:val="auto"/>
              </w:rPr>
            </w:pP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(28,492)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2280" w:type="dxa"/>
            <w:vAlign w:val="bottom"/>
          </w:tcPr>
          <w:p>
            <w:pPr>
              <w:spacing w:after="0"/>
              <w:rPr>
                <w:sz w:val="20"/>
                <w:szCs w:val="20"/>
                <w:color w:val="auto"/>
              </w:rPr>
            </w:pPr>
            <w:r>
              <w:rPr>
                <w:rFonts w:ascii="Times New Roman" w:cs="Times New Roman" w:eastAsia="Times New Roman" w:hAnsi="Times New Roman"/>
                <w:sz w:val="16"/>
                <w:szCs w:val="16"/>
                <w:color w:val="auto"/>
              </w:rPr>
              <w:t>Amortization of deferred</w:t>
            </w: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loan/bond issuance</w:t>
            </w: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2280" w:type="dxa"/>
            <w:vAlign w:val="bottom"/>
          </w:tcPr>
          <w:p>
            <w:pPr>
              <w:ind w:left="160"/>
              <w:spacing w:after="0"/>
              <w:rPr>
                <w:sz w:val="20"/>
                <w:szCs w:val="20"/>
                <w:color w:val="auto"/>
              </w:rPr>
            </w:pPr>
            <w:r>
              <w:rPr>
                <w:rFonts w:ascii="Times New Roman" w:cs="Times New Roman" w:eastAsia="Times New Roman" w:hAnsi="Times New Roman"/>
                <w:sz w:val="16"/>
                <w:szCs w:val="16"/>
                <w:color w:val="auto"/>
              </w:rPr>
              <w:t>costs/premium</w:t>
            </w:r>
          </w:p>
        </w:tc>
        <w:tc>
          <w:tcPr>
            <w:tcW w:w="220" w:type="dxa"/>
            <w:vAlign w:val="bottom"/>
          </w:tcPr>
          <w:p>
            <w:pPr>
              <w:spacing w:after="0"/>
              <w:rPr>
                <w:sz w:val="18"/>
                <w:szCs w:val="18"/>
                <w:color w:val="auto"/>
              </w:rPr>
            </w:pPr>
          </w:p>
        </w:tc>
        <w:tc>
          <w:tcPr>
            <w:tcW w:w="1720" w:type="dxa"/>
            <w:vAlign w:val="bottom"/>
            <w:gridSpan w:val="4"/>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760" w:type="dxa"/>
            <w:vAlign w:val="bottom"/>
            <w:gridSpan w:val="3"/>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15,829</w:t>
            </w:r>
          </w:p>
        </w:tc>
        <w:tc>
          <w:tcPr>
            <w:tcW w:w="220" w:type="dxa"/>
            <w:vAlign w:val="bottom"/>
          </w:tcPr>
          <w:p>
            <w:pPr>
              <w:spacing w:after="0"/>
              <w:rPr>
                <w:sz w:val="18"/>
                <w:szCs w:val="18"/>
                <w:color w:val="auto"/>
              </w:rPr>
            </w:pPr>
          </w:p>
        </w:tc>
        <w:tc>
          <w:tcPr>
            <w:tcW w:w="1540" w:type="dxa"/>
            <w:vAlign w:val="bottom"/>
            <w:gridSpan w:val="4"/>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15,829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28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Retranslation of the 2024</w:t>
            </w:r>
          </w:p>
        </w:tc>
        <w:tc>
          <w:tcPr>
            <w:tcW w:w="22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20" w:type="dxa"/>
            <w:vAlign w:val="bottom"/>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240" w:type="dxa"/>
            <w:vAlign w:val="bottom"/>
            <w:shd w:val="clear" w:color="auto" w:fill="E5FFFF"/>
          </w:tcPr>
          <w:p>
            <w:pPr>
              <w:spacing w:after="0"/>
              <w:rPr>
                <w:sz w:val="16"/>
                <w:szCs w:val="16"/>
                <w:color w:val="auto"/>
              </w:rPr>
            </w:pPr>
          </w:p>
        </w:tc>
        <w:tc>
          <w:tcPr>
            <w:tcW w:w="1440" w:type="dxa"/>
            <w:vAlign w:val="bottom"/>
            <w:shd w:val="clear" w:color="auto" w:fill="E5FFFF"/>
          </w:tcPr>
          <w:p>
            <w:pPr>
              <w:spacing w:after="0"/>
              <w:rPr>
                <w:sz w:val="16"/>
                <w:szCs w:val="16"/>
                <w:color w:val="auto"/>
              </w:rPr>
            </w:pPr>
          </w:p>
        </w:tc>
        <w:tc>
          <w:tcPr>
            <w:tcW w:w="240" w:type="dxa"/>
            <w:vAlign w:val="bottom"/>
            <w:tcBorders>
              <w:right w:val="single" w:sz="8" w:color="E5FFFF"/>
            </w:tcBorders>
            <w:shd w:val="clear" w:color="auto" w:fill="E5FFFF"/>
          </w:tcPr>
          <w:p>
            <w:pPr>
              <w:spacing w:after="0"/>
              <w:rPr>
                <w:sz w:val="16"/>
                <w:szCs w:val="16"/>
                <w:color w:val="auto"/>
              </w:rPr>
            </w:pPr>
          </w:p>
        </w:tc>
        <w:tc>
          <w:tcPr>
            <w:tcW w:w="8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680" w:type="dxa"/>
            <w:vAlign w:val="bottom"/>
            <w:shd w:val="clear" w:color="auto" w:fill="E5FFFF"/>
          </w:tcPr>
          <w:p>
            <w:pPr>
              <w:spacing w:after="0"/>
              <w:rPr>
                <w:sz w:val="16"/>
                <w:szCs w:val="16"/>
                <w:color w:val="auto"/>
              </w:rPr>
            </w:pPr>
          </w:p>
        </w:tc>
        <w:tc>
          <w:tcPr>
            <w:tcW w:w="220" w:type="dxa"/>
            <w:vAlign w:val="bottom"/>
            <w:tcBorders>
              <w:right w:val="single" w:sz="8" w:color="E5FFFF"/>
            </w:tcBorders>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100" w:type="dxa"/>
            <w:vAlign w:val="bottom"/>
            <w:shd w:val="clear" w:color="auto" w:fill="E5FFFF"/>
          </w:tcPr>
          <w:p>
            <w:pPr>
              <w:spacing w:after="0"/>
              <w:rPr>
                <w:sz w:val="16"/>
                <w:szCs w:val="16"/>
                <w:color w:val="auto"/>
              </w:rPr>
            </w:pPr>
          </w:p>
        </w:tc>
        <w:tc>
          <w:tcPr>
            <w:tcW w:w="800" w:type="dxa"/>
            <w:vAlign w:val="bottom"/>
            <w:shd w:val="clear" w:color="auto" w:fill="E5FFFF"/>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280" w:type="dxa"/>
            <w:vAlign w:val="bottom"/>
            <w:shd w:val="clear" w:color="auto" w:fill="E5FFFF"/>
          </w:tcPr>
          <w:p>
            <w:pPr>
              <w:ind w:left="160"/>
              <w:spacing w:after="0"/>
              <w:rPr>
                <w:sz w:val="20"/>
                <w:szCs w:val="20"/>
                <w:color w:val="auto"/>
              </w:rPr>
            </w:pPr>
            <w:r>
              <w:rPr>
                <w:rFonts w:ascii="Times New Roman" w:cs="Times New Roman" w:eastAsia="Times New Roman" w:hAnsi="Times New Roman"/>
                <w:sz w:val="16"/>
                <w:szCs w:val="16"/>
                <w:color w:val="auto"/>
              </w:rPr>
              <w:t>NOK Bonds in USD</w:t>
            </w:r>
          </w:p>
        </w:tc>
        <w:tc>
          <w:tcPr>
            <w:tcW w:w="220" w:type="dxa"/>
            <w:vAlign w:val="bottom"/>
            <w:shd w:val="clear" w:color="auto" w:fill="E5FFFF"/>
          </w:tcPr>
          <w:p>
            <w:pPr>
              <w:spacing w:after="0"/>
              <w:rPr>
                <w:sz w:val="18"/>
                <w:szCs w:val="18"/>
                <w:color w:val="auto"/>
              </w:rPr>
            </w:pPr>
          </w:p>
        </w:tc>
        <w:tc>
          <w:tcPr>
            <w:tcW w:w="1720" w:type="dxa"/>
            <w:vAlign w:val="bottom"/>
            <w:gridSpan w:val="4"/>
            <w:shd w:val="clear" w:color="auto" w:fill="E5FFFF"/>
          </w:tcPr>
          <w:p>
            <w:pPr>
              <w:jc w:val="right"/>
              <w:ind w:right="480"/>
              <w:spacing w:after="0"/>
              <w:rPr>
                <w:sz w:val="20"/>
                <w:szCs w:val="20"/>
                <w:color w:val="auto"/>
              </w:rPr>
            </w:pPr>
            <w:r>
              <w:rPr>
                <w:rFonts w:ascii="Times New Roman" w:cs="Times New Roman" w:eastAsia="Times New Roman" w:hAnsi="Times New Roman"/>
                <w:sz w:val="16"/>
                <w:szCs w:val="16"/>
                <w:color w:val="auto"/>
              </w:rPr>
              <w:t>—</w:t>
            </w:r>
          </w:p>
        </w:tc>
        <w:tc>
          <w:tcPr>
            <w:tcW w:w="1580" w:type="dxa"/>
            <w:vAlign w:val="bottom"/>
            <w:gridSpan w:val="3"/>
            <w:shd w:val="clear" w:color="auto" w:fill="E5FFFF"/>
          </w:tcPr>
          <w:p>
            <w:pPr>
              <w:jc w:val="right"/>
              <w:ind w:right="560"/>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tcBorders>
              <w:right w:val="single" w:sz="8" w:color="E5FFFF"/>
            </w:tcBorders>
            <w:gridSpan w:val="2"/>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(6,826)</w:t>
            </w:r>
          </w:p>
        </w:tc>
        <w:tc>
          <w:tcPr>
            <w:tcW w:w="80" w:type="dxa"/>
            <w:vAlign w:val="bottom"/>
            <w:shd w:val="clear" w:color="auto" w:fill="E5FFFF"/>
          </w:tcPr>
          <w:p>
            <w:pPr>
              <w:spacing w:after="0"/>
              <w:rPr>
                <w:sz w:val="18"/>
                <w:szCs w:val="18"/>
                <w:color w:val="auto"/>
              </w:rPr>
            </w:pPr>
          </w:p>
        </w:tc>
        <w:tc>
          <w:tcPr>
            <w:tcW w:w="1020" w:type="dxa"/>
            <w:vAlign w:val="bottom"/>
            <w:tcBorders>
              <w:right w:val="single" w:sz="8" w:color="E5FFFF"/>
            </w:tcBorders>
            <w:gridSpan w:val="3"/>
            <w:shd w:val="clear" w:color="auto" w:fill="E5FFFF"/>
          </w:tcPr>
          <w:p>
            <w:pPr>
              <w:jc w:val="right"/>
              <w:ind w:right="99"/>
              <w:spacing w:after="0"/>
              <w:rPr>
                <w:sz w:val="20"/>
                <w:szCs w:val="20"/>
                <w:color w:val="auto"/>
              </w:rPr>
            </w:pPr>
            <w:r>
              <w:rPr>
                <w:rFonts w:ascii="Times New Roman" w:cs="Times New Roman" w:eastAsia="Times New Roman" w:hAnsi="Times New Roman"/>
                <w:sz w:val="16"/>
                <w:szCs w:val="16"/>
                <w:color w:val="auto"/>
              </w:rPr>
              <w:t>(6,174)</w:t>
            </w:r>
          </w:p>
        </w:tc>
        <w:tc>
          <w:tcPr>
            <w:tcW w:w="220" w:type="dxa"/>
            <w:vAlign w:val="bottom"/>
            <w:shd w:val="clear" w:color="auto" w:fill="E5FFFF"/>
          </w:tcPr>
          <w:p>
            <w:pPr>
              <w:spacing w:after="0"/>
              <w:rPr>
                <w:sz w:val="18"/>
                <w:szCs w:val="18"/>
                <w:color w:val="auto"/>
              </w:rPr>
            </w:pPr>
          </w:p>
        </w:tc>
        <w:tc>
          <w:tcPr>
            <w:tcW w:w="1540" w:type="dxa"/>
            <w:vAlign w:val="bottom"/>
            <w:gridSpan w:val="4"/>
            <w:shd w:val="clear" w:color="auto" w:fill="E5FFFF"/>
          </w:tcPr>
          <w:p>
            <w:pPr>
              <w:jc w:val="right"/>
              <w:ind w:right="3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(13,000)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Borrowings outstanding as</w:t>
            </w:r>
          </w:p>
        </w:tc>
        <w:tc>
          <w:tcPr>
            <w:tcW w:w="2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7"/>
        </w:trPr>
        <w:tc>
          <w:tcPr>
            <w:tcW w:w="2280" w:type="dxa"/>
            <w:vAlign w:val="bottom"/>
            <w:vMerge w:val="continue"/>
          </w:tcPr>
          <w:p>
            <w:pPr>
              <w:spacing w:after="0"/>
              <w:rPr>
                <w:sz w:val="14"/>
                <w:szCs w:val="14"/>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3,147,395</w:t>
            </w: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332,928</w:t>
            </w:r>
          </w:p>
        </w:tc>
        <w:tc>
          <w:tcPr>
            <w:tcW w:w="3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80" w:type="dxa"/>
            <w:vAlign w:val="bottom"/>
            <w:gridSpan w:val="2"/>
            <w:vMerge w:val="restart"/>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(6,826)</w:t>
            </w:r>
          </w:p>
        </w:tc>
        <w:tc>
          <w:tcPr>
            <w:tcW w:w="80" w:type="dxa"/>
            <w:vAlign w:val="bottom"/>
          </w:tcPr>
          <w:p>
            <w:pPr>
              <w:spacing w:after="0"/>
              <w:rPr>
                <w:sz w:val="14"/>
                <w:szCs w:val="14"/>
                <w:color w:val="auto"/>
              </w:rPr>
            </w:pPr>
          </w:p>
        </w:tc>
        <w:tc>
          <w:tcPr>
            <w:tcW w:w="1020" w:type="dxa"/>
            <w:vAlign w:val="bottom"/>
            <w:gridSpan w:val="3"/>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1,303</w:t>
            </w:r>
          </w:p>
        </w:tc>
        <w:tc>
          <w:tcPr>
            <w:tcW w:w="1560" w:type="dxa"/>
            <w:vAlign w:val="bottom"/>
            <w:gridSpan w:val="3"/>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(2,546)</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3,472,254</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280" w:type="dxa"/>
            <w:vAlign w:val="bottom"/>
          </w:tcPr>
          <w:p>
            <w:pPr>
              <w:ind w:left="160"/>
              <w:spacing w:after="0"/>
              <w:rPr>
                <w:sz w:val="20"/>
                <w:szCs w:val="20"/>
                <w:color w:val="auto"/>
              </w:rPr>
            </w:pPr>
            <w:r>
              <w:rPr>
                <w:rFonts w:ascii="Times New Roman" w:cs="Times New Roman" w:eastAsia="Times New Roman" w:hAnsi="Times New Roman"/>
                <w:sz w:val="16"/>
                <w:szCs w:val="16"/>
                <w:b w:val="1"/>
                <w:bCs w:val="1"/>
                <w:color w:val="auto"/>
              </w:rPr>
              <w:t>of September 30, 2020</w:t>
            </w:r>
          </w:p>
        </w:tc>
        <w:tc>
          <w:tcPr>
            <w:tcW w:w="1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3"/>
            <w:vMerge w:val="continue"/>
          </w:tcPr>
          <w:p>
            <w:pPr>
              <w:spacing w:after="0"/>
              <w:rPr>
                <w:sz w:val="17"/>
                <w:szCs w:val="17"/>
                <w:color w:val="auto"/>
              </w:rPr>
            </w:pPr>
          </w:p>
        </w:tc>
        <w:tc>
          <w:tcPr>
            <w:tcW w:w="1560" w:type="dxa"/>
            <w:vAlign w:val="bottom"/>
            <w:gridSpan w:val="3"/>
            <w:vMerge w:val="continue"/>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22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1440" w:type="dxa"/>
            <w:vAlign w:val="bottom"/>
            <w:shd w:val="clear" w:color="auto" w:fill="000000"/>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20" w:type="dxa"/>
            <w:vAlign w:val="bottom"/>
            <w:tcBorders>
              <w:right w:val="single" w:sz="8" w:color="auto"/>
            </w:tcBorders>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180"/>
          </w:cols>
          <w:pgMar w:left="320" w:top="895" w:right="399" w:bottom="163" w:gutter="0" w:footer="0" w:header="0"/>
        </w:sectPr>
      </w:pPr>
    </w:p>
    <w:bookmarkStart w:id="43" w:name="page44"/>
    <w:bookmarkEnd w:id="43"/>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24765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44" w:name="page45"/>
    <w:bookmarkEnd w:id="44"/>
    <w:p>
      <w:pPr>
        <w:ind w:left="340"/>
        <w:spacing w:after="0"/>
        <w:rPr>
          <w:sz w:val="20"/>
          <w:szCs w:val="20"/>
          <w:color w:val="auto"/>
        </w:rPr>
      </w:pPr>
      <w:r>
        <w:rPr>
          <w:rFonts w:ascii="Times New Roman" w:cs="Times New Roman" w:eastAsia="Times New Roman" w:hAnsi="Times New Roman"/>
          <w:sz w:val="16"/>
          <w:szCs w:val="16"/>
          <w:color w:val="auto"/>
        </w:rPr>
        <w:t>A reconciliation of derivatives arising from financing activities is as follows:</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60" w:type="dxa"/>
            <w:vAlign w:val="bottom"/>
            <w:gridSpan w:val="7"/>
          </w:tcPr>
          <w:p>
            <w:pPr>
              <w:jc w:val="center"/>
              <w:ind w:right="479"/>
              <w:spacing w:after="0"/>
              <w:rPr>
                <w:sz w:val="20"/>
                <w:szCs w:val="20"/>
                <w:color w:val="auto"/>
              </w:rPr>
            </w:pPr>
            <w:r>
              <w:rPr>
                <w:rFonts w:ascii="Times New Roman" w:cs="Times New Roman" w:eastAsia="Times New Roman" w:hAnsi="Times New Roman"/>
                <w:sz w:val="16"/>
                <w:szCs w:val="16"/>
                <w:b w:val="1"/>
                <w:bCs w:val="1"/>
                <w:color w:val="auto"/>
              </w:rPr>
              <w:t>Other comprehensive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Opening balance</w:t>
            </w:r>
          </w:p>
        </w:tc>
        <w:tc>
          <w:tcPr>
            <w:tcW w:w="120" w:type="dxa"/>
            <w:vAlign w:val="bottom"/>
          </w:tcPr>
          <w:p>
            <w:pPr>
              <w:spacing w:after="0"/>
              <w:rPr>
                <w:sz w:val="18"/>
                <w:szCs w:val="18"/>
                <w:color w:val="auto"/>
              </w:rPr>
            </w:pPr>
          </w:p>
        </w:tc>
        <w:tc>
          <w:tcPr>
            <w:tcW w:w="1280" w:type="dxa"/>
            <w:vAlign w:val="bottom"/>
            <w:gridSpan w:val="3"/>
          </w:tcPr>
          <w:p>
            <w:pPr>
              <w:jc w:val="center"/>
              <w:ind w:left="539"/>
              <w:spacing w:after="0"/>
              <w:rPr>
                <w:sz w:val="20"/>
                <w:szCs w:val="20"/>
                <w:color w:val="auto"/>
              </w:rPr>
            </w:pPr>
            <w:r>
              <w:rPr>
                <w:rFonts w:ascii="Times New Roman" w:cs="Times New Roman" w:eastAsia="Times New Roman" w:hAnsi="Times New Roman"/>
                <w:sz w:val="16"/>
                <w:szCs w:val="16"/>
                <w:b w:val="1"/>
                <w:bCs w:val="1"/>
                <w:color w:val="auto"/>
              </w:rPr>
              <w:t>income</w:t>
            </w: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5"/>
          </w:tcPr>
          <w:p>
            <w:pPr>
              <w:jc w:val="right"/>
              <w:ind w:right="720"/>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1400" w:type="dxa"/>
            <w:vAlign w:val="bottom"/>
            <w:gridSpan w:val="2"/>
          </w:tcPr>
          <w:p>
            <w:pPr>
              <w:jc w:val="right"/>
              <w:ind w:right="64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2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derivative assets as of January 1, 2019</w:t>
            </w:r>
          </w:p>
        </w:tc>
        <w:tc>
          <w:tcPr>
            <w:tcW w:w="100" w:type="dxa"/>
            <w:vAlign w:val="bottom"/>
            <w:tcBorders>
              <w:top w:val="single" w:sz="8" w:color="E5FFFF"/>
            </w:tcBorders>
            <w:shd w:val="clear" w:color="auto" w:fill="E5FFFF"/>
          </w:tcPr>
          <w:p>
            <w:pPr>
              <w:spacing w:after="0"/>
              <w:rPr>
                <w:sz w:val="17"/>
                <w:szCs w:val="17"/>
                <w:color w:val="auto"/>
              </w:rPr>
            </w:pPr>
          </w:p>
        </w:tc>
        <w:tc>
          <w:tcPr>
            <w:tcW w:w="136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120" w:type="dxa"/>
            <w:vAlign w:val="bottom"/>
            <w:tcBorders>
              <w:top w:val="single" w:sz="8" w:color="E5FFFF"/>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spacing w:after="0"/>
              <w:rPr>
                <w:sz w:val="17"/>
                <w:szCs w:val="17"/>
                <w:color w:val="auto"/>
              </w:rPr>
            </w:pPr>
          </w:p>
        </w:tc>
        <w:tc>
          <w:tcPr>
            <w:tcW w:w="140" w:type="dxa"/>
            <w:vAlign w:val="bottom"/>
            <w:tcBorders>
              <w:top w:val="single" w:sz="8" w:color="auto"/>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ind w:left="460"/>
              <w:spacing w:after="0"/>
              <w:rPr>
                <w:sz w:val="20"/>
                <w:szCs w:val="20"/>
                <w:color w:val="auto"/>
              </w:rPr>
            </w:pPr>
            <w:r>
              <w:rPr>
                <w:rFonts w:ascii="Times New Roman" w:cs="Times New Roman" w:eastAsia="Times New Roman" w:hAnsi="Times New Roman"/>
                <w:sz w:val="16"/>
                <w:szCs w:val="16"/>
                <w:color w:val="auto"/>
                <w:w w:val="87"/>
              </w:rPr>
              <w:t>—</w:t>
            </w:r>
          </w:p>
        </w:tc>
        <w:tc>
          <w:tcPr>
            <w:tcW w:w="2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220" w:type="dxa"/>
            <w:vAlign w:val="bottom"/>
            <w:tcBorders>
              <w:top w:val="single" w:sz="8" w:color="auto"/>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E5FFFF"/>
              <w:right w:val="single" w:sz="8" w:color="E5FFFF"/>
            </w:tcBorders>
            <w:shd w:val="clear" w:color="auto" w:fill="E5FFFF"/>
          </w:tcPr>
          <w:p>
            <w:pPr>
              <w:spacing w:after="0"/>
              <w:rPr>
                <w:sz w:val="17"/>
                <w:szCs w:val="17"/>
                <w:color w:val="auto"/>
              </w:rPr>
            </w:pPr>
          </w:p>
        </w:tc>
        <w:tc>
          <w:tcPr>
            <w:tcW w:w="320" w:type="dxa"/>
            <w:vAlign w:val="bottom"/>
            <w:tcBorders>
              <w:top w:val="single" w:sz="8" w:color="auto"/>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3,096</w:t>
            </w: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 held for</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trading (Note 16)</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gridSpan w:val="4"/>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2"/>
          </w:tcPr>
          <w:p>
            <w:pPr>
              <w:jc w:val="right"/>
              <w:ind w:right="219"/>
              <w:spacing w:after="0"/>
              <w:rPr>
                <w:sz w:val="20"/>
                <w:szCs w:val="20"/>
                <w:color w:val="auto"/>
              </w:rPr>
            </w:pPr>
            <w:r>
              <w:rPr>
                <w:rFonts w:ascii="Times New Roman" w:cs="Times New Roman" w:eastAsia="Times New Roman" w:hAnsi="Times New Roman"/>
                <w:sz w:val="16"/>
                <w:szCs w:val="16"/>
                <w:color w:val="auto"/>
              </w:rPr>
              <w:t>(67,828)</w:t>
            </w:r>
          </w:p>
        </w:tc>
        <w:tc>
          <w:tcPr>
            <w:tcW w:w="3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(67,828)</w:t>
            </w:r>
          </w:p>
        </w:tc>
        <w:tc>
          <w:tcPr>
            <w:tcW w:w="0" w:type="dxa"/>
            <w:vAlign w:val="bottom"/>
          </w:tcPr>
          <w:p>
            <w:pPr>
              <w:spacing w:after="0"/>
              <w:rPr>
                <w:sz w:val="1"/>
                <w:szCs w:val="1"/>
                <w:color w:val="auto"/>
              </w:rPr>
            </w:pPr>
          </w:p>
        </w:tc>
      </w:tr>
      <w:tr>
        <w:trPr>
          <w:trHeight w:val="222"/>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Ineffective portion of cash flow hedges (Note 16)</w:t>
            </w:r>
          </w:p>
        </w:tc>
        <w:tc>
          <w:tcPr>
            <w:tcW w:w="10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9"/>
                <w:szCs w:val="19"/>
                <w:color w:val="auto"/>
              </w:rPr>
            </w:pPr>
          </w:p>
        </w:tc>
        <w:tc>
          <w:tcPr>
            <w:tcW w:w="780" w:type="dxa"/>
            <w:vAlign w:val="bottom"/>
            <w:shd w:val="clear" w:color="auto" w:fill="E5FFFF"/>
          </w:tcPr>
          <w:p>
            <w:pPr>
              <w:spacing w:after="0"/>
              <w:rPr>
                <w:sz w:val="19"/>
                <w:szCs w:val="19"/>
                <w:color w:val="auto"/>
              </w:rPr>
            </w:pPr>
          </w:p>
        </w:tc>
        <w:tc>
          <w:tcPr>
            <w:tcW w:w="140" w:type="dxa"/>
            <w:vAlign w:val="bottom"/>
            <w:shd w:val="clear" w:color="auto" w:fill="E5FFFF"/>
          </w:tcPr>
          <w:p>
            <w:pPr>
              <w:spacing w:after="0"/>
              <w:rPr>
                <w:sz w:val="19"/>
                <w:szCs w:val="19"/>
                <w:color w:val="auto"/>
              </w:rPr>
            </w:pPr>
          </w:p>
        </w:tc>
        <w:tc>
          <w:tcPr>
            <w:tcW w:w="360" w:type="dxa"/>
            <w:vAlign w:val="bottom"/>
            <w:shd w:val="clear" w:color="auto" w:fill="E5FFFF"/>
          </w:tcPr>
          <w:p>
            <w:pPr>
              <w:spacing w:after="0"/>
              <w:rPr>
                <w:sz w:val="19"/>
                <w:szCs w:val="19"/>
                <w:color w:val="auto"/>
              </w:rPr>
            </w:pPr>
          </w:p>
        </w:tc>
        <w:tc>
          <w:tcPr>
            <w:tcW w:w="1180" w:type="dxa"/>
            <w:vAlign w:val="bottom"/>
            <w:gridSpan w:val="4"/>
            <w:shd w:val="clear" w:color="auto" w:fill="E5FFFF"/>
          </w:tcPr>
          <w:p>
            <w:pPr>
              <w:jc w:val="right"/>
              <w:ind w:right="47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tcBorders>
              <w:right w:val="single" w:sz="8" w:color="E5FFFF"/>
            </w:tcBorders>
            <w:gridSpan w:val="2"/>
            <w:shd w:val="clear" w:color="auto" w:fill="E5FFFF"/>
          </w:tcPr>
          <w:p>
            <w:pPr>
              <w:jc w:val="right"/>
              <w:ind w:right="259"/>
              <w:spacing w:after="0"/>
              <w:rPr>
                <w:sz w:val="20"/>
                <w:szCs w:val="20"/>
                <w:color w:val="auto"/>
              </w:rPr>
            </w:pPr>
            <w:r>
              <w:rPr>
                <w:rFonts w:ascii="Times New Roman" w:cs="Times New Roman" w:eastAsia="Times New Roman" w:hAnsi="Times New Roman"/>
                <w:sz w:val="16"/>
                <w:szCs w:val="16"/>
                <w:color w:val="auto"/>
              </w:rPr>
              <w:t>185</w:t>
            </w:r>
          </w:p>
        </w:tc>
        <w:tc>
          <w:tcPr>
            <w:tcW w:w="320" w:type="dxa"/>
            <w:vAlign w:val="bottom"/>
            <w:shd w:val="clear" w:color="auto" w:fill="E5FFFF"/>
          </w:tcPr>
          <w:p>
            <w:pPr>
              <w:spacing w:after="0"/>
              <w:rPr>
                <w:sz w:val="19"/>
                <w:szCs w:val="19"/>
                <w:color w:val="auto"/>
              </w:rPr>
            </w:pP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Effective portion of changes in the fair value of derivatives</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designated as cash flow hedging instruments</w:t>
            </w:r>
          </w:p>
        </w:tc>
        <w:tc>
          <w:tcPr>
            <w:tcW w:w="100" w:type="dxa"/>
            <w:vAlign w:val="bottom"/>
          </w:tcPr>
          <w:p>
            <w:pPr>
              <w:spacing w:after="0"/>
              <w:rPr>
                <w:sz w:val="18"/>
                <w:szCs w:val="18"/>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gridSpan w:val="2"/>
          </w:tcPr>
          <w:p>
            <w:pPr>
              <w:jc w:val="right"/>
              <w:ind w:right="79"/>
              <w:spacing w:after="0"/>
              <w:rPr>
                <w:sz w:val="20"/>
                <w:szCs w:val="20"/>
                <w:color w:val="auto"/>
              </w:rPr>
            </w:pPr>
            <w:r>
              <w:rPr>
                <w:rFonts w:ascii="Times New Roman" w:cs="Times New Roman" w:eastAsia="Times New Roman" w:hAnsi="Times New Roman"/>
                <w:sz w:val="16"/>
                <w:szCs w:val="16"/>
                <w:color w:val="auto"/>
              </w:rPr>
              <w:t>(6,913)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60" w:type="dxa"/>
            <w:vAlign w:val="bottom"/>
            <w:gridSpan w:val="3"/>
          </w:tcPr>
          <w:p>
            <w:pPr>
              <w:jc w:val="right"/>
              <w:ind w:right="620"/>
              <w:spacing w:after="0"/>
              <w:rPr>
                <w:sz w:val="20"/>
                <w:szCs w:val="20"/>
                <w:color w:val="auto"/>
              </w:rPr>
            </w:pPr>
            <w:r>
              <w:rPr>
                <w:rFonts w:ascii="Times New Roman" w:cs="Times New Roman" w:eastAsia="Times New Roman" w:hAnsi="Times New Roman"/>
                <w:sz w:val="16"/>
                <w:szCs w:val="16"/>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(6,913)</w:t>
            </w:r>
          </w:p>
        </w:tc>
        <w:tc>
          <w:tcPr>
            <w:tcW w:w="0" w:type="dxa"/>
            <w:vAlign w:val="bottom"/>
          </w:tcPr>
          <w:p>
            <w:pPr>
              <w:spacing w:after="0"/>
              <w:rPr>
                <w:sz w:val="1"/>
                <w:szCs w:val="1"/>
                <w:color w:val="auto"/>
              </w:rPr>
            </w:pPr>
          </w:p>
        </w:tc>
      </w:tr>
      <w:tr>
        <w:trPr>
          <w:trHeight w:val="20"/>
        </w:trPr>
        <w:tc>
          <w:tcPr>
            <w:tcW w:w="4200" w:type="dxa"/>
            <w:vAlign w:val="bottom"/>
            <w:vMerge w:val="restart"/>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Net derivative assets/(liabilities) as of September 30,</w:t>
            </w:r>
          </w:p>
        </w:tc>
        <w:tc>
          <w:tcPr>
            <w:tcW w:w="100" w:type="dxa"/>
            <w:vAlign w:val="bottom"/>
            <w:shd w:val="clear" w:color="auto" w:fill="E5FF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E5FF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E5FF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340" w:type="dxa"/>
            <w:vAlign w:val="bottom"/>
            <w:tcBorders>
              <w:right w:val="single" w:sz="8" w:color="auto"/>
            </w:tcBorders>
            <w:shd w:val="clear" w:color="auto" w:fill="E5FFFF"/>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4200" w:type="dxa"/>
            <w:vAlign w:val="bottom"/>
            <w:vMerge w:val="continue"/>
            <w:shd w:val="clear" w:color="auto" w:fill="E5FFFF"/>
          </w:tcPr>
          <w:p>
            <w:pPr>
              <w:spacing w:after="0"/>
              <w:rPr>
                <w:sz w:val="14"/>
                <w:szCs w:val="14"/>
                <w:color w:val="auto"/>
              </w:rPr>
            </w:pPr>
          </w:p>
        </w:tc>
        <w:tc>
          <w:tcPr>
            <w:tcW w:w="100" w:type="dxa"/>
            <w:vAlign w:val="bottom"/>
            <w:vMerge w:val="restart"/>
            <w:shd w:val="clear" w:color="auto" w:fill="E5FFFF"/>
          </w:tcPr>
          <w:p>
            <w:pPr>
              <w:spacing w:after="0"/>
              <w:rPr>
                <w:sz w:val="14"/>
                <w:szCs w:val="14"/>
                <w:color w:val="auto"/>
              </w:rPr>
            </w:pPr>
          </w:p>
        </w:tc>
        <w:tc>
          <w:tcPr>
            <w:tcW w:w="1360" w:type="dxa"/>
            <w:vAlign w:val="bottom"/>
            <w:gridSpan w:val="2"/>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3,096</w:t>
            </w:r>
          </w:p>
        </w:tc>
        <w:tc>
          <w:tcPr>
            <w:tcW w:w="120" w:type="dxa"/>
            <w:vAlign w:val="bottom"/>
            <w:shd w:val="clear" w:color="auto" w:fill="E5FFFF"/>
          </w:tcPr>
          <w:p>
            <w:pPr>
              <w:spacing w:after="0"/>
              <w:rPr>
                <w:sz w:val="14"/>
                <w:szCs w:val="14"/>
                <w:color w:val="auto"/>
              </w:rPr>
            </w:pPr>
          </w:p>
        </w:tc>
        <w:tc>
          <w:tcPr>
            <w:tcW w:w="780" w:type="dxa"/>
            <w:vAlign w:val="bottom"/>
            <w:shd w:val="clear" w:color="auto" w:fill="E5FFFF"/>
          </w:tcPr>
          <w:p>
            <w:pPr>
              <w:spacing w:after="0"/>
              <w:rPr>
                <w:sz w:val="14"/>
                <w:szCs w:val="14"/>
                <w:color w:val="auto"/>
              </w:rPr>
            </w:pPr>
          </w:p>
        </w:tc>
        <w:tc>
          <w:tcPr>
            <w:tcW w:w="140" w:type="dxa"/>
            <w:vAlign w:val="bottom"/>
            <w:shd w:val="clear" w:color="auto" w:fill="E5FFFF"/>
          </w:tcPr>
          <w:p>
            <w:pPr>
              <w:spacing w:after="0"/>
              <w:rPr>
                <w:sz w:val="14"/>
                <w:szCs w:val="14"/>
                <w:color w:val="auto"/>
              </w:rPr>
            </w:pPr>
          </w:p>
        </w:tc>
        <w:tc>
          <w:tcPr>
            <w:tcW w:w="360" w:type="dxa"/>
            <w:vAlign w:val="bottom"/>
            <w:shd w:val="clear" w:color="auto" w:fill="E5FFFF"/>
          </w:tcPr>
          <w:p>
            <w:pPr>
              <w:spacing w:after="0"/>
              <w:rPr>
                <w:sz w:val="14"/>
                <w:szCs w:val="14"/>
                <w:color w:val="auto"/>
              </w:rPr>
            </w:pPr>
          </w:p>
        </w:tc>
        <w:tc>
          <w:tcPr>
            <w:tcW w:w="840" w:type="dxa"/>
            <w:vAlign w:val="bottom"/>
            <w:gridSpan w:val="2"/>
            <w:vMerge w:val="restart"/>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(6,913)</w:t>
            </w:r>
          </w:p>
        </w:tc>
        <w:tc>
          <w:tcPr>
            <w:tcW w:w="120" w:type="dxa"/>
            <w:vAlign w:val="bottom"/>
            <w:shd w:val="clear" w:color="auto" w:fill="E5FFFF"/>
          </w:tcPr>
          <w:p>
            <w:pPr>
              <w:spacing w:after="0"/>
              <w:rPr>
                <w:sz w:val="14"/>
                <w:szCs w:val="14"/>
                <w:color w:val="auto"/>
              </w:rPr>
            </w:pPr>
          </w:p>
        </w:tc>
        <w:tc>
          <w:tcPr>
            <w:tcW w:w="220" w:type="dxa"/>
            <w:vAlign w:val="bottom"/>
            <w:shd w:val="clear" w:color="auto" w:fill="E5FFFF"/>
          </w:tcPr>
          <w:p>
            <w:pPr>
              <w:spacing w:after="0"/>
              <w:rPr>
                <w:sz w:val="14"/>
                <w:szCs w:val="14"/>
                <w:color w:val="auto"/>
              </w:rPr>
            </w:pPr>
          </w:p>
        </w:tc>
        <w:tc>
          <w:tcPr>
            <w:tcW w:w="1240" w:type="dxa"/>
            <w:vAlign w:val="bottom"/>
            <w:tcBorders>
              <w:right w:val="single" w:sz="8" w:color="E5FFFF"/>
            </w:tcBorders>
            <w:gridSpan w:val="2"/>
            <w:vMerge w:val="restart"/>
            <w:shd w:val="clear" w:color="auto" w:fill="E5FFFF"/>
          </w:tcPr>
          <w:p>
            <w:pPr>
              <w:jc w:val="right"/>
              <w:ind w:right="219"/>
              <w:spacing w:after="0"/>
              <w:rPr>
                <w:sz w:val="20"/>
                <w:szCs w:val="20"/>
                <w:color w:val="auto"/>
              </w:rPr>
            </w:pPr>
            <w:r>
              <w:rPr>
                <w:rFonts w:ascii="Times New Roman" w:cs="Times New Roman" w:eastAsia="Times New Roman" w:hAnsi="Times New Roman"/>
                <w:sz w:val="16"/>
                <w:szCs w:val="16"/>
                <w:b w:val="1"/>
                <w:bCs w:val="1"/>
                <w:color w:val="auto"/>
              </w:rPr>
              <w:t>(67,643)</w:t>
            </w:r>
          </w:p>
        </w:tc>
        <w:tc>
          <w:tcPr>
            <w:tcW w:w="320" w:type="dxa"/>
            <w:vAlign w:val="bottom"/>
            <w:shd w:val="clear" w:color="auto" w:fill="E5FFFF"/>
          </w:tcPr>
          <w:p>
            <w:pPr>
              <w:spacing w:after="0"/>
              <w:rPr>
                <w:sz w:val="14"/>
                <w:szCs w:val="14"/>
                <w:color w:val="auto"/>
              </w:rPr>
            </w:pPr>
          </w:p>
        </w:tc>
        <w:tc>
          <w:tcPr>
            <w:tcW w:w="1340" w:type="dxa"/>
            <w:vAlign w:val="bottom"/>
            <w:vMerge w:val="restart"/>
            <w:shd w:val="clear" w:color="auto" w:fill="E5FFFF"/>
          </w:tcPr>
          <w:p>
            <w:pPr>
              <w:jc w:val="right"/>
              <w:spacing w:after="0"/>
              <w:rPr>
                <w:sz w:val="20"/>
                <w:szCs w:val="20"/>
                <w:color w:val="auto"/>
              </w:rPr>
            </w:pPr>
            <w:r>
              <w:rPr>
                <w:rFonts w:ascii="Times New Roman" w:cs="Times New Roman" w:eastAsia="Times New Roman" w:hAnsi="Times New Roman"/>
                <w:sz w:val="16"/>
                <w:szCs w:val="16"/>
                <w:b w:val="1"/>
                <w:bCs w:val="1"/>
                <w:color w:val="auto"/>
              </w:rPr>
              <w:t>(71,460</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vMerge w:val="continue"/>
            <w:shd w:val="clear" w:color="auto" w:fill="E5FFFF"/>
          </w:tcPr>
          <w:p>
            <w:pPr>
              <w:spacing w:after="0"/>
              <w:rPr>
                <w:sz w:val="18"/>
                <w:szCs w:val="18"/>
                <w:color w:val="auto"/>
              </w:rPr>
            </w:pPr>
          </w:p>
        </w:tc>
        <w:tc>
          <w:tcPr>
            <w:tcW w:w="1360" w:type="dxa"/>
            <w:vAlign w:val="bottom"/>
            <w:gridSpan w:val="2"/>
            <w:vMerge w:val="continue"/>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780" w:type="dxa"/>
            <w:vAlign w:val="bottom"/>
            <w:shd w:val="clear" w:color="auto" w:fill="E5FFFF"/>
          </w:tcPr>
          <w:p>
            <w:pPr>
              <w:spacing w:after="0"/>
              <w:rPr>
                <w:sz w:val="18"/>
                <w:szCs w:val="18"/>
                <w:color w:val="auto"/>
              </w:rPr>
            </w:pPr>
          </w:p>
        </w:tc>
        <w:tc>
          <w:tcPr>
            <w:tcW w:w="140" w:type="dxa"/>
            <w:vAlign w:val="bottom"/>
            <w:shd w:val="clear" w:color="auto" w:fill="E5FFFF"/>
          </w:tcPr>
          <w:p>
            <w:pPr>
              <w:spacing w:after="0"/>
              <w:rPr>
                <w:sz w:val="18"/>
                <w:szCs w:val="18"/>
                <w:color w:val="auto"/>
              </w:rPr>
            </w:pPr>
          </w:p>
        </w:tc>
        <w:tc>
          <w:tcPr>
            <w:tcW w:w="360" w:type="dxa"/>
            <w:vAlign w:val="bottom"/>
            <w:shd w:val="clear" w:color="auto" w:fill="E5FFFF"/>
          </w:tcPr>
          <w:p>
            <w:pPr>
              <w:spacing w:after="0"/>
              <w:rPr>
                <w:sz w:val="18"/>
                <w:szCs w:val="18"/>
                <w:color w:val="auto"/>
              </w:rPr>
            </w:pPr>
          </w:p>
        </w:tc>
        <w:tc>
          <w:tcPr>
            <w:tcW w:w="840" w:type="dxa"/>
            <w:vAlign w:val="bottom"/>
            <w:gridSpan w:val="2"/>
            <w:vMerge w:val="continue"/>
            <w:shd w:val="clear" w:color="auto" w:fill="E5FFFF"/>
          </w:tcPr>
          <w:p>
            <w:pPr>
              <w:spacing w:after="0"/>
              <w:rPr>
                <w:sz w:val="18"/>
                <w:szCs w:val="18"/>
                <w:color w:val="auto"/>
              </w:rPr>
            </w:pPr>
          </w:p>
        </w:tc>
        <w:tc>
          <w:tcPr>
            <w:tcW w:w="120" w:type="dxa"/>
            <w:vAlign w:val="bottom"/>
            <w:shd w:val="clear" w:color="auto" w:fill="E5FFFF"/>
          </w:tcPr>
          <w:p>
            <w:pPr>
              <w:spacing w:after="0"/>
              <w:rPr>
                <w:sz w:val="18"/>
                <w:szCs w:val="18"/>
                <w:color w:val="auto"/>
              </w:rPr>
            </w:pPr>
          </w:p>
        </w:tc>
        <w:tc>
          <w:tcPr>
            <w:tcW w:w="220" w:type="dxa"/>
            <w:vAlign w:val="bottom"/>
            <w:shd w:val="clear" w:color="auto" w:fill="E5FFFF"/>
          </w:tcPr>
          <w:p>
            <w:pPr>
              <w:spacing w:after="0"/>
              <w:rPr>
                <w:sz w:val="18"/>
                <w:szCs w:val="18"/>
                <w:color w:val="auto"/>
              </w:rPr>
            </w:pPr>
          </w:p>
        </w:tc>
        <w:tc>
          <w:tcPr>
            <w:tcW w:w="1240" w:type="dxa"/>
            <w:vAlign w:val="bottom"/>
            <w:tcBorders>
              <w:right w:val="single" w:sz="8" w:color="E5FFFF"/>
            </w:tcBorders>
            <w:gridSpan w:val="2"/>
            <w:vMerge w:val="continue"/>
            <w:shd w:val="clear" w:color="auto" w:fill="E5FFFF"/>
          </w:tcPr>
          <w:p>
            <w:pPr>
              <w:spacing w:after="0"/>
              <w:rPr>
                <w:sz w:val="18"/>
                <w:szCs w:val="18"/>
                <w:color w:val="auto"/>
              </w:rPr>
            </w:pPr>
          </w:p>
        </w:tc>
        <w:tc>
          <w:tcPr>
            <w:tcW w:w="320" w:type="dxa"/>
            <w:vAlign w:val="bottom"/>
            <w:shd w:val="clear" w:color="auto" w:fill="E5FFFF"/>
          </w:tcPr>
          <w:p>
            <w:pPr>
              <w:spacing w:after="0"/>
              <w:rPr>
                <w:sz w:val="18"/>
                <w:szCs w:val="18"/>
                <w:color w:val="auto"/>
              </w:rPr>
            </w:pPr>
          </w:p>
        </w:tc>
        <w:tc>
          <w:tcPr>
            <w:tcW w:w="1340" w:type="dxa"/>
            <w:vAlign w:val="bottom"/>
            <w:vMerge w:val="continue"/>
            <w:shd w:val="clear" w:color="auto" w:fill="E5FFFF"/>
          </w:tcPr>
          <w:p>
            <w:pPr>
              <w:spacing w:after="0"/>
              <w:rPr>
                <w:sz w:val="18"/>
                <w:szCs w:val="18"/>
                <w:color w:val="auto"/>
              </w:rPr>
            </w:pPr>
          </w:p>
        </w:tc>
        <w:tc>
          <w:tcPr>
            <w:tcW w:w="60" w:type="dxa"/>
            <w:vAlign w:val="bottom"/>
          </w:tcPr>
          <w:p>
            <w:pPr>
              <w:jc w:val="right"/>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0" w:type="dxa"/>
            <w:vAlign w:val="bottom"/>
          </w:tcPr>
          <w:p>
            <w:pPr>
              <w:spacing w:after="0"/>
              <w:rPr>
                <w:sz w:val="1"/>
                <w:szCs w:val="1"/>
                <w:color w:val="auto"/>
              </w:rPr>
            </w:pPr>
          </w:p>
        </w:tc>
      </w:tr>
      <w:tr>
        <w:trPr>
          <w:trHeight w:val="605"/>
        </w:trPr>
        <w:tc>
          <w:tcPr>
            <w:tcW w:w="4200" w:type="dxa"/>
            <w:vAlign w:val="bottom"/>
            <w:tcBorders>
              <w:top w:val="single" w:sz="8" w:color="E5FFFF"/>
            </w:tcBorders>
          </w:tcPr>
          <w:p>
            <w:pPr>
              <w:spacing w:after="0"/>
              <w:rPr>
                <w:sz w:val="24"/>
                <w:szCs w:val="24"/>
                <w:color w:val="auto"/>
              </w:rPr>
            </w:pPr>
          </w:p>
        </w:tc>
        <w:tc>
          <w:tcPr>
            <w:tcW w:w="100" w:type="dxa"/>
            <w:vAlign w:val="bottom"/>
            <w:tcBorders>
              <w:top w:val="single" w:sz="8" w:color="E5FFFF"/>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E5FFFF"/>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20" w:type="dxa"/>
            <w:vAlign w:val="bottom"/>
            <w:tcBorders>
              <w:top w:val="single" w:sz="8" w:color="E5FFFF"/>
            </w:tcBorders>
          </w:tcPr>
          <w:p>
            <w:pPr>
              <w:spacing w:after="0"/>
              <w:rPr>
                <w:sz w:val="24"/>
                <w:szCs w:val="24"/>
                <w:color w:val="auto"/>
              </w:rPr>
            </w:pPr>
          </w:p>
        </w:tc>
        <w:tc>
          <w:tcPr>
            <w:tcW w:w="340" w:type="dxa"/>
            <w:vAlign w:val="bottom"/>
            <w:tcBorders>
              <w:top w:val="single" w:sz="8" w:color="auto"/>
            </w:tcBorders>
            <w:gridSpan w:val="2"/>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340" w:type="dxa"/>
            <w:vAlign w:val="bottom"/>
            <w:tcBorders>
              <w:top w:val="single" w:sz="8" w:color="E5FFFF"/>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540" w:type="dxa"/>
            <w:vAlign w:val="bottom"/>
            <w:gridSpan w:val="5"/>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9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4200" w:type="dxa"/>
            <w:vAlign w:val="bottom"/>
          </w:tcPr>
          <w:p>
            <w:pPr>
              <w:spacing w:after="0"/>
              <w:rPr>
                <w:sz w:val="18"/>
                <w:szCs w:val="18"/>
                <w:color w:val="auto"/>
              </w:rPr>
            </w:pPr>
          </w:p>
        </w:tc>
        <w:tc>
          <w:tcPr>
            <w:tcW w:w="1460" w:type="dxa"/>
            <w:vAlign w:val="bottom"/>
            <w:gridSpan w:val="3"/>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Opening balance</w:t>
            </w:r>
          </w:p>
        </w:tc>
        <w:tc>
          <w:tcPr>
            <w:tcW w:w="1400" w:type="dxa"/>
            <w:vAlign w:val="bottom"/>
            <w:gridSpan w:val="4"/>
          </w:tcPr>
          <w:p>
            <w:pPr>
              <w:ind w:left="80"/>
              <w:spacing w:after="0"/>
              <w:rPr>
                <w:sz w:val="20"/>
                <w:szCs w:val="20"/>
                <w:color w:val="auto"/>
              </w:rPr>
            </w:pPr>
            <w:r>
              <w:rPr>
                <w:rFonts w:ascii="Times New Roman" w:cs="Times New Roman" w:eastAsia="Times New Roman" w:hAnsi="Times New Roman"/>
                <w:sz w:val="16"/>
                <w:szCs w:val="16"/>
                <w:b w:val="1"/>
                <w:bCs w:val="1"/>
                <w:color w:val="auto"/>
              </w:rPr>
              <w:t>Cash flows</w:t>
            </w:r>
          </w:p>
        </w:tc>
        <w:tc>
          <w:tcPr>
            <w:tcW w:w="1180" w:type="dxa"/>
            <w:vAlign w:val="bottom"/>
            <w:gridSpan w:val="4"/>
          </w:tcPr>
          <w:p>
            <w:pPr>
              <w:jc w:val="center"/>
              <w:ind w:right="499"/>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560" w:type="dxa"/>
            <w:vAlign w:val="bottom"/>
            <w:gridSpan w:val="3"/>
          </w:tcPr>
          <w:p>
            <w:pPr>
              <w:jc w:val="right"/>
              <w:ind w:right="380"/>
              <w:spacing w:after="0"/>
              <w:rPr>
                <w:sz w:val="20"/>
                <w:szCs w:val="20"/>
                <w:color w:val="auto"/>
              </w:rPr>
            </w:pPr>
            <w:r>
              <w:rPr>
                <w:rFonts w:ascii="Times New Roman" w:cs="Times New Roman" w:eastAsia="Times New Roman" w:hAnsi="Times New Roman"/>
                <w:sz w:val="16"/>
                <w:szCs w:val="16"/>
                <w:b w:val="1"/>
                <w:bCs w:val="1"/>
                <w:color w:val="auto"/>
              </w:rPr>
              <w:t>Non-cash items</w:t>
            </w:r>
          </w:p>
        </w:tc>
        <w:tc>
          <w:tcPr>
            <w:tcW w:w="1400" w:type="dxa"/>
            <w:vAlign w:val="bottom"/>
            <w:gridSpan w:val="2"/>
          </w:tcPr>
          <w:p>
            <w:pPr>
              <w:jc w:val="right"/>
              <w:ind w:right="488"/>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02"/>
        </w:trPr>
        <w:tc>
          <w:tcPr>
            <w:tcW w:w="420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Net derivative liabilities as of January 1, 2020</w:t>
            </w:r>
          </w:p>
        </w:tc>
        <w:tc>
          <w:tcPr>
            <w:tcW w:w="13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(45,931)</w:t>
            </w:r>
          </w:p>
        </w:tc>
        <w:tc>
          <w:tcPr>
            <w:tcW w:w="120" w:type="dxa"/>
            <w:vAlign w:val="bottom"/>
            <w:tcBorders>
              <w:top w:val="single" w:sz="8" w:color="E5FFFF"/>
            </w:tcBorders>
            <w:shd w:val="clear" w:color="auto" w:fill="E5FFFF"/>
          </w:tcPr>
          <w:p>
            <w:pPr>
              <w:spacing w:after="0"/>
              <w:rPr>
                <w:sz w:val="17"/>
                <w:szCs w:val="17"/>
                <w:color w:val="auto"/>
              </w:rPr>
            </w:pPr>
          </w:p>
        </w:tc>
        <w:tc>
          <w:tcPr>
            <w:tcW w:w="120" w:type="dxa"/>
            <w:vAlign w:val="bottom"/>
            <w:tcBorders>
              <w:top w:val="single" w:sz="8" w:color="auto"/>
            </w:tcBorders>
            <w:shd w:val="clear" w:color="auto" w:fill="E5FFFF"/>
          </w:tcPr>
          <w:p>
            <w:pPr>
              <w:spacing w:after="0"/>
              <w:rPr>
                <w:sz w:val="17"/>
                <w:szCs w:val="17"/>
                <w:color w:val="auto"/>
              </w:rPr>
            </w:pPr>
          </w:p>
        </w:tc>
        <w:tc>
          <w:tcPr>
            <w:tcW w:w="78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top w:val="single" w:sz="8" w:color="E5FFFF"/>
            </w:tcBorders>
            <w:shd w:val="clear" w:color="auto" w:fill="E5FFFF"/>
          </w:tcPr>
          <w:p>
            <w:pPr>
              <w:spacing w:after="0"/>
              <w:rPr>
                <w:sz w:val="17"/>
                <w:szCs w:val="17"/>
                <w:color w:val="auto"/>
              </w:rPr>
            </w:pPr>
          </w:p>
        </w:tc>
        <w:tc>
          <w:tcPr>
            <w:tcW w:w="360" w:type="dxa"/>
            <w:vAlign w:val="bottom"/>
            <w:tcBorders>
              <w:top w:val="single" w:sz="8" w:color="auto"/>
            </w:tcBorders>
            <w:shd w:val="clear" w:color="auto" w:fill="E5FFFF"/>
          </w:tcPr>
          <w:p>
            <w:pPr>
              <w:spacing w:after="0"/>
              <w:rPr>
                <w:sz w:val="17"/>
                <w:szCs w:val="17"/>
                <w:color w:val="auto"/>
              </w:rPr>
            </w:pPr>
          </w:p>
        </w:tc>
        <w:tc>
          <w:tcPr>
            <w:tcW w:w="62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tcBorders>
            <w:gridSpan w:val="2"/>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E5FFFF"/>
            </w:tcBorders>
            <w:shd w:val="clear" w:color="auto" w:fill="E5FFFF"/>
          </w:tcPr>
          <w:p>
            <w:pPr>
              <w:spacing w:after="0"/>
              <w:rPr>
                <w:sz w:val="17"/>
                <w:szCs w:val="17"/>
                <w:color w:val="auto"/>
              </w:rPr>
            </w:pPr>
          </w:p>
        </w:tc>
        <w:tc>
          <w:tcPr>
            <w:tcW w:w="900" w:type="dxa"/>
            <w:vAlign w:val="bottom"/>
            <w:tcBorders>
              <w:top w:val="single" w:sz="8" w:color="auto"/>
            </w:tcBorders>
            <w:shd w:val="clear" w:color="auto" w:fill="E5FFFF"/>
          </w:tcPr>
          <w:p>
            <w:pPr>
              <w:spacing w:after="0"/>
              <w:rPr>
                <w:sz w:val="17"/>
                <w:szCs w:val="17"/>
                <w:color w:val="auto"/>
              </w:rPr>
            </w:pPr>
          </w:p>
        </w:tc>
        <w:tc>
          <w:tcPr>
            <w:tcW w:w="340" w:type="dxa"/>
            <w:vAlign w:val="bottom"/>
            <w:tcBorders>
              <w:top w:val="single" w:sz="8" w:color="auto"/>
              <w:right w:val="single" w:sz="8" w:color="E5FFFF"/>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tcBorders>
              <w:top w:val="single" w:sz="8" w:color="E5FFFF"/>
            </w:tcBorders>
            <w:shd w:val="clear" w:color="auto" w:fill="E5FFFF"/>
          </w:tcPr>
          <w:p>
            <w:pPr>
              <w:spacing w:after="0"/>
              <w:rPr>
                <w:sz w:val="17"/>
                <w:szCs w:val="17"/>
                <w:color w:val="auto"/>
              </w:rPr>
            </w:pPr>
          </w:p>
        </w:tc>
        <w:tc>
          <w:tcPr>
            <w:tcW w:w="1340" w:type="dxa"/>
            <w:vAlign w:val="bottom"/>
            <w:tcBorders>
              <w:top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(45,931</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89"/>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Unrealized loss on derivative financial instruments held for</w:t>
            </w: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(74,492</w:t>
            </w: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6"/>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trading (Note 16)</w:t>
            </w:r>
          </w:p>
        </w:tc>
        <w:tc>
          <w:tcPr>
            <w:tcW w:w="10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280" w:type="dxa"/>
            <w:vAlign w:val="bottom"/>
            <w:gridSpan w:val="3"/>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tcPr>
          <w:p>
            <w:pPr>
              <w:spacing w:after="0"/>
              <w:rPr>
                <w:sz w:val="18"/>
                <w:szCs w:val="18"/>
                <w:color w:val="auto"/>
              </w:rPr>
            </w:pPr>
          </w:p>
        </w:tc>
        <w:tc>
          <w:tcPr>
            <w:tcW w:w="5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(74,492)</w:t>
            </w:r>
          </w:p>
        </w:tc>
        <w:tc>
          <w:tcPr>
            <w:tcW w:w="140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Ineffective portion of cash flow hedges (Note 16)</w:t>
            </w:r>
          </w:p>
        </w:tc>
        <w:tc>
          <w:tcPr>
            <w:tcW w:w="1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8"/>
                <w:szCs w:val="18"/>
                <w:color w:val="auto"/>
              </w:rPr>
            </w:pPr>
          </w:p>
        </w:tc>
        <w:tc>
          <w:tcPr>
            <w:tcW w:w="1280" w:type="dxa"/>
            <w:vAlign w:val="bottom"/>
            <w:gridSpan w:val="3"/>
            <w:shd w:val="clear" w:color="auto" w:fill="E5FF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E5FFFF"/>
          </w:tcPr>
          <w:p>
            <w:pPr>
              <w:spacing w:after="0"/>
              <w:rPr>
                <w:sz w:val="18"/>
                <w:szCs w:val="18"/>
                <w:color w:val="auto"/>
              </w:rPr>
            </w:pPr>
          </w:p>
        </w:tc>
        <w:tc>
          <w:tcPr>
            <w:tcW w:w="560" w:type="dxa"/>
            <w:vAlign w:val="bottom"/>
            <w:gridSpan w:val="3"/>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shd w:val="clear" w:color="auto" w:fill="E5FFFF"/>
          </w:tcPr>
          <w:p>
            <w:pPr>
              <w:jc w:val="right"/>
              <w:ind w:right="240"/>
              <w:spacing w:after="0"/>
              <w:rPr>
                <w:sz w:val="20"/>
                <w:szCs w:val="20"/>
                <w:color w:val="auto"/>
              </w:rPr>
            </w:pPr>
            <w:r>
              <w:rPr>
                <w:rFonts w:ascii="Times New Roman" w:cs="Times New Roman" w:eastAsia="Times New Roman" w:hAnsi="Times New Roman"/>
                <w:sz w:val="16"/>
                <w:szCs w:val="16"/>
                <w:color w:val="auto"/>
              </w:rPr>
              <w:t>(146)</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(146</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Payment for interest rate swaps termination</w:t>
            </w:r>
          </w:p>
        </w:tc>
        <w:tc>
          <w:tcPr>
            <w:tcW w:w="10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26,867</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Pr>
          <w:p>
            <w:pPr>
              <w:spacing w:after="0"/>
              <w:rPr>
                <w:sz w:val="18"/>
                <w:szCs w:val="18"/>
                <w:color w:val="auto"/>
              </w:rPr>
            </w:pPr>
          </w:p>
        </w:tc>
        <w:tc>
          <w:tcPr>
            <w:tcW w:w="66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26,867</w:t>
            </w: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9"/>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Proceeds from entering into interest rate swaps</w:t>
            </w:r>
          </w:p>
        </w:tc>
        <w:tc>
          <w:tcPr>
            <w:tcW w:w="100" w:type="dxa"/>
            <w:vAlign w:val="bottom"/>
            <w:shd w:val="clear" w:color="auto" w:fill="E5FFFF"/>
          </w:tcPr>
          <w:p>
            <w:pPr>
              <w:spacing w:after="0"/>
              <w:rPr>
                <w:sz w:val="19"/>
                <w:szCs w:val="19"/>
                <w:color w:val="auto"/>
              </w:rPr>
            </w:pPr>
          </w:p>
        </w:tc>
        <w:tc>
          <w:tcPr>
            <w:tcW w:w="136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(31,622)</w:t>
            </w:r>
          </w:p>
        </w:tc>
        <w:tc>
          <w:tcPr>
            <w:tcW w:w="360" w:type="dxa"/>
            <w:vAlign w:val="bottom"/>
            <w:shd w:val="clear" w:color="auto" w:fill="E5FFFF"/>
          </w:tcPr>
          <w:p>
            <w:pPr>
              <w:spacing w:after="0"/>
              <w:rPr>
                <w:sz w:val="19"/>
                <w:szCs w:val="19"/>
                <w:color w:val="auto"/>
              </w:rPr>
            </w:pPr>
          </w:p>
        </w:tc>
        <w:tc>
          <w:tcPr>
            <w:tcW w:w="620" w:type="dxa"/>
            <w:vAlign w:val="bottom"/>
            <w:shd w:val="clear" w:color="auto" w:fill="E5FFFF"/>
          </w:tcPr>
          <w:p>
            <w:pPr>
              <w:spacing w:after="0"/>
              <w:rPr>
                <w:sz w:val="19"/>
                <w:szCs w:val="19"/>
                <w:color w:val="auto"/>
              </w:rPr>
            </w:pPr>
          </w:p>
        </w:tc>
        <w:tc>
          <w:tcPr>
            <w:tcW w:w="560" w:type="dxa"/>
            <w:vAlign w:val="bottom"/>
            <w:gridSpan w:val="3"/>
            <w:shd w:val="clear" w:color="auto" w:fill="E5FFFF"/>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E5FFFF"/>
          </w:tcPr>
          <w:p>
            <w:pPr>
              <w:spacing w:after="0"/>
              <w:rPr>
                <w:sz w:val="19"/>
                <w:szCs w:val="19"/>
                <w:color w:val="auto"/>
              </w:rPr>
            </w:pPr>
          </w:p>
        </w:tc>
        <w:tc>
          <w:tcPr>
            <w:tcW w:w="6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(31,622</w:t>
            </w:r>
          </w:p>
        </w:tc>
        <w:tc>
          <w:tcPr>
            <w:tcW w:w="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4200" w:type="dxa"/>
            <w:vAlign w:val="bottom"/>
          </w:tcPr>
          <w:p>
            <w:pPr>
              <w:spacing w:after="0"/>
              <w:rPr>
                <w:sz w:val="20"/>
                <w:szCs w:val="20"/>
                <w:color w:val="auto"/>
              </w:rPr>
            </w:pPr>
            <w:r>
              <w:rPr>
                <w:rFonts w:ascii="Times New Roman" w:cs="Times New Roman" w:eastAsia="Times New Roman" w:hAnsi="Times New Roman"/>
                <w:sz w:val="16"/>
                <w:szCs w:val="16"/>
                <w:color w:val="auto"/>
              </w:rPr>
              <w:t>Payment for CCS termination</w:t>
            </w:r>
          </w:p>
        </w:tc>
        <w:tc>
          <w:tcPr>
            <w:tcW w:w="100" w:type="dxa"/>
            <w:vAlign w:val="bottom"/>
          </w:tcPr>
          <w:p>
            <w:pPr>
              <w:spacing w:after="0"/>
              <w:rPr>
                <w:sz w:val="18"/>
                <w:szCs w:val="18"/>
                <w:color w:val="auto"/>
              </w:rPr>
            </w:pPr>
          </w:p>
        </w:tc>
        <w:tc>
          <w:tcPr>
            <w:tcW w:w="1360" w:type="dxa"/>
            <w:vAlign w:val="bottom"/>
            <w:gridSpan w:val="2"/>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color w:val="auto"/>
              </w:rPr>
              <w:t>4,051</w:t>
            </w:r>
          </w:p>
        </w:tc>
        <w:tc>
          <w:tcPr>
            <w:tcW w:w="3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gridSpan w:val="3"/>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560" w:type="dxa"/>
            <w:vAlign w:val="bottom"/>
            <w:gridSpan w:val="3"/>
          </w:tcPr>
          <w:p>
            <w:pPr>
              <w:jc w:val="right"/>
              <w:ind w:right="240"/>
              <w:spacing w:after="0"/>
              <w:rPr>
                <w:sz w:val="20"/>
                <w:szCs w:val="20"/>
                <w:color w:val="auto"/>
              </w:rPr>
            </w:pPr>
            <w:r>
              <w:rPr>
                <w:rFonts w:ascii="Times New Roman" w:cs="Times New Roman" w:eastAsia="Times New Roman" w:hAnsi="Times New Roman"/>
                <w:sz w:val="16"/>
                <w:szCs w:val="16"/>
                <w:color w:val="auto"/>
              </w:rPr>
              <w:t>(4,051)</w:t>
            </w: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Effective portion of changes in the fair value of derivatives</w:t>
            </w:r>
          </w:p>
        </w:tc>
        <w:tc>
          <w:tcPr>
            <w:tcW w:w="100" w:type="dxa"/>
            <w:vAlign w:val="bottom"/>
            <w:shd w:val="clear" w:color="auto" w:fill="E5FFFF"/>
          </w:tcPr>
          <w:p>
            <w:pPr>
              <w:spacing w:after="0"/>
              <w:rPr>
                <w:sz w:val="16"/>
                <w:szCs w:val="16"/>
                <w:color w:val="auto"/>
              </w:rPr>
            </w:pPr>
          </w:p>
        </w:tc>
        <w:tc>
          <w:tcPr>
            <w:tcW w:w="124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780" w:type="dxa"/>
            <w:vAlign w:val="bottom"/>
            <w:shd w:val="clear" w:color="auto" w:fill="E5FFFF"/>
          </w:tcPr>
          <w:p>
            <w:pPr>
              <w:spacing w:after="0"/>
              <w:rPr>
                <w:sz w:val="16"/>
                <w:szCs w:val="16"/>
                <w:color w:val="auto"/>
              </w:rPr>
            </w:pPr>
          </w:p>
        </w:tc>
        <w:tc>
          <w:tcPr>
            <w:tcW w:w="140" w:type="dxa"/>
            <w:vAlign w:val="bottom"/>
            <w:shd w:val="clear" w:color="auto" w:fill="E5FFFF"/>
          </w:tcPr>
          <w:p>
            <w:pPr>
              <w:spacing w:after="0"/>
              <w:rPr>
                <w:sz w:val="16"/>
                <w:szCs w:val="16"/>
                <w:color w:val="auto"/>
              </w:rPr>
            </w:pPr>
          </w:p>
        </w:tc>
        <w:tc>
          <w:tcPr>
            <w:tcW w:w="360" w:type="dxa"/>
            <w:vAlign w:val="bottom"/>
            <w:shd w:val="clear" w:color="auto" w:fill="E5FFFF"/>
          </w:tcPr>
          <w:p>
            <w:pPr>
              <w:spacing w:after="0"/>
              <w:rPr>
                <w:sz w:val="16"/>
                <w:szCs w:val="16"/>
                <w:color w:val="auto"/>
              </w:rPr>
            </w:pPr>
          </w:p>
        </w:tc>
        <w:tc>
          <w:tcPr>
            <w:tcW w:w="6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120" w:type="dxa"/>
            <w:vAlign w:val="bottom"/>
            <w:shd w:val="clear" w:color="auto" w:fill="E5FFFF"/>
          </w:tcPr>
          <w:p>
            <w:pPr>
              <w:spacing w:after="0"/>
              <w:rPr>
                <w:sz w:val="16"/>
                <w:szCs w:val="16"/>
                <w:color w:val="auto"/>
              </w:rPr>
            </w:pPr>
          </w:p>
        </w:tc>
        <w:tc>
          <w:tcPr>
            <w:tcW w:w="220" w:type="dxa"/>
            <w:vAlign w:val="bottom"/>
            <w:shd w:val="clear" w:color="auto" w:fill="E5FFFF"/>
          </w:tcPr>
          <w:p>
            <w:pPr>
              <w:spacing w:after="0"/>
              <w:rPr>
                <w:sz w:val="16"/>
                <w:szCs w:val="16"/>
                <w:color w:val="auto"/>
              </w:rPr>
            </w:pPr>
          </w:p>
        </w:tc>
        <w:tc>
          <w:tcPr>
            <w:tcW w:w="900" w:type="dxa"/>
            <w:vAlign w:val="bottom"/>
            <w:shd w:val="clear" w:color="auto" w:fill="E5FFFF"/>
          </w:tcPr>
          <w:p>
            <w:pPr>
              <w:spacing w:after="0"/>
              <w:rPr>
                <w:sz w:val="16"/>
                <w:szCs w:val="16"/>
                <w:color w:val="auto"/>
              </w:rPr>
            </w:pPr>
          </w:p>
        </w:tc>
        <w:tc>
          <w:tcPr>
            <w:tcW w:w="340" w:type="dxa"/>
            <w:vAlign w:val="bottom"/>
            <w:tcBorders>
              <w:right w:val="single" w:sz="8" w:color="E5FFFF"/>
            </w:tcBorders>
            <w:shd w:val="clear" w:color="auto" w:fill="E5FFFF"/>
          </w:tcPr>
          <w:p>
            <w:pPr>
              <w:spacing w:after="0"/>
              <w:rPr>
                <w:sz w:val="16"/>
                <w:szCs w:val="16"/>
                <w:color w:val="auto"/>
              </w:rPr>
            </w:pPr>
          </w:p>
        </w:tc>
        <w:tc>
          <w:tcPr>
            <w:tcW w:w="320" w:type="dxa"/>
            <w:vAlign w:val="bottom"/>
            <w:shd w:val="clear" w:color="auto" w:fill="E5FFFF"/>
          </w:tcPr>
          <w:p>
            <w:pPr>
              <w:spacing w:after="0"/>
              <w:rPr>
                <w:sz w:val="16"/>
                <w:szCs w:val="16"/>
                <w:color w:val="auto"/>
              </w:rPr>
            </w:pPr>
          </w:p>
        </w:tc>
        <w:tc>
          <w:tcPr>
            <w:tcW w:w="1340" w:type="dxa"/>
            <w:vAlign w:val="bottom"/>
            <w:shd w:val="clear" w:color="auto" w:fill="E5FFFF"/>
          </w:tcPr>
          <w:p>
            <w:pPr>
              <w:spacing w:after="0"/>
              <w:rPr>
                <w:sz w:val="16"/>
                <w:szCs w:val="16"/>
                <w:color w:val="auto"/>
              </w:rPr>
            </w:pPr>
          </w:p>
        </w:tc>
        <w:tc>
          <w:tcPr>
            <w:tcW w:w="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6"/>
        </w:trPr>
        <w:tc>
          <w:tcPr>
            <w:tcW w:w="420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designated as cash flow hedging instruments</w:t>
            </w:r>
          </w:p>
        </w:tc>
        <w:tc>
          <w:tcPr>
            <w:tcW w:w="100" w:type="dxa"/>
            <w:vAlign w:val="bottom"/>
            <w:shd w:val="clear" w:color="auto" w:fill="E5FFFF"/>
          </w:tcPr>
          <w:p>
            <w:pPr>
              <w:spacing w:after="0"/>
              <w:rPr>
                <w:sz w:val="18"/>
                <w:szCs w:val="18"/>
                <w:color w:val="auto"/>
              </w:rPr>
            </w:pPr>
          </w:p>
        </w:tc>
        <w:tc>
          <w:tcPr>
            <w:tcW w:w="1360" w:type="dxa"/>
            <w:vAlign w:val="bottom"/>
            <w:gridSpan w:val="2"/>
            <w:shd w:val="clear" w:color="auto" w:fill="E5FF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E5FFFF"/>
          </w:tcPr>
          <w:p>
            <w:pPr>
              <w:spacing w:after="0"/>
              <w:rPr>
                <w:sz w:val="18"/>
                <w:szCs w:val="18"/>
                <w:color w:val="auto"/>
              </w:rPr>
            </w:pPr>
          </w:p>
        </w:tc>
        <w:tc>
          <w:tcPr>
            <w:tcW w:w="1280" w:type="dxa"/>
            <w:vAlign w:val="bottom"/>
            <w:gridSpan w:val="3"/>
            <w:shd w:val="clear" w:color="auto" w:fill="E5FFFF"/>
          </w:tcPr>
          <w:p>
            <w:pPr>
              <w:jc w:val="right"/>
              <w:ind w:right="419"/>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gridSpan w:val="4"/>
            <w:shd w:val="clear" w:color="auto" w:fill="E5FFFF"/>
          </w:tcPr>
          <w:p>
            <w:pPr>
              <w:jc w:val="right"/>
              <w:ind w:right="79"/>
              <w:spacing w:after="0"/>
              <w:rPr>
                <w:sz w:val="20"/>
                <w:szCs w:val="20"/>
                <w:color w:val="auto"/>
              </w:rPr>
            </w:pPr>
            <w:r>
              <w:rPr>
                <w:rFonts w:ascii="Times New Roman" w:cs="Times New Roman" w:eastAsia="Times New Roman" w:hAnsi="Times New Roman"/>
                <w:sz w:val="16"/>
                <w:szCs w:val="16"/>
                <w:color w:val="auto"/>
              </w:rPr>
              <w:t>(8,365)</w:t>
            </w:r>
          </w:p>
        </w:tc>
        <w:tc>
          <w:tcPr>
            <w:tcW w:w="900" w:type="dxa"/>
            <w:vAlign w:val="bottom"/>
            <w:shd w:val="clear" w:color="auto" w:fill="E5FFFF"/>
          </w:tcPr>
          <w:p>
            <w:pPr>
              <w:spacing w:after="0"/>
              <w:rPr>
                <w:sz w:val="18"/>
                <w:szCs w:val="18"/>
                <w:color w:val="auto"/>
              </w:rPr>
            </w:pPr>
          </w:p>
        </w:tc>
        <w:tc>
          <w:tcPr>
            <w:tcW w:w="660" w:type="dxa"/>
            <w:vAlign w:val="bottom"/>
            <w:gridSpan w:val="2"/>
            <w:shd w:val="clear" w:color="auto" w:fill="E5FFFF"/>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(8,365</w:t>
            </w:r>
          </w:p>
        </w:tc>
        <w:tc>
          <w:tcPr>
            <w:tcW w:w="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420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Net derivative liabilities as of September 30, 2020</w:t>
            </w:r>
          </w:p>
        </w:tc>
        <w:tc>
          <w:tcPr>
            <w:tcW w:w="13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(45,931</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(704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(8,365</w:t>
            </w:r>
          </w:p>
        </w:tc>
        <w:tc>
          <w:tcPr>
            <w:tcW w:w="220" w:type="dxa"/>
            <w:vAlign w:val="bottom"/>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24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(78,689</w:t>
            </w:r>
          </w:p>
        </w:tc>
        <w:tc>
          <w:tcPr>
            <w:tcW w:w="320" w:type="dxa"/>
            <w:vAlign w:val="bottom"/>
          </w:tcPr>
          <w:p>
            <w:pPr>
              <w:jc w:val="right"/>
              <w:ind w:right="240"/>
              <w:spacing w:after="0"/>
              <w:rPr>
                <w:sz w:val="20"/>
                <w:szCs w:val="20"/>
                <w:color w:val="auto"/>
              </w:rPr>
            </w:pPr>
            <w:r>
              <w:rPr>
                <w:rFonts w:ascii="Times New Roman" w:cs="Times New Roman" w:eastAsia="Times New Roman" w:hAnsi="Times New Roman"/>
                <w:sz w:val="8"/>
                <w:szCs w:val="8"/>
                <w:b w:val="1"/>
                <w:bCs w:val="1"/>
                <w:color w:val="auto"/>
                <w:w w:val="73"/>
              </w:rPr>
              <w:t>)</w:t>
            </w: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(133,689</w:t>
            </w:r>
          </w:p>
        </w:tc>
        <w:tc>
          <w:tcPr>
            <w:tcW w:w="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0" w:type="dxa"/>
            <w:vAlign w:val="bottom"/>
          </w:tcPr>
          <w:p>
            <w:pPr>
              <w:spacing w:after="0"/>
              <w:rPr>
                <w:sz w:val="1"/>
                <w:szCs w:val="1"/>
                <w:color w:val="auto"/>
              </w:rPr>
            </w:pPr>
          </w:p>
        </w:tc>
      </w:tr>
      <w:tr>
        <w:trPr>
          <w:trHeight w:val="27"/>
        </w:trPr>
        <w:tc>
          <w:tcPr>
            <w:tcW w:w="4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340" w:type="dxa"/>
            <w:vAlign w:val="bottom"/>
            <w:tcBorders>
              <w:right w:val="single" w:sz="8" w:color="auto"/>
            </w:tcBorders>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shd w:val="clear" w:color="auto" w:fill="000000"/>
          </w:tcPr>
          <w:p>
            <w:pPr>
              <w:spacing w:after="0"/>
              <w:rPr>
                <w:sz w:val="2"/>
                <w:szCs w:val="2"/>
                <w:color w:val="auto"/>
              </w:rPr>
            </w:pPr>
          </w:p>
        </w:tc>
        <w:tc>
          <w:tcPr>
            <w:tcW w:w="60" w:type="dxa"/>
            <w:vAlign w:val="bottom"/>
            <w:tcBorders>
              <w:left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18. Share-Based Compensation</w:t>
      </w:r>
    </w:p>
    <w:p>
      <w:pPr>
        <w:spacing w:after="0" w:line="237" w:lineRule="exact"/>
        <w:rPr>
          <w:sz w:val="20"/>
          <w:szCs w:val="20"/>
          <w:color w:val="auto"/>
        </w:rPr>
      </w:pPr>
    </w:p>
    <w:p>
      <w:pPr>
        <w:ind w:right="200" w:firstLine="324"/>
        <w:spacing w:after="0" w:line="275" w:lineRule="auto"/>
        <w:rPr>
          <w:sz w:val="20"/>
          <w:szCs w:val="20"/>
          <w:color w:val="auto"/>
        </w:rPr>
      </w:pPr>
      <w:r>
        <w:rPr>
          <w:rFonts w:ascii="Times New Roman" w:cs="Times New Roman" w:eastAsia="Times New Roman" w:hAnsi="Times New Roman"/>
          <w:sz w:val="16"/>
          <w:szCs w:val="16"/>
          <w:color w:val="auto"/>
        </w:rPr>
        <w:t>The terms of the 2013 Omnibus Incentive Compensation Plan (the “Plan”) and the assumptions for the valuation of Restricted Stock Units (“RSUs”) and Stock Appreciation Rights or Stock Options (collectively the “SARs”) and the terms of the GasLog Partners’ 2015 Long-Term Incentive Plan (the “GasLog Partners’ Plan”) and the assumptions for the valuation of Restricted Common Units (“RCUs”) and Performance Common Units (“PCUs”) have been disclosed in Note 22 “Share-Based Compensation” in the annual audited consolidated financial statements for the year ended December 31, 2019.</w:t>
      </w:r>
    </w:p>
    <w:p>
      <w:pPr>
        <w:spacing w:after="0" w:line="183" w:lineRule="exact"/>
        <w:rPr>
          <w:sz w:val="20"/>
          <w:szCs w:val="20"/>
          <w:color w:val="auto"/>
        </w:rPr>
      </w:pPr>
    </w:p>
    <w:p>
      <w:pPr>
        <w:ind w:firstLine="324"/>
        <w:spacing w:after="0" w:line="266" w:lineRule="auto"/>
        <w:rPr>
          <w:sz w:val="20"/>
          <w:szCs w:val="20"/>
          <w:color w:val="auto"/>
        </w:rPr>
      </w:pPr>
      <w:r>
        <w:rPr>
          <w:rFonts w:ascii="Times New Roman" w:cs="Times New Roman" w:eastAsia="Times New Roman" w:hAnsi="Times New Roman"/>
          <w:sz w:val="16"/>
          <w:szCs w:val="16"/>
          <w:color w:val="auto"/>
        </w:rPr>
        <w:t>On April 1, 2020, GasLog granted to executives, managers and certain employees of the Group 496,742 RSUs and 496,742 Performance Stock Units (“PSUs”) in accordance with the Plan. The RSUs will vest incrementally with one third of the RSUs vesting on each of April 1, 2021, 2022 and 2023 and the PSUs will vest on April 1, 2023. Vesting of the PSUs is also subject to the achievement of certain performance targets in relation to the total shareholder return (“TSR”) achieved by the Company during the performance period weighted at 50%, the operating expenses reduction (“Opex reduction”) weighted at 25% and the general and administrative expense reduction</w:t>
      </w:r>
    </w:p>
    <w:p>
      <w:pPr>
        <w:spacing w:after="0" w:line="2" w:lineRule="exact"/>
        <w:rPr>
          <w:sz w:val="20"/>
          <w:szCs w:val="20"/>
          <w:color w:val="auto"/>
        </w:rPr>
      </w:pPr>
    </w:p>
    <w:p>
      <w:pPr>
        <w:ind w:right="200"/>
        <w:spacing w:after="0" w:line="197" w:lineRule="auto"/>
        <w:rPr>
          <w:sz w:val="20"/>
          <w:szCs w:val="20"/>
          <w:color w:val="auto"/>
        </w:rPr>
      </w:pPr>
      <w:r>
        <w:rPr>
          <w:rFonts w:ascii="Times New Roman" w:cs="Times New Roman" w:eastAsia="Times New Roman" w:hAnsi="Times New Roman"/>
          <w:sz w:val="16"/>
          <w:szCs w:val="16"/>
          <w:color w:val="auto"/>
        </w:rPr>
        <w:t>(“G&amp;A reduction”) weighted at 25%. Specifically, TSR is benchmarked against the TSR of a selected group of peer companies. TSR above the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of the peer group results in 100% of the award vesting; TSR between 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and 75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of the peer group results in the achieved percentile of award vesting and TSR below</w:t>
      </w:r>
    </w:p>
    <w:p>
      <w:pPr>
        <w:spacing w:after="0" w:line="2" w:lineRule="exact"/>
        <w:rPr>
          <w:sz w:val="20"/>
          <w:szCs w:val="20"/>
          <w:color w:val="auto"/>
        </w:rPr>
      </w:pPr>
    </w:p>
    <w:p>
      <w:pPr>
        <w:ind w:right="80"/>
        <w:spacing w:after="0" w:line="246" w:lineRule="auto"/>
        <w:rPr>
          <w:sz w:val="20"/>
          <w:szCs w:val="20"/>
          <w:color w:val="auto"/>
        </w:rPr>
      </w:pPr>
      <w:r>
        <w:rPr>
          <w:rFonts w:ascii="Times New Roman" w:cs="Times New Roman" w:eastAsia="Times New Roman" w:hAnsi="Times New Roman"/>
          <w:sz w:val="16"/>
          <w:szCs w:val="16"/>
          <w:color w:val="auto"/>
        </w:rPr>
        <w:t>the 25</w:t>
      </w:r>
      <w:r>
        <w:rPr>
          <w:rFonts w:ascii="Times New Roman" w:cs="Times New Roman" w:eastAsia="Times New Roman" w:hAnsi="Times New Roman"/>
          <w:sz w:val="26"/>
          <w:szCs w:val="26"/>
          <w:color w:val="auto"/>
          <w:vertAlign w:val="superscript"/>
        </w:rPr>
        <w:t>th</w:t>
      </w:r>
      <w:r>
        <w:rPr>
          <w:rFonts w:ascii="Times New Roman" w:cs="Times New Roman" w:eastAsia="Times New Roman" w:hAnsi="Times New Roman"/>
          <w:sz w:val="16"/>
          <w:szCs w:val="16"/>
          <w:color w:val="auto"/>
        </w:rPr>
        <w:t xml:space="preserve"> percentile of the peer group results in none of the award vesting. In addition, achieving more than 100%, 95%-100%, 90%-94% and 85%-89% of the three-year target Opex reduction results in 100% plus 1 point for each point in excess of target, 100%, 75% and 50% of award vesting, respectively while achieving less than 85% of target cost reduction results in none of the award vesting. Finally, achieving more than 100%, 95%-100%, 90%-94% and 85%-89% of the target G&amp;A reduction results in 100% plus 1 point for each point in excess of target, 100%, 75% and 50% of award vesting, respectively while achieving less than 85% of target cost reduction, results in none of the award vesting. The compensation cost for the PSUs is recognized on an accelerated basis as though each separately vesting portion of PSUs is a separate award. The holders are entitled to cash distributions that will be accrued and settled on vesting.</w:t>
      </w:r>
    </w:p>
    <w:p>
      <w:pPr>
        <w:spacing w:after="0" w:line="207" w:lineRule="exact"/>
        <w:rPr>
          <w:sz w:val="20"/>
          <w:szCs w:val="20"/>
          <w:color w:val="auto"/>
        </w:rPr>
      </w:pPr>
    </w:p>
    <w:p>
      <w:pPr>
        <w:ind w:right="420" w:firstLine="324"/>
        <w:spacing w:after="0" w:line="298" w:lineRule="auto"/>
        <w:rPr>
          <w:sz w:val="20"/>
          <w:szCs w:val="20"/>
          <w:color w:val="auto"/>
        </w:rPr>
      </w:pPr>
      <w:r>
        <w:rPr>
          <w:rFonts w:ascii="Times New Roman" w:cs="Times New Roman" w:eastAsia="Times New Roman" w:hAnsi="Times New Roman"/>
          <w:sz w:val="16"/>
          <w:szCs w:val="16"/>
          <w:color w:val="auto"/>
        </w:rPr>
        <w:t>In accordance with the terms of the Plan, there are only service condition requirements. The awards will be settled in cash or in shares at the sole discretion of the compensation committee of the board of directors. These awards have been treated as equity settled because the Group has no present obligation to settle in cash.</w:t>
      </w: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6"/>
          <w:szCs w:val="16"/>
          <w:b w:val="1"/>
          <w:bCs w:val="1"/>
          <w:color w:val="auto"/>
        </w:rPr>
        <w:t>Fair value</w:t>
      </w:r>
    </w:p>
    <w:p>
      <w:pPr>
        <w:spacing w:after="0" w:line="237" w:lineRule="exact"/>
        <w:rPr>
          <w:sz w:val="20"/>
          <w:szCs w:val="20"/>
          <w:color w:val="auto"/>
        </w:rPr>
      </w:pPr>
    </w:p>
    <w:p>
      <w:pPr>
        <w:ind w:right="40" w:firstLine="324"/>
        <w:spacing w:after="0" w:line="298" w:lineRule="auto"/>
        <w:rPr>
          <w:sz w:val="20"/>
          <w:szCs w:val="20"/>
          <w:color w:val="auto"/>
        </w:rPr>
      </w:pPr>
      <w:r>
        <w:rPr>
          <w:rFonts w:ascii="Times New Roman" w:cs="Times New Roman" w:eastAsia="Times New Roman" w:hAnsi="Times New Roman"/>
          <w:sz w:val="16"/>
          <w:szCs w:val="16"/>
          <w:color w:val="auto"/>
        </w:rPr>
        <w:t>The fair value of the RSUs and PSUs was determined by using the grant date closing price of $3.51 per common unit and was not further adjusted since the holders are entitled to dividends.</w:t>
      </w:r>
    </w:p>
    <w:p>
      <w:pPr>
        <w:spacing w:after="0" w:line="164" w:lineRule="exact"/>
        <w:rPr>
          <w:sz w:val="20"/>
          <w:szCs w:val="20"/>
          <w:color w:val="auto"/>
        </w:rPr>
      </w:pPr>
    </w:p>
    <w:p>
      <w:pPr>
        <w:ind w:right="260" w:firstLine="324"/>
        <w:spacing w:after="0" w:line="298" w:lineRule="auto"/>
        <w:rPr>
          <w:sz w:val="20"/>
          <w:szCs w:val="20"/>
          <w:color w:val="auto"/>
        </w:rPr>
      </w:pPr>
      <w:r>
        <w:rPr>
          <w:rFonts w:ascii="Times New Roman" w:cs="Times New Roman" w:eastAsia="Times New Roman" w:hAnsi="Times New Roman"/>
          <w:sz w:val="16"/>
          <w:szCs w:val="16"/>
          <w:color w:val="auto"/>
        </w:rPr>
        <w:t>On April 1, 2020, GasLog Partners granted to its executives 233,688 RCUs and 233,688 PCUs in accordance with the GasLog Partners’ Plan. The RCUs and PCUs will vest on April 1, 2023. The holders are entitled to cash distributions that will be accrued and settled on vesting.</w:t>
      </w:r>
    </w:p>
    <w:p>
      <w:pPr>
        <w:spacing w:after="0" w:line="164" w:lineRule="exact"/>
        <w:rPr>
          <w:sz w:val="20"/>
          <w:szCs w:val="20"/>
          <w:color w:val="auto"/>
        </w:rPr>
      </w:pPr>
    </w:p>
    <w:p>
      <w:pPr>
        <w:ind w:right="80" w:firstLine="324"/>
        <w:spacing w:after="0" w:line="281" w:lineRule="auto"/>
        <w:rPr>
          <w:sz w:val="20"/>
          <w:szCs w:val="20"/>
          <w:color w:val="auto"/>
        </w:rPr>
      </w:pPr>
      <w:r>
        <w:rPr>
          <w:rFonts w:ascii="Times New Roman" w:cs="Times New Roman" w:eastAsia="Times New Roman" w:hAnsi="Times New Roman"/>
          <w:sz w:val="16"/>
          <w:szCs w:val="16"/>
          <w:color w:val="auto"/>
        </w:rPr>
        <w:t>In accordance with the terms of the GasLog Partners’ Plan, the awards will be settled in cash or in common units at the sole discretion of the board of directors or such committee as may be designated by the board to administer the GasLog Partners’ Plan. These awards have been treated as equity settled because the Partnership has no present obligation to settle them in cash.</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Fair value</w:t>
      </w:r>
    </w:p>
    <w:p>
      <w:pPr>
        <w:spacing w:after="0" w:line="237" w:lineRule="exact"/>
        <w:rPr>
          <w:sz w:val="20"/>
          <w:szCs w:val="20"/>
          <w:color w:val="auto"/>
        </w:rPr>
      </w:pPr>
    </w:p>
    <w:p>
      <w:pPr>
        <w:ind w:right="240" w:firstLine="324"/>
        <w:spacing w:after="0" w:line="298" w:lineRule="auto"/>
        <w:rPr>
          <w:sz w:val="20"/>
          <w:szCs w:val="20"/>
          <w:color w:val="auto"/>
        </w:rPr>
      </w:pPr>
      <w:r>
        <w:rPr>
          <w:rFonts w:ascii="Times New Roman" w:cs="Times New Roman" w:eastAsia="Times New Roman" w:hAnsi="Times New Roman"/>
          <w:sz w:val="16"/>
          <w:szCs w:val="16"/>
          <w:color w:val="auto"/>
        </w:rPr>
        <w:t>The fair value of the RCUs and PCUs in accordance with the GasLog Partners’ Plan was determined by using the grant date closing price of $2.02 per common unit and was not further adjusted since the holders are entitled to cash distributions.</w:t>
      </w:r>
    </w:p>
    <w:p>
      <w:pPr>
        <w:spacing w:after="0" w:line="164" w:lineRule="exact"/>
        <w:rPr>
          <w:sz w:val="20"/>
          <w:szCs w:val="20"/>
          <w:color w:val="auto"/>
        </w:rPr>
      </w:pPr>
    </w:p>
    <w:p>
      <w:pPr>
        <w:ind w:firstLine="324"/>
        <w:spacing w:after="0" w:line="298" w:lineRule="auto"/>
        <w:rPr>
          <w:sz w:val="20"/>
          <w:szCs w:val="20"/>
          <w:color w:val="auto"/>
        </w:rPr>
      </w:pPr>
      <w:r>
        <w:rPr>
          <w:rFonts w:ascii="Times New Roman" w:cs="Times New Roman" w:eastAsia="Times New Roman" w:hAnsi="Times New Roman"/>
          <w:sz w:val="16"/>
          <w:szCs w:val="16"/>
          <w:color w:val="auto"/>
        </w:rPr>
        <w:t>The total expense recognized in respect of share-based compensation for the three and nine months ended September 30, 2020 was $1,991 and $4,983 (for the three and nine months ended September 30, 2019: $1,141 and $3,728). The total accrued cash distribution as of September 30, 2020 is $763 (December 31, 2019: $1,176).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19. Earnings/(losses) per Share (“EPS”)</w:t>
      </w:r>
    </w:p>
    <w:p>
      <w:pPr>
        <w:spacing w:after="0" w:line="237" w:lineRule="exact"/>
        <w:rPr>
          <w:sz w:val="20"/>
          <w:szCs w:val="20"/>
          <w:color w:val="auto"/>
        </w:rPr>
      </w:pPr>
    </w:p>
    <w:p>
      <w:pPr>
        <w:ind w:right="20" w:firstLine="324"/>
        <w:spacing w:after="0" w:line="298" w:lineRule="auto"/>
        <w:rPr>
          <w:sz w:val="20"/>
          <w:szCs w:val="20"/>
          <w:color w:val="auto"/>
        </w:rPr>
      </w:pPr>
      <w:r>
        <w:rPr>
          <w:rFonts w:ascii="Times New Roman" w:cs="Times New Roman" w:eastAsia="Times New Roman" w:hAnsi="Times New Roman"/>
          <w:sz w:val="16"/>
          <w:szCs w:val="16"/>
          <w:color w:val="auto"/>
        </w:rPr>
        <w:t>Basic earnings/(losses) per share was calculated by dividing the net profit/(loss) for the period attributable to the owners of the common shares by the weighted average number of common shares issued and outstanding during the period.</w:t>
      </w:r>
    </w:p>
    <w:p>
      <w:pPr>
        <w:spacing w:after="0" w:line="164" w:lineRule="exact"/>
        <w:rPr>
          <w:sz w:val="20"/>
          <w:szCs w:val="20"/>
          <w:color w:val="auto"/>
        </w:rPr>
      </w:pPr>
    </w:p>
    <w:p>
      <w:pPr>
        <w:ind w:right="300" w:firstLine="324"/>
        <w:spacing w:after="0" w:line="298" w:lineRule="auto"/>
        <w:rPr>
          <w:sz w:val="20"/>
          <w:szCs w:val="20"/>
          <w:color w:val="auto"/>
        </w:rPr>
      </w:pPr>
      <w:r>
        <w:rPr>
          <w:rFonts w:ascii="Times New Roman" w:cs="Times New Roman" w:eastAsia="Times New Roman" w:hAnsi="Times New Roman"/>
          <w:sz w:val="16"/>
          <w:szCs w:val="16"/>
          <w:color w:val="auto"/>
        </w:rPr>
        <w:t>Diluted earnings per share is calculated by dividing the profit for the period attributable to the owners of the Group by the weighted average number of all potential ordinary shares assumed to have been converted into common shares, unless such potential ordinary shares have an antidilutive effect.</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2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The following reflects the earnings/(losses) and share data used in the basic and diluted earnings per share computations:</w:t>
            </w:r>
          </w:p>
        </w:tc>
        <w:tc>
          <w:tcPr>
            <w:tcW w:w="12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22"/>
        </w:trPr>
        <w:tc>
          <w:tcPr>
            <w:tcW w:w="8220" w:type="dxa"/>
            <w:vAlign w:val="bottom"/>
          </w:tcPr>
          <w:p>
            <w:pPr>
              <w:spacing w:after="0"/>
              <w:rPr>
                <w:sz w:val="24"/>
                <w:szCs w:val="24"/>
                <w:color w:val="auto"/>
              </w:rPr>
            </w:pPr>
          </w:p>
        </w:tc>
        <w:tc>
          <w:tcPr>
            <w:tcW w:w="2960" w:type="dxa"/>
            <w:vAlign w:val="bottom"/>
            <w:gridSpan w:val="4"/>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For the three months ended</w:t>
            </w:r>
          </w:p>
        </w:tc>
      </w:tr>
      <w:tr>
        <w:trPr>
          <w:trHeight w:val="203"/>
        </w:trPr>
        <w:tc>
          <w:tcPr>
            <w:tcW w:w="82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82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Pr>
          <w:p>
            <w:pPr>
              <w:spacing w:after="0"/>
              <w:rPr>
                <w:sz w:val="18"/>
                <w:szCs w:val="18"/>
                <w:color w:val="auto"/>
              </w:rPr>
            </w:pPr>
          </w:p>
        </w:tc>
      </w:tr>
      <w:tr>
        <w:trPr>
          <w:trHeight w:val="213"/>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Basic and diluted loss per share</w:t>
            </w:r>
          </w:p>
        </w:tc>
        <w:tc>
          <w:tcPr>
            <w:tcW w:w="12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(13,545)</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w:t>
            </w:r>
          </w:p>
        </w:tc>
        <w:tc>
          <w:tcPr>
            <w:tcW w:w="40" w:type="dxa"/>
            <w:vAlign w:val="bottom"/>
          </w:tcPr>
          <w:p>
            <w:pPr>
              <w:spacing w:after="0"/>
              <w:rPr>
                <w:sz w:val="18"/>
                <w:szCs w:val="18"/>
                <w:color w:val="auto"/>
              </w:rPr>
            </w:pPr>
          </w:p>
        </w:tc>
      </w:tr>
      <w:tr>
        <w:trPr>
          <w:trHeight w:val="21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Plus:</w:t>
            </w:r>
          </w:p>
        </w:tc>
        <w:tc>
          <w:tcPr>
            <w:tcW w:w="126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Dividend on preference shares</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(2,516)</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(2,516)</w:t>
            </w:r>
          </w:p>
        </w:tc>
        <w:tc>
          <w:tcPr>
            <w:tcW w:w="40" w:type="dxa"/>
            <w:vAlign w:val="bottom"/>
          </w:tcPr>
          <w:p>
            <w:pPr>
              <w:spacing w:after="0"/>
              <w:rPr>
                <w:sz w:val="18"/>
                <w:szCs w:val="18"/>
                <w:color w:val="auto"/>
              </w:rPr>
            </w:pPr>
          </w:p>
        </w:tc>
      </w:tr>
      <w:tr>
        <w:trPr>
          <w:trHeight w:val="202"/>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(16,061)</w:t>
            </w:r>
          </w:p>
        </w:tc>
        <w:tc>
          <w:tcPr>
            <w:tcW w:w="4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40" w:type="dxa"/>
            <w:vAlign w:val="bottom"/>
          </w:tcPr>
          <w:p>
            <w:pPr>
              <w:spacing w:after="0"/>
              <w:rPr>
                <w:sz w:val="17"/>
                <w:szCs w:val="17"/>
                <w:color w:val="auto"/>
              </w:rPr>
            </w:pPr>
          </w:p>
        </w:tc>
      </w:tr>
      <w:tr>
        <w:trPr>
          <w:trHeight w:val="19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basic and diluted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80,861,350</w:t>
            </w:r>
          </w:p>
        </w:tc>
        <w:tc>
          <w:tcPr>
            <w:tcW w:w="4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95,157,140</w:t>
            </w:r>
          </w:p>
        </w:tc>
        <w:tc>
          <w:tcPr>
            <w:tcW w:w="40" w:type="dxa"/>
            <w:vAlign w:val="bottom"/>
          </w:tcPr>
          <w:p>
            <w:pPr>
              <w:spacing w:after="0"/>
              <w:rPr>
                <w:sz w:val="17"/>
                <w:szCs w:val="17"/>
                <w:color w:val="auto"/>
              </w:rPr>
            </w:pPr>
          </w:p>
        </w:tc>
      </w:tr>
      <w:tr>
        <w:trPr>
          <w:trHeight w:val="19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(0.20)</w:t>
            </w:r>
          </w:p>
        </w:tc>
        <w:tc>
          <w:tcPr>
            <w:tcW w:w="4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(0.03)</w:t>
            </w:r>
          </w:p>
        </w:tc>
      </w:tr>
      <w:tr>
        <w:trPr>
          <w:trHeight w:val="20"/>
        </w:trPr>
        <w:tc>
          <w:tcPr>
            <w:tcW w:w="8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0"/>
        </w:trPr>
        <w:tc>
          <w:tcPr>
            <w:tcW w:w="8220" w:type="dxa"/>
            <w:vAlign w:val="bottom"/>
          </w:tcPr>
          <w:p>
            <w:pPr>
              <w:spacing w:after="0"/>
              <w:rPr>
                <w:sz w:val="24"/>
                <w:szCs w:val="24"/>
                <w:color w:val="auto"/>
              </w:rPr>
            </w:pPr>
          </w:p>
        </w:tc>
        <w:tc>
          <w:tcPr>
            <w:tcW w:w="2960" w:type="dxa"/>
            <w:vAlign w:val="bottom"/>
            <w:gridSpan w:val="4"/>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r>
      <w:tr>
        <w:trPr>
          <w:trHeight w:val="203"/>
        </w:trPr>
        <w:tc>
          <w:tcPr>
            <w:tcW w:w="8220" w:type="dxa"/>
            <w:vAlign w:val="bottom"/>
          </w:tcPr>
          <w:p>
            <w:pPr>
              <w:spacing w:after="0"/>
              <w:rPr>
                <w:sz w:val="17"/>
                <w:szCs w:val="17"/>
                <w:color w:val="auto"/>
              </w:rPr>
            </w:pPr>
          </w:p>
        </w:tc>
        <w:tc>
          <w:tcPr>
            <w:tcW w:w="1680" w:type="dxa"/>
            <w:vAlign w:val="bottom"/>
            <w:gridSpan w:val="2"/>
          </w:tcPr>
          <w:p>
            <w:pPr>
              <w:jc w:val="center"/>
              <w:ind w:right="4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80" w:type="dxa"/>
            <w:vAlign w:val="bottom"/>
            <w:gridSpan w:val="2"/>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rPr>
              <w:t>September 30,</w:t>
            </w:r>
          </w:p>
        </w:tc>
      </w:tr>
      <w:tr>
        <w:trPr>
          <w:trHeight w:val="215"/>
        </w:trPr>
        <w:tc>
          <w:tcPr>
            <w:tcW w:w="8220" w:type="dxa"/>
            <w:vAlign w:val="bottom"/>
            <w:tcBorders>
              <w:bottom w:val="single" w:sz="8" w:color="E5FFFF"/>
            </w:tcBorders>
          </w:tcPr>
          <w:p>
            <w:pPr>
              <w:spacing w:after="0"/>
              <w:rPr>
                <w:sz w:val="18"/>
                <w:szCs w:val="18"/>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bottom w:val="single" w:sz="8" w:color="E5FFFF"/>
            </w:tcBorders>
          </w:tcPr>
          <w:p>
            <w:pPr>
              <w:spacing w:after="0"/>
              <w:rPr>
                <w:sz w:val="18"/>
                <w:szCs w:val="18"/>
                <w:color w:val="auto"/>
              </w:rPr>
            </w:pPr>
          </w:p>
        </w:tc>
        <w:tc>
          <w:tcPr>
            <w:tcW w:w="1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40" w:type="dxa"/>
            <w:vAlign w:val="bottom"/>
          </w:tcPr>
          <w:p>
            <w:pPr>
              <w:spacing w:after="0"/>
              <w:rPr>
                <w:sz w:val="18"/>
                <w:szCs w:val="18"/>
                <w:color w:val="auto"/>
              </w:rPr>
            </w:pPr>
          </w:p>
        </w:tc>
      </w:tr>
      <w:tr>
        <w:trPr>
          <w:trHeight w:val="213"/>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Basic and diluted loss per share</w:t>
            </w:r>
          </w:p>
        </w:tc>
        <w:tc>
          <w:tcPr>
            <w:tcW w:w="1260" w:type="dxa"/>
            <w:vAlign w:val="bottom"/>
            <w:shd w:val="clear" w:color="auto" w:fill="E5FFFF"/>
          </w:tcPr>
          <w:p>
            <w:pPr>
              <w:spacing w:after="0"/>
              <w:rPr>
                <w:sz w:val="18"/>
                <w:szCs w:val="18"/>
                <w:color w:val="auto"/>
              </w:rPr>
            </w:pPr>
          </w:p>
        </w:tc>
        <w:tc>
          <w:tcPr>
            <w:tcW w:w="420" w:type="dxa"/>
            <w:vAlign w:val="bottom"/>
            <w:shd w:val="clear" w:color="auto" w:fill="E5FFFF"/>
          </w:tcPr>
          <w:p>
            <w:pPr>
              <w:spacing w:after="0"/>
              <w:rPr>
                <w:sz w:val="18"/>
                <w:szCs w:val="18"/>
                <w:color w:val="auto"/>
              </w:rPr>
            </w:pPr>
          </w:p>
        </w:tc>
        <w:tc>
          <w:tcPr>
            <w:tcW w:w="1240" w:type="dxa"/>
            <w:vAlign w:val="bottom"/>
            <w:shd w:val="clear" w:color="auto" w:fill="E5FFFF"/>
          </w:tcPr>
          <w:p>
            <w:pPr>
              <w:spacing w:after="0"/>
              <w:rPr>
                <w:sz w:val="18"/>
                <w:szCs w:val="18"/>
                <w:color w:val="auto"/>
              </w:rPr>
            </w:pPr>
          </w:p>
        </w:tc>
        <w:tc>
          <w:tcPr>
            <w:tcW w:w="40" w:type="dxa"/>
            <w:vAlign w:val="bottom"/>
          </w:tcPr>
          <w:p>
            <w:pPr>
              <w:spacing w:after="0"/>
              <w:rPr>
                <w:sz w:val="18"/>
                <w:szCs w:val="18"/>
                <w:color w:val="auto"/>
              </w:rPr>
            </w:pPr>
          </w:p>
        </w:tc>
      </w:tr>
      <w:tr>
        <w:trPr>
          <w:trHeight w:val="213"/>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(50,490)</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(73,181)</w:t>
            </w:r>
          </w:p>
        </w:tc>
        <w:tc>
          <w:tcPr>
            <w:tcW w:w="40" w:type="dxa"/>
            <w:vAlign w:val="bottom"/>
          </w:tcPr>
          <w:p>
            <w:pPr>
              <w:spacing w:after="0"/>
              <w:rPr>
                <w:sz w:val="18"/>
                <w:szCs w:val="18"/>
                <w:color w:val="auto"/>
              </w:rPr>
            </w:pPr>
          </w:p>
        </w:tc>
      </w:tr>
      <w:tr>
        <w:trPr>
          <w:trHeight w:val="219"/>
        </w:trPr>
        <w:tc>
          <w:tcPr>
            <w:tcW w:w="8220" w:type="dxa"/>
            <w:vAlign w:val="bottom"/>
            <w:shd w:val="clear" w:color="auto" w:fill="E5FFFF"/>
          </w:tcPr>
          <w:p>
            <w:pPr>
              <w:spacing w:after="0"/>
              <w:rPr>
                <w:sz w:val="20"/>
                <w:szCs w:val="20"/>
                <w:color w:val="auto"/>
              </w:rPr>
            </w:pPr>
            <w:r>
              <w:rPr>
                <w:rFonts w:ascii="Times New Roman" w:cs="Times New Roman" w:eastAsia="Times New Roman" w:hAnsi="Times New Roman"/>
                <w:sz w:val="16"/>
                <w:szCs w:val="16"/>
                <w:color w:val="auto"/>
              </w:rPr>
              <w:t>Plus:</w:t>
            </w:r>
          </w:p>
        </w:tc>
        <w:tc>
          <w:tcPr>
            <w:tcW w:w="1260" w:type="dxa"/>
            <w:vAlign w:val="bottom"/>
            <w:shd w:val="clear" w:color="auto" w:fill="E5FFFF"/>
          </w:tcPr>
          <w:p>
            <w:pPr>
              <w:spacing w:after="0"/>
              <w:rPr>
                <w:sz w:val="19"/>
                <w:szCs w:val="19"/>
                <w:color w:val="auto"/>
              </w:rPr>
            </w:pPr>
          </w:p>
        </w:tc>
        <w:tc>
          <w:tcPr>
            <w:tcW w:w="420" w:type="dxa"/>
            <w:vAlign w:val="bottom"/>
            <w:shd w:val="clear" w:color="auto" w:fill="E5FFFF"/>
          </w:tcPr>
          <w:p>
            <w:pPr>
              <w:spacing w:after="0"/>
              <w:rPr>
                <w:sz w:val="19"/>
                <w:szCs w:val="19"/>
                <w:color w:val="auto"/>
              </w:rPr>
            </w:pPr>
          </w:p>
        </w:tc>
        <w:tc>
          <w:tcPr>
            <w:tcW w:w="1240" w:type="dxa"/>
            <w:vAlign w:val="bottom"/>
            <w:shd w:val="clear" w:color="auto" w:fill="E5FFFF"/>
          </w:tcPr>
          <w:p>
            <w:pPr>
              <w:spacing w:after="0"/>
              <w:rPr>
                <w:sz w:val="19"/>
                <w:szCs w:val="19"/>
                <w:color w:val="auto"/>
              </w:rPr>
            </w:pPr>
          </w:p>
        </w:tc>
        <w:tc>
          <w:tcPr>
            <w:tcW w:w="40" w:type="dxa"/>
            <w:vAlign w:val="bottom"/>
          </w:tcPr>
          <w:p>
            <w:pPr>
              <w:spacing w:after="0"/>
              <w:rPr>
                <w:sz w:val="19"/>
                <w:szCs w:val="19"/>
                <w:color w:val="auto"/>
              </w:rPr>
            </w:pPr>
          </w:p>
        </w:tc>
      </w:tr>
      <w:tr>
        <w:trPr>
          <w:trHeight w:val="210"/>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Dividend on preference shares</w:t>
            </w:r>
          </w:p>
        </w:tc>
        <w:tc>
          <w:tcPr>
            <w:tcW w:w="1680" w:type="dxa"/>
            <w:vAlign w:val="bottom"/>
            <w:gridSpan w:val="2"/>
          </w:tcPr>
          <w:p>
            <w:pPr>
              <w:jc w:val="right"/>
              <w:ind w:right="380"/>
              <w:spacing w:after="0"/>
              <w:rPr>
                <w:sz w:val="20"/>
                <w:szCs w:val="20"/>
                <w:color w:val="auto"/>
              </w:rPr>
            </w:pPr>
            <w:r>
              <w:rPr>
                <w:rFonts w:ascii="Times New Roman" w:cs="Times New Roman" w:eastAsia="Times New Roman" w:hAnsi="Times New Roman"/>
                <w:sz w:val="16"/>
                <w:szCs w:val="16"/>
                <w:color w:val="auto"/>
              </w:rPr>
              <w:t>(7,547)</w:t>
            </w: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(7,547)</w:t>
            </w:r>
          </w:p>
        </w:tc>
        <w:tc>
          <w:tcPr>
            <w:tcW w:w="40" w:type="dxa"/>
            <w:vAlign w:val="bottom"/>
          </w:tcPr>
          <w:p>
            <w:pPr>
              <w:spacing w:after="0"/>
              <w:rPr>
                <w:sz w:val="18"/>
                <w:szCs w:val="18"/>
                <w:color w:val="auto"/>
              </w:rPr>
            </w:pPr>
          </w:p>
        </w:tc>
      </w:tr>
      <w:tr>
        <w:trPr>
          <w:trHeight w:val="202"/>
        </w:trPr>
        <w:tc>
          <w:tcPr>
            <w:tcW w:w="8220" w:type="dxa"/>
            <w:vAlign w:val="bottom"/>
            <w:tcBorders>
              <w:top w:val="single" w:sz="8" w:color="E5FFFF"/>
            </w:tcBorders>
            <w:shd w:val="clear" w:color="auto" w:fill="E5FFFF"/>
          </w:tcPr>
          <w:p>
            <w:pPr>
              <w:spacing w:after="0"/>
              <w:rPr>
                <w:sz w:val="20"/>
                <w:szCs w:val="20"/>
                <w:color w:val="auto"/>
              </w:rPr>
            </w:pPr>
            <w:r>
              <w:rPr>
                <w:rFonts w:ascii="Times New Roman" w:cs="Times New Roman" w:eastAsia="Times New Roman" w:hAnsi="Times New Roman"/>
                <w:sz w:val="16"/>
                <w:szCs w:val="16"/>
                <w:color w:val="auto"/>
              </w:rPr>
              <w:t>Loss for the period attributable to owners of the Group</w:t>
            </w:r>
          </w:p>
        </w:tc>
        <w:tc>
          <w:tcPr>
            <w:tcW w:w="126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(58,037)</w:t>
            </w:r>
          </w:p>
        </w:tc>
        <w:tc>
          <w:tcPr>
            <w:tcW w:w="420" w:type="dxa"/>
            <w:vAlign w:val="bottom"/>
            <w:tcBorders>
              <w:top w:val="single" w:sz="8" w:color="E5FFFF"/>
            </w:tcBorders>
            <w:shd w:val="clear" w:color="auto" w:fill="E5FFFF"/>
          </w:tcPr>
          <w:p>
            <w:pPr>
              <w:spacing w:after="0"/>
              <w:rPr>
                <w:sz w:val="17"/>
                <w:szCs w:val="17"/>
                <w:color w:val="auto"/>
              </w:rPr>
            </w:pPr>
          </w:p>
        </w:tc>
        <w:tc>
          <w:tcPr>
            <w:tcW w:w="1240" w:type="dxa"/>
            <w:vAlign w:val="bottom"/>
            <w:tcBorders>
              <w:top w:val="single" w:sz="8" w:color="auto"/>
              <w:bottom w:val="single" w:sz="8" w:color="auto"/>
            </w:tcBorders>
            <w:shd w:val="clear" w:color="auto" w:fill="E5FFFF"/>
          </w:tcPr>
          <w:p>
            <w:pPr>
              <w:jc w:val="right"/>
              <w:spacing w:after="0"/>
              <w:rPr>
                <w:sz w:val="20"/>
                <w:szCs w:val="20"/>
                <w:color w:val="auto"/>
              </w:rPr>
            </w:pPr>
            <w:r>
              <w:rPr>
                <w:rFonts w:ascii="Times New Roman" w:cs="Times New Roman" w:eastAsia="Times New Roman" w:hAnsi="Times New Roman"/>
                <w:sz w:val="16"/>
                <w:szCs w:val="16"/>
                <w:color w:val="auto"/>
              </w:rPr>
              <w:t>(80,728)</w:t>
            </w:r>
          </w:p>
        </w:tc>
        <w:tc>
          <w:tcPr>
            <w:tcW w:w="40" w:type="dxa"/>
            <w:vAlign w:val="bottom"/>
          </w:tcPr>
          <w:p>
            <w:pPr>
              <w:spacing w:after="0"/>
              <w:rPr>
                <w:sz w:val="17"/>
                <w:szCs w:val="17"/>
                <w:color w:val="auto"/>
              </w:rPr>
            </w:pPr>
          </w:p>
        </w:tc>
      </w:tr>
      <w:tr>
        <w:trPr>
          <w:trHeight w:val="196"/>
        </w:trPr>
        <w:tc>
          <w:tcPr>
            <w:tcW w:w="8220" w:type="dxa"/>
            <w:vAlign w:val="bottom"/>
          </w:tcPr>
          <w:p>
            <w:pPr>
              <w:spacing w:after="0"/>
              <w:rPr>
                <w:sz w:val="20"/>
                <w:szCs w:val="20"/>
                <w:color w:val="auto"/>
              </w:rPr>
            </w:pPr>
            <w:r>
              <w:rPr>
                <w:rFonts w:ascii="Times New Roman" w:cs="Times New Roman" w:eastAsia="Times New Roman" w:hAnsi="Times New Roman"/>
                <w:sz w:val="16"/>
                <w:szCs w:val="16"/>
                <w:color w:val="auto"/>
              </w:rPr>
              <w:t>Weighted average number of shares outstanding, basic and diluted</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80,844,836</w:t>
            </w:r>
          </w:p>
        </w:tc>
        <w:tc>
          <w:tcPr>
            <w:tcW w:w="420" w:type="dxa"/>
            <w:vAlign w:val="bottom"/>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85,605,475</w:t>
            </w:r>
          </w:p>
        </w:tc>
        <w:tc>
          <w:tcPr>
            <w:tcW w:w="40" w:type="dxa"/>
            <w:vAlign w:val="bottom"/>
          </w:tcPr>
          <w:p>
            <w:pPr>
              <w:spacing w:after="0"/>
              <w:rPr>
                <w:sz w:val="17"/>
                <w:szCs w:val="17"/>
                <w:color w:val="auto"/>
              </w:rPr>
            </w:pPr>
          </w:p>
        </w:tc>
      </w:tr>
      <w:tr>
        <w:trPr>
          <w:trHeight w:val="196"/>
        </w:trPr>
        <w:tc>
          <w:tcPr>
            <w:tcW w:w="82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Basic and diluted loss per share</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(0.72)</w:t>
            </w:r>
          </w:p>
        </w:tc>
        <w:tc>
          <w:tcPr>
            <w:tcW w:w="420" w:type="dxa"/>
            <w:vAlign w:val="bottom"/>
          </w:tcPr>
          <w:p>
            <w:pPr>
              <w:spacing w:after="0"/>
              <w:rPr>
                <w:sz w:val="17"/>
                <w:szCs w:val="17"/>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(0.94)</w:t>
            </w:r>
          </w:p>
        </w:tc>
      </w:tr>
      <w:tr>
        <w:trPr>
          <w:trHeight w:val="20"/>
        </w:trPr>
        <w:tc>
          <w:tcPr>
            <w:tcW w:w="82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-1653540</wp:posOffset>
            </wp:positionV>
            <wp:extent cx="706374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06374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06374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063740" cy="137160"/>
                    </a:xfrm>
                    <a:prstGeom prst="rect">
                      <a:avLst/>
                    </a:prstGeom>
                    <a:noFill/>
                  </pic:spPr>
                </pic:pic>
              </a:graphicData>
            </a:graphic>
          </wp:anchor>
        </w:drawing>
      </w:r>
    </w:p>
    <w:p>
      <w:pPr>
        <w:spacing w:after="0" w:line="182" w:lineRule="exact"/>
        <w:rPr>
          <w:sz w:val="20"/>
          <w:szCs w:val="20"/>
          <w:color w:val="auto"/>
        </w:rPr>
      </w:pPr>
    </w:p>
    <w:p>
      <w:pPr>
        <w:ind w:right="140" w:firstLine="324"/>
        <w:spacing w:after="0" w:line="281" w:lineRule="auto"/>
        <w:rPr>
          <w:sz w:val="20"/>
          <w:szCs w:val="20"/>
          <w:color w:val="auto"/>
        </w:rPr>
      </w:pPr>
      <w:r>
        <w:rPr>
          <w:rFonts w:ascii="Times New Roman" w:cs="Times New Roman" w:eastAsia="Times New Roman" w:hAnsi="Times New Roman"/>
          <w:sz w:val="16"/>
          <w:szCs w:val="16"/>
          <w:color w:val="auto"/>
        </w:rPr>
        <w:t>The Group excluded the dilutive effect of 2,611,762 Stock Appreciation Rights or Stock Options (collectively the “SARs”), 661,982 Restricted Stock Units (“RSUs”) and 496,742 Performance Stock Units (“PSUs”) (September 30, 2019: 2,667,830 SARs 374,274 RSUs and nil PSUs) in calculating diluted EPS for the three and nine months ended September 30, 2020, as they were anti-dilutive.</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20. Subsequent Events</w:t>
      </w:r>
    </w:p>
    <w:p>
      <w:pPr>
        <w:spacing w:after="0" w:line="235" w:lineRule="exact"/>
        <w:rPr>
          <w:sz w:val="20"/>
          <w:szCs w:val="20"/>
          <w:color w:val="auto"/>
        </w:rPr>
      </w:pPr>
    </w:p>
    <w:p>
      <w:pPr>
        <w:jc w:val="both"/>
        <w:ind w:right="40" w:firstLine="324"/>
        <w:spacing w:after="0" w:line="276" w:lineRule="auto"/>
        <w:rPr>
          <w:sz w:val="20"/>
          <w:szCs w:val="20"/>
          <w:color w:val="auto"/>
        </w:rPr>
      </w:pPr>
      <w:r>
        <w:rPr>
          <w:rFonts w:ascii="Times New Roman" w:cs="Times New Roman" w:eastAsia="Times New Roman" w:hAnsi="Times New Roman"/>
          <w:sz w:val="16"/>
          <w:szCs w:val="16"/>
          <w:color w:val="auto"/>
        </w:rPr>
        <w:t xml:space="preserve">On October 21, 2020, GasLog refinanced through a sale-and-leaseback transaction the </w:t>
      </w:r>
      <w:r>
        <w:rPr>
          <w:rFonts w:ascii="Times New Roman" w:cs="Times New Roman" w:eastAsia="Times New Roman" w:hAnsi="Times New Roman"/>
          <w:sz w:val="16"/>
          <w:szCs w:val="16"/>
          <w:i w:val="1"/>
          <w:iCs w:val="1"/>
          <w:color w:val="auto"/>
        </w:rPr>
        <w:t>GasLog Hong Kong,</w:t>
      </w:r>
      <w:r>
        <w:rPr>
          <w:rFonts w:ascii="Times New Roman" w:cs="Times New Roman" w:eastAsia="Times New Roman" w:hAnsi="Times New Roman"/>
          <w:sz w:val="16"/>
          <w:szCs w:val="16"/>
          <w:color w:val="auto"/>
        </w:rPr>
        <w:t xml:space="preserve"> a 174,000 cbm LNG carrier with dual fuel medium speed propulsion (“X-DF”) propulsion built in 2018. GasLog sold the vessel to an indirectly owned subsidiary of CMB Financial Leasing Co. Ltd., raising $163,406 and leased it back under a bareboat charter for a period of twelve years. The amount drawn was used to refinance the outstanding indebtedness of GAS-twenty five Ltd., in the amount of $137,022. Interest on the outstanding capital of the bareboat charter will be payable at a rate of USD LIBOR plus a margin.</w:t>
      </w:r>
    </w:p>
    <w:p>
      <w:pPr>
        <w:spacing w:after="0" w:line="38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7" w:right="359" w:bottom="1440" w:gutter="0" w:footer="0" w:header="0"/>
        </w:sectPr>
      </w:pPr>
    </w:p>
    <w:bookmarkStart w:id="46" w:name="page47"/>
    <w:bookmarkEnd w:id="46"/>
    <w:p>
      <w:pPr>
        <w:ind w:firstLine="324"/>
        <w:spacing w:after="0" w:line="298" w:lineRule="auto"/>
        <w:rPr>
          <w:sz w:val="20"/>
          <w:szCs w:val="20"/>
          <w:color w:val="auto"/>
        </w:rPr>
      </w:pPr>
      <w:r>
        <w:rPr>
          <w:rFonts w:ascii="Times New Roman" w:cs="Times New Roman" w:eastAsia="Times New Roman" w:hAnsi="Times New Roman"/>
          <w:sz w:val="16"/>
          <w:szCs w:val="16"/>
          <w:color w:val="auto"/>
        </w:rPr>
        <w:t>On November 9, 2020, the board of directors declared a quarterly cash dividend of $0.05 per common share payable on November 30, 2020 to shareholders of record as of November 20, 2020.</w:t>
      </w:r>
    </w:p>
    <w:p>
      <w:pPr>
        <w:spacing w:after="0" w:line="376"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060"/>
      </w:cols>
      <w:pgMar w:left="320" w:top="895"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
      <w:numFmt w:val="bullet"/>
      <w:start w:val="1"/>
    </w:lvl>
  </w:abstractNum>
  <w:abstractNum w:abstractNumId="1">
    <w:nsid w:val="1F16E9E8"/>
    <w:multiLevelType w:val="hybridMultilevel"/>
    <w:lvl w:ilvl="0">
      <w:lvlJc w:val="left"/>
      <w:lvlText w:val="(*)"/>
      <w:numFmt w:val="bullet"/>
      <w:start w:val="1"/>
    </w:lvl>
  </w:abstractNum>
  <w:abstractNum w:abstractNumId="2">
    <w:nsid w:val="1190CDE7"/>
    <w:multiLevelType w:val="hybridMultilevel"/>
    <w:lvl w:ilvl="0">
      <w:lvlJc w:val="left"/>
      <w:lvlText w:val="1"/>
      <w:numFmt w:val="bullet"/>
      <w:start w:val="1"/>
    </w:lvl>
  </w:abstractNum>
  <w:abstractNum w:abstractNumId="3">
    <w:nsid w:val="66EF438D"/>
    <w:multiLevelType w:val="hybridMultilevel"/>
    <w:lvl w:ilvl="0">
      <w:lvlJc w:val="left"/>
      <w:lvlText w:val="2"/>
      <w:numFmt w:val="bullet"/>
      <w:start w:val="1"/>
    </w:lvl>
  </w:abstractNum>
  <w:abstractNum w:abstractNumId="4">
    <w:nsid w:val="140E0F76"/>
    <w:multiLevelType w:val="hybridMultilevel"/>
    <w:lvl w:ilvl="0">
      <w:lvlJc w:val="left"/>
      <w:lvlText w:val="•"/>
      <w:numFmt w:val="bullet"/>
      <w:start w:val="1"/>
    </w:lvl>
  </w:abstractNum>
  <w:abstractNum w:abstractNumId="5">
    <w:nsid w:val="3352255A"/>
    <w:multiLevelType w:val="hybridMultilevel"/>
    <w:lvl w:ilvl="0">
      <w:lvlJc w:val="left"/>
      <w:lvlText w:val="•"/>
      <w:numFmt w:val="bullet"/>
      <w:start w:val="1"/>
    </w:lvl>
  </w:abstractNum>
  <w:abstractNum w:abstractNumId="6">
    <w:nsid w:val="109CF92E"/>
    <w:multiLevelType w:val="hybridMultilevel"/>
    <w:lvl w:ilvl="0">
      <w:lvlJc w:val="left"/>
      <w:lvlText w:val="(%1)"/>
      <w:numFmt w:val="lowerLetter"/>
      <w:start w:val="1"/>
    </w:lvl>
  </w:abstractNum>
  <w:abstractNum w:abstractNumId="7">
    <w:nsid w:val="DED7263"/>
    <w:multiLevelType w:val="hybridMultilevel"/>
    <w:lvl w:ilvl="0">
      <w:lvlJc w:val="left"/>
      <w:lvlText w:val="•"/>
      <w:numFmt w:val="bullet"/>
      <w:start w:val="1"/>
    </w:lvl>
  </w:abstractNum>
  <w:abstractNum w:abstractNumId="8">
    <w:nsid w:val="7FDCC233"/>
    <w:multiLevelType w:val="hybridMultilevel"/>
    <w:lvl w:ilvl="0">
      <w:lvlJc w:val="left"/>
      <w:lvlText w:val="•"/>
      <w:numFmt w:val="bullet"/>
      <w:start w:val="1"/>
    </w:lvl>
  </w:abstractNum>
  <w:abstractNum w:abstractNumId="9">
    <w:nsid w:val="1BEFD79F"/>
    <w:multiLevelType w:val="hybridMultilevel"/>
    <w:lvl w:ilvl="0">
      <w:lvlJc w:val="left"/>
      <w:lvlText w:val="·"/>
      <w:numFmt w:val="bullet"/>
      <w:start w:val="1"/>
    </w:lvl>
  </w:abstractNum>
  <w:abstractNum w:abstractNumId="10">
    <w:nsid w:val="41A7C4C9"/>
    <w:multiLevelType w:val="hybridMultilevel"/>
    <w:lvl w:ilvl="0">
      <w:lvlJc w:val="left"/>
      <w:lvlText w:val="·"/>
      <w:numFmt w:val="bullet"/>
      <w:start w:val="1"/>
    </w:lvl>
  </w:abstractNum>
  <w:abstractNum w:abstractNumId="11">
    <w:nsid w:val="6B68079A"/>
    <w:multiLevelType w:val="hybridMultilevel"/>
    <w:lvl w:ilvl="0">
      <w:lvlJc w:val="left"/>
      <w:lvlText w:val="·"/>
      <w:numFmt w:val="bullet"/>
      <w:start w:val="1"/>
    </w:lvl>
  </w:abstractNum>
  <w:abstractNum w:abstractNumId="12">
    <w:nsid w:val="4E6AFB66"/>
    <w:multiLevelType w:val="hybridMultilevel"/>
    <w:lvl w:ilvl="0">
      <w:lvlJc w:val="left"/>
      <w:lvlText w:val="(%1)"/>
      <w:numFmt w:val="decimal"/>
      <w:start w:val="1"/>
    </w:lvl>
  </w:abstractNum>
  <w:abstractNum w:abstractNumId="13">
    <w:nsid w:val="25E45D32"/>
    <w:multiLevelType w:val="hybridMultilevel"/>
    <w:lvl w:ilvl="0">
      <w:lvlJc w:val="left"/>
      <w:lvlText w:val="(%1)"/>
      <w:numFmt w:val="decimal"/>
      <w:start w:val="11"/>
    </w:lvl>
  </w:abstractNum>
  <w:abstractNum w:abstractNumId="14">
    <w:nsid w:val="519B500D"/>
    <w:multiLevelType w:val="hybridMultilevel"/>
    <w:lvl w:ilvl="0">
      <w:lvlJc w:val="left"/>
      <w:lvlText w:val="(%1)"/>
      <w:numFmt w:val="decimal"/>
      <w:start w:val="1"/>
    </w:lvl>
  </w:abstractNum>
  <w:abstractNum w:abstractNumId="15">
    <w:nsid w:val="431BD7B7"/>
    <w:multiLevelType w:val="hybridMultilevel"/>
    <w:lvl w:ilvl="0">
      <w:lvlJc w:val="left"/>
      <w:lvlText w:val="(%1)"/>
      <w:numFmt w:val="decimal"/>
      <w:start w:val="1"/>
    </w:lvl>
  </w:abstractNum>
  <w:abstractNum w:abstractNumId="16">
    <w:nsid w:val="3F2DBA31"/>
    <w:multiLevelType w:val="hybridMultilevel"/>
    <w:lvl w:ilvl="0">
      <w:lvlJc w:val="left"/>
      <w:lvlText w:val="-"/>
      <w:numFmt w:val="bullet"/>
      <w:start w:val="1"/>
    </w:lvl>
  </w:abstractNum>
  <w:abstractNum w:abstractNumId="17">
    <w:nsid w:val="7C83E458"/>
    <w:multiLevelType w:val="hybridMultilevel"/>
    <w:lvl w:ilvl="0">
      <w:lvlJc w:val="left"/>
      <w:lvlText w:val="-"/>
      <w:numFmt w:val="bullet"/>
      <w:start w:val="1"/>
    </w:lvl>
  </w:abstractNum>
  <w:abstractNum w:abstractNumId="18">
    <w:nsid w:val="257130A3"/>
    <w:multiLevelType w:val="hybridMultilevel"/>
    <w:lvl w:ilvl="0">
      <w:lvlJc w:val="left"/>
      <w:lvlText w:val="(%1)"/>
      <w:numFmt w:val="lowerLetter"/>
      <w:start w:val="2"/>
    </w:lvl>
  </w:abstractNum>
  <w:abstractNum w:abstractNumId="19">
    <w:nsid w:val="62BBD95A"/>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2020-11-10T05:47:13Z</dcterms:created>
  <dcterms:modified xsi:type="dcterms:W3CDTF">2020-11-10T05:47:13Z</dcterms:modified>
</cp:coreProperties>
</file>