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For the month of October 2016</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400" w:type="dxa"/>
            <w:vAlign w:val="bottom"/>
          </w:tcPr>
          <w:p>
            <w:pPr>
              <w:spacing w:after="0"/>
              <w:rPr>
                <w:sz w:val="24"/>
                <w:szCs w:val="24"/>
                <w:color w:val="auto"/>
              </w:rPr>
            </w:pPr>
          </w:p>
        </w:tc>
      </w:tr>
      <w:tr>
        <w:trPr>
          <w:trHeight w:val="418"/>
        </w:trPr>
        <w:tc>
          <w:tcPr>
            <w:tcW w:w="10020" w:type="dxa"/>
            <w:vAlign w:val="bottom"/>
          </w:tcPr>
          <w:p>
            <w:pPr>
              <w:jc w:val="center"/>
              <w:ind w:left="1330"/>
              <w:spacing w:after="0"/>
              <w:rPr>
                <w:sz w:val="20"/>
                <w:szCs w:val="20"/>
                <w:color w:val="auto"/>
              </w:rPr>
            </w:pPr>
            <w:r>
              <w:rPr>
                <w:rFonts w:ascii="Arial" w:cs="Arial" w:eastAsia="Arial" w:hAnsi="Arial"/>
                <w:sz w:val="18"/>
                <w:szCs w:val="18"/>
                <w:b w:val="1"/>
                <w:bCs w:val="1"/>
                <w:color w:val="auto"/>
                <w:w w:val="91"/>
              </w:rPr>
              <w:t>GasLog Ltd</w:t>
            </w:r>
          </w:p>
        </w:tc>
        <w:tc>
          <w:tcPr>
            <w:tcW w:w="1400" w:type="dxa"/>
            <w:vAlign w:val="bottom"/>
          </w:tcPr>
          <w:p>
            <w:pPr>
              <w:spacing w:after="0"/>
              <w:rPr>
                <w:sz w:val="24"/>
                <w:szCs w:val="24"/>
                <w:color w:val="auto"/>
              </w:rPr>
            </w:pPr>
          </w:p>
        </w:tc>
      </w:tr>
      <w:tr>
        <w:trPr>
          <w:trHeight w:val="230"/>
        </w:trPr>
        <w:tc>
          <w:tcPr>
            <w:tcW w:w="10020" w:type="dxa"/>
            <w:vAlign w:val="bottom"/>
          </w:tcPr>
          <w:p>
            <w:pPr>
              <w:jc w:val="center"/>
              <w:ind w:left="1330"/>
              <w:spacing w:after="0"/>
              <w:rPr>
                <w:sz w:val="20"/>
                <w:szCs w:val="20"/>
                <w:color w:val="auto"/>
              </w:rPr>
            </w:pPr>
            <w:r>
              <w:rPr>
                <w:rFonts w:ascii="Arial" w:cs="Arial" w:eastAsia="Arial" w:hAnsi="Arial"/>
                <w:sz w:val="18"/>
                <w:szCs w:val="18"/>
                <w:color w:val="auto"/>
                <w:w w:val="91"/>
              </w:rPr>
              <w:t>(Translation of registrant’s name into English)</w:t>
            </w:r>
          </w:p>
        </w:tc>
        <w:tc>
          <w:tcPr>
            <w:tcW w:w="1400" w:type="dxa"/>
            <w:vAlign w:val="bottom"/>
          </w:tcPr>
          <w:p>
            <w:pPr>
              <w:spacing w:after="0"/>
              <w:rPr>
                <w:sz w:val="20"/>
                <w:szCs w:val="20"/>
                <w:color w:val="auto"/>
              </w:rPr>
            </w:pPr>
          </w:p>
        </w:tc>
      </w:tr>
      <w:tr>
        <w:trPr>
          <w:trHeight w:val="418"/>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Gildo Pastor Center</w:t>
            </w:r>
          </w:p>
        </w:tc>
        <w:tc>
          <w:tcPr>
            <w:tcW w:w="1400" w:type="dxa"/>
            <w:vAlign w:val="bottom"/>
          </w:tcPr>
          <w:p>
            <w:pPr>
              <w:spacing w:after="0"/>
              <w:rPr>
                <w:sz w:val="24"/>
                <w:szCs w:val="24"/>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7 Rue du Gabian</w:t>
            </w:r>
          </w:p>
        </w:tc>
        <w:tc>
          <w:tcPr>
            <w:tcW w:w="1400" w:type="dxa"/>
            <w:vAlign w:val="bottom"/>
          </w:tcPr>
          <w:p>
            <w:pPr>
              <w:spacing w:after="0"/>
              <w:rPr>
                <w:sz w:val="18"/>
                <w:szCs w:val="18"/>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MC 98000, Monaco</w:t>
            </w:r>
          </w:p>
        </w:tc>
        <w:tc>
          <w:tcPr>
            <w:tcW w:w="1400" w:type="dxa"/>
            <w:vAlign w:val="bottom"/>
          </w:tcPr>
          <w:p>
            <w:pPr>
              <w:spacing w:after="0"/>
              <w:rPr>
                <w:sz w:val="18"/>
                <w:szCs w:val="18"/>
                <w:color w:val="auto"/>
              </w:rPr>
            </w:pPr>
          </w:p>
        </w:tc>
      </w:tr>
      <w:tr>
        <w:trPr>
          <w:trHeight w:val="230"/>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(Address of principal executive office)</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400" w:type="dxa"/>
            <w:vAlign w:val="bottom"/>
          </w:tcPr>
          <w:p>
            <w:pPr>
              <w:spacing w:after="0"/>
              <w:rPr>
                <w:sz w:val="24"/>
                <w:szCs w:val="24"/>
                <w:color w:val="auto"/>
              </w:rPr>
            </w:pPr>
          </w:p>
        </w:tc>
      </w:tr>
      <w:tr>
        <w:trPr>
          <w:trHeight w:val="452"/>
        </w:trPr>
        <w:tc>
          <w:tcPr>
            <w:tcW w:w="100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400" w:type="dxa"/>
            <w:vAlign w:val="bottom"/>
          </w:tcPr>
          <w:p>
            <w:pPr>
              <w:spacing w:after="0"/>
              <w:rPr>
                <w:sz w:val="24"/>
                <w:szCs w:val="24"/>
                <w:color w:val="auto"/>
              </w:rPr>
            </w:pPr>
          </w:p>
        </w:tc>
      </w:tr>
      <w:tr>
        <w:trPr>
          <w:trHeight w:val="41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709"/>
        </w:trPr>
        <w:tc>
          <w:tcPr>
            <w:tcW w:w="10020" w:type="dxa"/>
            <w:vAlign w:val="bottom"/>
            <w:tcBorders>
              <w:bottom w:val="single" w:sz="8" w:color="C0C0C0"/>
            </w:tcBorders>
          </w:tcPr>
          <w:p>
            <w:pPr>
              <w:spacing w:after="0"/>
              <w:rPr>
                <w:sz w:val="24"/>
                <w:szCs w:val="24"/>
                <w:color w:val="auto"/>
              </w:rPr>
            </w:pPr>
          </w:p>
        </w:tc>
        <w:tc>
          <w:tcPr>
            <w:tcW w:w="140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ind w:right="180" w:firstLine="376"/>
        <w:spacing w:after="0" w:line="293" w:lineRule="auto"/>
        <w:rPr>
          <w:sz w:val="20"/>
          <w:szCs w:val="20"/>
          <w:color w:val="auto"/>
        </w:rPr>
      </w:pPr>
      <w:r>
        <w:rPr>
          <w:rFonts w:ascii="Arial" w:cs="Arial" w:eastAsia="Arial" w:hAnsi="Arial"/>
          <w:sz w:val="16"/>
          <w:szCs w:val="16"/>
          <w:color w:val="auto"/>
        </w:rPr>
        <w:t>The press release issued by GasLog Ltd and GasLog Partners LP on October 27, 2016 announcing GasLog Partners LP’s Acquisition of GasLog Seattle from GasLog Ltd. for $189 Million attached hereto as Exhibit 99.1.</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INCORPORATION BY REFERENCE</w:t>
      </w:r>
    </w:p>
    <w:p>
      <w:pPr>
        <w:spacing w:after="0" w:line="221" w:lineRule="exact"/>
        <w:rPr>
          <w:sz w:val="20"/>
          <w:szCs w:val="20"/>
          <w:color w:val="auto"/>
        </w:rPr>
      </w:pPr>
    </w:p>
    <w:p>
      <w:pPr>
        <w:ind w:firstLine="376"/>
        <w:spacing w:after="0" w:line="271" w:lineRule="auto"/>
        <w:rPr>
          <w:sz w:val="20"/>
          <w:szCs w:val="20"/>
          <w:color w:val="auto"/>
        </w:rPr>
      </w:pPr>
      <w:r>
        <w:rPr>
          <w:rFonts w:ascii="Arial" w:cs="Arial" w:eastAsia="Arial" w:hAnsi="Arial"/>
          <w:sz w:val="16"/>
          <w:szCs w:val="16"/>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EXHIBIT LIST</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color w:val="auto"/>
        </w:rPr>
        <w:t>Exhibit</w:t>
      </w:r>
      <w:r>
        <w:rPr>
          <w:sz w:val="20"/>
          <w:szCs w:val="20"/>
          <w:color w:val="auto"/>
        </w:rPr>
        <w:tab/>
      </w:r>
      <w:r>
        <w:rPr>
          <w:rFonts w:ascii="Arial" w:cs="Arial" w:eastAsia="Arial" w:hAnsi="Arial"/>
          <w:sz w:val="16"/>
          <w:szCs w:val="16"/>
          <w:color w:val="auto"/>
        </w:rPr>
        <w:t>Description</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Press Release Dated October 27,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20"/>
          </w:cols>
          <w:pgMar w:left="240" w:top="83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color w:val="auto"/>
        </w:rPr>
        <w:t>SIGNATURES</w:t>
      </w:r>
    </w:p>
    <w:p>
      <w:pPr>
        <w:spacing w:after="0" w:line="221" w:lineRule="exact"/>
        <w:rPr>
          <w:sz w:val="20"/>
          <w:szCs w:val="20"/>
          <w:color w:val="auto"/>
        </w:rPr>
      </w:pPr>
    </w:p>
    <w:p>
      <w:pPr>
        <w:ind w:right="260" w:firstLine="37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October 27, 2016</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GASLOG LIMITED</w:t>
      </w:r>
    </w:p>
    <w:p>
      <w:pPr>
        <w:spacing w:after="0" w:line="248" w:lineRule="exact"/>
        <w:rPr>
          <w:sz w:val="20"/>
          <w:szCs w:val="20"/>
          <w:color w:val="auto"/>
        </w:rPr>
      </w:pPr>
    </w:p>
    <w:p>
      <w:pPr>
        <w:ind w:left="6540"/>
        <w:spacing w:after="0"/>
        <w:tabs>
          <w:tab w:leader="none" w:pos="6840" w:val="left"/>
        </w:tabs>
        <w:rPr>
          <w:sz w:val="20"/>
          <w:szCs w:val="20"/>
          <w:color w:val="auto"/>
        </w:rPr>
      </w:pPr>
      <w:r>
        <w:rPr>
          <w:rFonts w:ascii="Arial" w:cs="Arial" w:eastAsia="Arial" w:hAnsi="Arial"/>
          <w:sz w:val="16"/>
          <w:szCs w:val="16"/>
          <w:color w:val="auto"/>
        </w:rPr>
        <w:t>by</w:t>
        <w:tab/>
        <w:t>/s/ Paul A. Wogan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60" w:type="dxa"/>
            <w:vAlign w:val="bottom"/>
          </w:tcPr>
          <w:p>
            <w:pPr>
              <w:spacing w:after="0"/>
              <w:rPr>
                <w:sz w:val="17"/>
                <w:szCs w:val="17"/>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Name:</w:t>
            </w:r>
          </w:p>
        </w:tc>
        <w:tc>
          <w:tcPr>
            <w:tcW w:w="334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Paul A. Wogan</w:t>
            </w:r>
          </w:p>
        </w:tc>
        <w:tc>
          <w:tcPr>
            <w:tcW w:w="680" w:type="dxa"/>
            <w:vAlign w:val="bottom"/>
          </w:tcPr>
          <w:p>
            <w:pPr>
              <w:spacing w:after="0"/>
              <w:rPr>
                <w:sz w:val="17"/>
                <w:szCs w:val="17"/>
                <w:color w:val="auto"/>
              </w:rPr>
            </w:pPr>
          </w:p>
        </w:tc>
      </w:tr>
      <w:tr>
        <w:trPr>
          <w:trHeight w:val="206"/>
        </w:trPr>
        <w:tc>
          <w:tcPr>
            <w:tcW w:w="686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3340" w:type="dxa"/>
            <w:vAlign w:val="bottom"/>
          </w:tcPr>
          <w:p>
            <w:pPr>
              <w:ind w:left="100"/>
              <w:spacing w:after="0"/>
              <w:rPr>
                <w:sz w:val="20"/>
                <w:szCs w:val="20"/>
                <w:color w:val="auto"/>
              </w:rPr>
            </w:pPr>
            <w:r>
              <w:rPr>
                <w:rFonts w:ascii="Arial" w:cs="Arial" w:eastAsia="Arial" w:hAnsi="Arial"/>
                <w:sz w:val="16"/>
                <w:szCs w:val="16"/>
                <w:color w:val="auto"/>
              </w:rPr>
              <w:t>Chief Executive Officer</w:t>
            </w:r>
          </w:p>
        </w:tc>
        <w:tc>
          <w:tcPr>
            <w:tcW w:w="680" w:type="dxa"/>
            <w:vAlign w:val="bottom"/>
          </w:tcPr>
          <w:p>
            <w:pPr>
              <w:spacing w:after="0"/>
              <w:rPr>
                <w:sz w:val="17"/>
                <w:szCs w:val="17"/>
                <w:color w:val="auto"/>
              </w:rPr>
            </w:pPr>
          </w:p>
        </w:tc>
      </w:tr>
      <w:tr>
        <w:trPr>
          <w:trHeight w:val="486"/>
        </w:trPr>
        <w:tc>
          <w:tcPr>
            <w:tcW w:w="6860" w:type="dxa"/>
            <w:vAlign w:val="bottom"/>
            <w:tcBorders>
              <w:bottom w:val="single" w:sz="8" w:color="C0C0C0"/>
            </w:tcBorders>
          </w:tcPr>
          <w:p>
            <w:pPr>
              <w:spacing w:after="0"/>
              <w:rPr>
                <w:sz w:val="24"/>
                <w:szCs w:val="24"/>
                <w:color w:val="auto"/>
              </w:rPr>
            </w:pPr>
          </w:p>
        </w:tc>
        <w:tc>
          <w:tcPr>
            <w:tcW w:w="540" w:type="dxa"/>
            <w:vAlign w:val="bottom"/>
            <w:tcBorders>
              <w:bottom w:val="single" w:sz="8" w:color="C0C0C0"/>
            </w:tcBorders>
          </w:tcPr>
          <w:p>
            <w:pPr>
              <w:spacing w:after="0"/>
              <w:rPr>
                <w:sz w:val="24"/>
                <w:szCs w:val="24"/>
                <w:color w:val="auto"/>
              </w:rPr>
            </w:pPr>
          </w:p>
        </w:tc>
        <w:tc>
          <w:tcPr>
            <w:tcW w:w="3340" w:type="dxa"/>
            <w:vAlign w:val="bottom"/>
            <w:tcBorders>
              <w:bottom w:val="single" w:sz="8" w:color="C0C0C0"/>
            </w:tcBorders>
          </w:tcPr>
          <w:p>
            <w:pPr>
              <w:spacing w:after="0"/>
              <w:rPr>
                <w:sz w:val="24"/>
                <w:szCs w:val="24"/>
                <w:color w:val="auto"/>
              </w:rPr>
            </w:pPr>
          </w:p>
        </w:tc>
        <w:tc>
          <w:tcPr>
            <w:tcW w:w="6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100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GasLog Partners LP Announces Acquisition Of </w:t>
      </w:r>
      <w:r>
        <w:rPr>
          <w:rFonts w:ascii="Arial" w:cs="Arial" w:eastAsia="Arial" w:hAnsi="Arial"/>
          <w:sz w:val="18"/>
          <w:szCs w:val="18"/>
          <w:b w:val="1"/>
          <w:bCs w:val="1"/>
          <w:i w:val="1"/>
          <w:iCs w:val="1"/>
          <w:color w:val="auto"/>
        </w:rPr>
        <w:t>GasLog Seattle</w:t>
      </w:r>
      <w:r>
        <w:rPr>
          <w:rFonts w:ascii="Arial" w:cs="Arial" w:eastAsia="Arial" w:hAnsi="Arial"/>
          <w:sz w:val="18"/>
          <w:szCs w:val="18"/>
          <w:b w:val="1"/>
          <w:bCs w:val="1"/>
          <w:color w:val="auto"/>
        </w:rPr>
        <w:t xml:space="preserve"> From GasLog Ltd. For $189 Million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MONACO — October 27, 2016 — </w:t>
      </w:r>
      <w:r>
        <w:rPr>
          <w:rFonts w:ascii="Arial" w:cs="Arial" w:eastAsia="Arial" w:hAnsi="Arial"/>
          <w:sz w:val="18"/>
          <w:szCs w:val="18"/>
          <w:color w:val="auto"/>
        </w:rPr>
        <w:t>GasLog Partners LP (NYSE:GLOP) (“GasLog Partners” or the “Partnership”) and GasLog Ltd. (NYSE:GLOG)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(“GasLog”) announced today that they have entered into an agreement for the Partnership to purchase from GasLog 100% of the shares in the entity that owns and charters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(the “Acquisition”). The aggregate purchase price for the Acquisition will be $189 million, which includes $1 million for positive net working capital balances to be transferred with the vessel. GasLog Partners expects to finance the acquisition with cash on hand, including proceeds from its recent equity offering, and the assumption of </w:t>
      </w:r>
      <w:r>
        <w:rPr>
          <w:rFonts w:ascii="Arial" w:cs="Arial" w:eastAsia="Arial" w:hAnsi="Arial"/>
          <w:sz w:val="18"/>
          <w:szCs w:val="18"/>
          <w:i w:val="1"/>
          <w:iCs w:val="1"/>
          <w:color w:val="auto"/>
        </w:rPr>
        <w:t>GasLog Seattle</w:t>
      </w:r>
      <w:r>
        <w:rPr>
          <w:rFonts w:ascii="Arial" w:cs="Arial" w:eastAsia="Arial" w:hAnsi="Arial"/>
          <w:sz w:val="18"/>
          <w:szCs w:val="18"/>
          <w:color w:val="auto"/>
        </w:rPr>
        <w:t>’s existing debt. The Acquisition is expected to close in the fourth quarter of 2016 and is subject to satisfaction of certain closing conditions.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GasLog Seattle </w:t>
      </w:r>
      <w:r>
        <w:rPr>
          <w:rFonts w:ascii="Arial" w:cs="Arial" w:eastAsia="Arial" w:hAnsi="Arial"/>
          <w:sz w:val="17"/>
          <w:szCs w:val="17"/>
          <w:color w:val="auto"/>
        </w:rPr>
        <w:t>is a 155,000 cubic meter tri-fuel diesel electric liquefied natural gas (“LNG”) carrier built in 2013 and operated by GasLog since delivery. The</w:t>
      </w:r>
      <w:r>
        <w:rPr>
          <w:rFonts w:ascii="Arial" w:cs="Arial" w:eastAsia="Arial" w:hAnsi="Arial"/>
          <w:sz w:val="17"/>
          <w:szCs w:val="17"/>
          <w:i w:val="1"/>
          <w:iCs w:val="1"/>
          <w:color w:val="auto"/>
        </w:rPr>
        <w:t xml:space="preserve"> </w:t>
      </w:r>
      <w:r>
        <w:rPr>
          <w:rFonts w:ascii="Arial" w:cs="Arial" w:eastAsia="Arial" w:hAnsi="Arial"/>
          <w:sz w:val="17"/>
          <w:szCs w:val="17"/>
          <w:color w:val="auto"/>
        </w:rPr>
        <w:t>vessel is currently on a multi-year time charter with a wholly owned subsidiary of Royal Dutch Shell plc (“Shell”) through December 2020. Shell has two consecutive 5-year extension options, which if exercised, would extend the charter for a period of either 5 or 10 years.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Partnership believes the Acquisition will be immediately accretive to unitholder distributions and consistent with its strategy to grow cash distributions through dropdown and third-party acquisitions. GasLog Partners estimates that, assuming full utilization,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will add approximately $20 million</w:t>
      </w:r>
    </w:p>
    <w:p>
      <w:pPr>
        <w:jc w:val="both"/>
        <w:spacing w:after="0" w:line="217" w:lineRule="auto"/>
        <w:rPr>
          <w:sz w:val="20"/>
          <w:szCs w:val="20"/>
          <w:color w:val="auto"/>
        </w:rPr>
      </w:pPr>
      <w:r>
        <w:rPr>
          <w:rFonts w:ascii="Arial" w:cs="Arial" w:eastAsia="Arial" w:hAnsi="Arial"/>
          <w:sz w:val="18"/>
          <w:szCs w:val="18"/>
          <w:color w:val="auto"/>
        </w:rPr>
        <w:t>to EBITDA</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and $10 million to distributable cash flow</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in the first 12 months after closing. Accordingly, the Acquisition purchase price represents a multiple of approximately 9.4x estimated EBITDA. The Board of Directors of GasLog, the Board of Directors of GasLog Partners (the “Board”), and the Conflicts Committee of the Board have approved the Acquisition.</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completion of the Acquisition, the Partnership’s management intends to recommend to the Board an approximately 5% annualized increase in the Partnership’s cash distribution per unit. Any such increase would be conditioned upon, among other things, the closing of the Acquisition, the approval of such increase by the Board, and the absence of any material adverse developments or potentially attractive opportunities that would make such an increase inadvisable.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Andy Orekar, Chief Executive Officer of GasLog Partners, stated, “I am very pleased to announce the Partnership’s third accretive dropdown transaction. Acquiring this strategically attractive vessel and its multi-year charter to Shell highlights GasLog Partners’ differentiated business model, which provides cash flow stability with growth through acquisitions. The Acquisition extends our average remaining charter duration and is consistent with our track record of delivering a 10-15% CAGR from IPO in cash distributions.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After closing the Acquisition, GasLog Partners will have a dropdown pipeline of thirteen vessels and a strong balance sheet, providing a highly visible path to future distribution increases.”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Paul Wogan, Chief Executive Officer of GasLog, stated, “I am delighted that, despite challenging market conditions, we continue to execute on our strategy of dropping vessels into GasLog Partners and recycling the capital to GasLog. This transaction continues to strengthen our balance sheet and provides further funding for future profitable growth. We also benefit from increases in GasLog Partners’ distribution through our unit ownership and incentive distribution rights, which should continue to enhance our valuation.”</w:t>
      </w:r>
    </w:p>
    <w:p>
      <w:pPr>
        <w:spacing w:after="0" w:line="299" w:lineRule="exact"/>
        <w:rPr>
          <w:sz w:val="20"/>
          <w:szCs w:val="20"/>
          <w:color w:val="auto"/>
        </w:rPr>
      </w:pPr>
    </w:p>
    <w:p>
      <w:pPr>
        <w:jc w:val="both"/>
        <w:spacing w:after="0" w:line="227"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EBITDA and distributable cash flow are non-GAAP financial measures. Please refer to Exhibit I for guidance on the underlying assumptions used to derive EBITDA and distributable cash flow.</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GasLog Partners is a growth-oriented master limited partnership focused on owning, operating and acquiring LNG carriers under multi-year charters. Upon closing of the Acquisition, GasLog Partners’ fleet will consist of nine LNG carriers with an average carrying capacity of approximately 149,500 cbm, each of which has a multi-year time charter. GasLog Partners’ principal executive offices are located at Gildo Pastor Center, 7 Rue du Gabian, MC 98000, Monaco.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part of their LNG logistics chain. GasLog’s consolidated fleet consists of 27 LNG carriers (21 ships on the water and 6 on order). GasLog also has an additional LNG carrier which was sold to a subsidiary of Mitsui Co. Ltd. and leased back under a long-term bareboat charter. Upon closing of the Acquisition, GasLog’s consolidated fleet will include nine LNG carriers in operation owned by GasLog’s subsidiary, GasLog Partners. GasLog’s principal executive offices are at Gildo Pastor Center, 7 Rue du Gabian, MC 98000, Monaco.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GasLog and GasLog Partners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39" w:lineRule="exact"/>
        <w:rPr>
          <w:sz w:val="20"/>
          <w:szCs w:val="20"/>
          <w:color w:val="auto"/>
        </w:rPr>
      </w:pPr>
    </w:p>
    <w:p>
      <w:pPr>
        <w:ind w:left="660" w:right="20" w:hanging="328"/>
        <w:spacing w:after="0" w:line="324" w:lineRule="auto"/>
        <w:tabs>
          <w:tab w:leader="none" w:pos="678"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35" w:lineRule="exact"/>
        <w:rPr>
          <w:rFonts w:ascii="Arial" w:cs="Arial" w:eastAsia="Arial" w:hAnsi="Arial"/>
          <w:sz w:val="18"/>
          <w:szCs w:val="18"/>
          <w:color w:val="auto"/>
        </w:rPr>
      </w:pPr>
    </w:p>
    <w:p>
      <w:pPr>
        <w:ind w:left="640" w:hanging="30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GasLog Partners’ ability to purchase vessels from GasLog in the future;</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GasLog Partners’ ability to leverage GasLog’s relationships and reputation in the shipping industry;</w:t>
      </w:r>
    </w:p>
    <w:p>
      <w:pPr>
        <w:spacing w:after="0" w:line="157" w:lineRule="exact"/>
        <w:rPr>
          <w:rFonts w:ascii="Arial" w:cs="Arial" w:eastAsia="Arial" w:hAnsi="Arial"/>
          <w:sz w:val="18"/>
          <w:szCs w:val="18"/>
          <w:color w:val="auto"/>
        </w:rPr>
      </w:pPr>
    </w:p>
    <w:p>
      <w:pPr>
        <w:ind w:left="660" w:right="20" w:hanging="328"/>
        <w:spacing w:after="0" w:line="324" w:lineRule="auto"/>
        <w:tabs>
          <w:tab w:leader="none" w:pos="664"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the ability of our lenders to meet their funding obligations, and our ability to meet our restrictive covenants and other obligations under our credit facilities;</w:t>
      </w:r>
    </w:p>
    <w:p>
      <w:pPr>
        <w:spacing w:after="0" w:line="35" w:lineRule="exact"/>
        <w:rPr>
          <w:rFonts w:ascii="Arial" w:cs="Arial" w:eastAsia="Arial" w:hAnsi="Arial"/>
          <w:sz w:val="18"/>
          <w:szCs w:val="18"/>
          <w:color w:val="auto"/>
        </w:rPr>
      </w:pPr>
    </w:p>
    <w:p>
      <w:pPr>
        <w:ind w:left="660" w:right="20" w:hanging="328"/>
        <w:spacing w:after="0" w:line="324" w:lineRule="auto"/>
        <w:tabs>
          <w:tab w:leader="none" w:pos="826"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spacing w:after="0" w:line="35" w:lineRule="exact"/>
        <w:rPr>
          <w:rFonts w:ascii="Arial" w:cs="Arial" w:eastAsia="Arial" w:hAnsi="Arial"/>
          <w:sz w:val="18"/>
          <w:szCs w:val="18"/>
          <w:color w:val="auto"/>
        </w:rPr>
      </w:pPr>
    </w:p>
    <w:p>
      <w:pPr>
        <w:ind w:left="640" w:hanging="30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about the time that it may take to construct and deliver newbuildings and the useful lives of our ships;</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157" w:lineRule="exact"/>
        <w:rPr>
          <w:rFonts w:ascii="Arial" w:cs="Arial" w:eastAsia="Arial" w:hAnsi="Arial"/>
          <w:sz w:val="18"/>
          <w:szCs w:val="18"/>
          <w:color w:val="auto"/>
        </w:rPr>
      </w:pPr>
    </w:p>
    <w:p>
      <w:pPr>
        <w:ind w:left="660" w:hanging="328"/>
        <w:spacing w:after="0" w:line="324" w:lineRule="auto"/>
        <w:tabs>
          <w:tab w:leader="none" w:pos="678"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spacing w:after="0" w:line="35" w:lineRule="exact"/>
        <w:rPr>
          <w:rFonts w:ascii="Arial" w:cs="Arial" w:eastAsia="Arial" w:hAnsi="Arial"/>
          <w:sz w:val="18"/>
          <w:szCs w:val="18"/>
          <w:color w:val="auto"/>
        </w:rPr>
      </w:pPr>
    </w:p>
    <w:p>
      <w:pPr>
        <w:ind w:left="640" w:hanging="30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157" w:lineRule="exact"/>
        <w:rPr>
          <w:rFonts w:ascii="Arial" w:cs="Arial" w:eastAsia="Arial" w:hAnsi="Arial"/>
          <w:sz w:val="18"/>
          <w:szCs w:val="18"/>
          <w:color w:val="auto"/>
        </w:rPr>
      </w:pPr>
    </w:p>
    <w:p>
      <w:pPr>
        <w:ind w:left="660" w:hanging="328"/>
        <w:spacing w:after="0" w:line="324" w:lineRule="auto"/>
        <w:tabs>
          <w:tab w:leader="none" w:pos="75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35" w:lineRule="exact"/>
        <w:rPr>
          <w:rFonts w:ascii="Arial" w:cs="Arial" w:eastAsia="Arial" w:hAnsi="Arial"/>
          <w:sz w:val="18"/>
          <w:szCs w:val="18"/>
          <w:color w:val="auto"/>
        </w:rPr>
      </w:pPr>
    </w:p>
    <w:p>
      <w:pPr>
        <w:ind w:left="640" w:hanging="30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availability of skilled labor, ship crews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ind w:left="640" w:hanging="30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157" w:lineRule="exact"/>
        <w:rPr>
          <w:rFonts w:ascii="Arial" w:cs="Arial" w:eastAsia="Arial" w:hAnsi="Arial"/>
          <w:sz w:val="18"/>
          <w:szCs w:val="18"/>
          <w:color w:val="auto"/>
        </w:rPr>
      </w:pPr>
    </w:p>
    <w:p>
      <w:pPr>
        <w:ind w:left="660" w:right="20" w:hanging="328"/>
        <w:spacing w:after="0" w:line="324" w:lineRule="auto"/>
        <w:tabs>
          <w:tab w:leader="none" w:pos="678"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35" w:lineRule="exact"/>
        <w:rPr>
          <w:rFonts w:ascii="Arial" w:cs="Arial" w:eastAsia="Arial" w:hAnsi="Arial"/>
          <w:sz w:val="18"/>
          <w:szCs w:val="18"/>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other risks and uncertainties described in GasLog’s Annual Report on Form 20-F filed with the SEC on March 14, 2016 and the Partnership’s Annual</w:t>
      </w:r>
    </w:p>
    <w:p>
      <w:pPr>
        <w:spacing w:after="0" w:line="72" w:lineRule="exact"/>
        <w:rPr>
          <w:rFonts w:ascii="Arial" w:cs="Arial" w:eastAsia="Arial" w:hAnsi="Arial"/>
          <w:sz w:val="16"/>
          <w:szCs w:val="16"/>
          <w:color w:val="auto"/>
        </w:rPr>
      </w:pPr>
    </w:p>
    <w:p>
      <w:pPr>
        <w:ind w:left="660"/>
        <w:spacing w:after="0" w:line="324" w:lineRule="auto"/>
        <w:rPr>
          <w:rFonts w:ascii="Arial" w:cs="Arial" w:eastAsia="Arial" w:hAnsi="Arial"/>
          <w:sz w:val="16"/>
          <w:szCs w:val="16"/>
          <w:color w:val="auto"/>
        </w:rPr>
      </w:pPr>
      <w:r>
        <w:rPr>
          <w:rFonts w:ascii="Arial" w:cs="Arial" w:eastAsia="Arial" w:hAnsi="Arial"/>
          <w:sz w:val="17"/>
          <w:szCs w:val="17"/>
          <w:color w:val="auto"/>
        </w:rPr>
        <w:t xml:space="preserve">Report on Form 20-F filed with the SEC on February 12, 2016 and the Prospectus Supplement filed with the SEC on August 3, 2016. Copies of both Annual reports, the Partnership’s Prospectus Supplement, as well as subsequent filings are available at </w:t>
      </w:r>
      <w:r>
        <w:rPr>
          <w:rFonts w:ascii="Arial" w:cs="Arial" w:eastAsia="Arial" w:hAnsi="Arial"/>
          <w:sz w:val="17"/>
          <w:szCs w:val="17"/>
          <w:u w:val="single" w:color="auto"/>
          <w:color w:val="0000FF"/>
        </w:rPr>
        <w:t>http://www.sec.gov</w:t>
      </w:r>
      <w:r>
        <w:rPr>
          <w:rFonts w:ascii="Arial" w:cs="Arial" w:eastAsia="Arial" w:hAnsi="Arial"/>
          <w:sz w:val="17"/>
          <w:szCs w:val="17"/>
          <w:color w:val="auto"/>
        </w:rPr>
        <w:t>.</w:t>
      </w:r>
    </w:p>
    <w:p>
      <w:pPr>
        <w:spacing w:after="0" w:line="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GasLog and GasLog Partners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EBITDA and distributable cash flow</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EBITDA is defined as earnings before interest income and expense, taxes, depreciation and amortization. EBITDA, which is a non-GAAP financial measure, is used as a supplemental financial measure by management and external users of financial statements, such as investors, to assess our financial and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units. This increased comparability is achieved by excluding the potentially disparate effects between periods of interest, taxes, depreciation and amortization, which items are affected by various and possibly changing financing methods, capital structure and historical cost basis and which items may significantly affect results of operations between periods.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EBITDA has limitations as an analytical tool and should not be considered as an alternative to, or as a substitute for, or superior to profit, profit from operations, earnings per unit or any other measure of financial performance presented in accordance with IFRS. Some of these limitations include the fact that it does not reflect (i) our cash expenditures or future requirements for capital expenditures or contractual commitments, (ii) changes in, or cash requirements for our working capital needs and (iii) the significant interest expense, or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 It is not adjusted for all non-cash income or expense items that are reflected in our statement of cash flows and other companies in our industry may calculate this measure differently than we do, limiting its usefulness as a comparative measure.</w:t>
      </w:r>
    </w:p>
    <w:p>
      <w:pPr>
        <w:spacing w:after="0" w:line="1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Distributable cash flow with respect to any quarter means EBITDA after considering financial costs for the period, excluding amortization of loan fees, estimated drydocking and replacement capital reserves established by the Partnership. Estimated drydocking and replacement capital reserves represent capital expenditures required to renew and maintain over the long-term the operating capacity of, or the revenue generated by our capital assets. Distributable cash flow is a quantitative standard used by investors in publicly-traded partnerships to assess their ability to make quarterly cash distributions. Our calculation of Distributable cash flow may not be comparable to that reported by other companies. Distributable cash flow is a non-GAAP financial measure and should not be considered as an alternative to profit or any other indicator of the Partnership’s performance calculated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 xml:space="preserve">For the entities owning </w:t>
      </w:r>
      <w:r>
        <w:rPr>
          <w:rFonts w:ascii="Arial" w:cs="Arial" w:eastAsia="Arial" w:hAnsi="Arial"/>
          <w:sz w:val="16"/>
          <w:szCs w:val="16"/>
          <w:i w:val="1"/>
          <w:iCs w:val="1"/>
          <w:color w:val="auto"/>
        </w:rPr>
        <w:t>GasLog Seattle</w:t>
      </w:r>
      <w:r>
        <w:rPr>
          <w:rFonts w:ascii="Arial" w:cs="Arial" w:eastAsia="Arial" w:hAnsi="Arial"/>
          <w:sz w:val="16"/>
          <w:szCs w:val="16"/>
          <w:color w:val="auto"/>
        </w:rPr>
        <w:t>, estimated EBITDA and distributable cash flow for the first 12 months of operation following the completion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Acquisition is based on the following assumptions:</w:t>
      </w:r>
    </w:p>
    <w:p>
      <w:pPr>
        <w:spacing w:after="0" w:line="197" w:lineRule="exact"/>
        <w:rPr>
          <w:sz w:val="20"/>
          <w:szCs w:val="20"/>
          <w:color w:val="auto"/>
        </w:rPr>
      </w:pPr>
    </w:p>
    <w:p>
      <w:pPr>
        <w:ind w:left="700" w:hanging="36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closing of the Acquisition in the fourth quarter of 2016 and timely receipt of charter hire specified in the charter contracts;</w:t>
      </w:r>
    </w:p>
    <w:p>
      <w:pPr>
        <w:spacing w:after="0" w:line="157" w:lineRule="exact"/>
        <w:rPr>
          <w:rFonts w:ascii="Arial" w:cs="Arial" w:eastAsia="Arial" w:hAnsi="Arial"/>
          <w:sz w:val="18"/>
          <w:szCs w:val="18"/>
          <w:color w:val="auto"/>
        </w:rPr>
      </w:pPr>
    </w:p>
    <w:p>
      <w:pPr>
        <w:ind w:left="700" w:hanging="36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utilization of 363 days per year and no drydocking;</w:t>
      </w:r>
    </w:p>
    <w:p>
      <w:pPr>
        <w:spacing w:after="0" w:line="157" w:lineRule="exact"/>
        <w:rPr>
          <w:rFonts w:ascii="Arial" w:cs="Arial" w:eastAsia="Arial" w:hAnsi="Arial"/>
          <w:sz w:val="18"/>
          <w:szCs w:val="18"/>
          <w:color w:val="auto"/>
        </w:rPr>
      </w:pPr>
    </w:p>
    <w:p>
      <w:pPr>
        <w:ind w:left="700" w:hanging="36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vessel operating and supervision costs and charter commissions per current internal estimates; and</w:t>
      </w:r>
    </w:p>
    <w:p>
      <w:pPr>
        <w:spacing w:after="0" w:line="157" w:lineRule="exact"/>
        <w:rPr>
          <w:rFonts w:ascii="Arial" w:cs="Arial" w:eastAsia="Arial" w:hAnsi="Arial"/>
          <w:sz w:val="18"/>
          <w:szCs w:val="18"/>
          <w:color w:val="auto"/>
        </w:rPr>
      </w:pPr>
    </w:p>
    <w:p>
      <w:pPr>
        <w:ind w:left="700" w:hanging="36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and administrative expenses based on management’s current internal estimates.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consider the above assumptions to be reasonable as of the date of this press release, but if these assumptions prove to be incorrect, actual EBITDA and distributable cash flow for the entities owning the vessels could differ materially from our estimates. The prospective financial information was not prepared with a view toward public disclosure or with a view toward complying with the guidelines established by the American Institute of Certified Public Accountants, but, in the view of management, was prepared on a reasonable basis and reflects the best currently available estimates and judgments. However, this information is not fact and should not be relied upon as being necessarily indicative of future results, and readers of this press release are cautioned not to place undue reliance on the prospective financial information. Neither our independent auditors nor any other independent accountants have compiled, examined, or performed any procedures with respect to the prospective financial information contained above, nor have they expressed any opinion or any other form of assurance on such information or its achievability and assume no responsibility for, and disclaim any association with, such prospective financial information.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Simon Crowe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+44 203 388 3108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+44 203 388 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Samaan Aziz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+1 212 223 0643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6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2019-12-08T21:56:46Z</dcterms:created>
  <dcterms:modified xsi:type="dcterms:W3CDTF">2019-12-08T21:56:46Z</dcterms:modified>
</cp:coreProperties>
</file>