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November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2"/>
              </w:rPr>
              <w:t>c/o GasLog Monaco S.A.M.</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277"/>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300" w:firstLine="356"/>
        <w:spacing w:after="0" w:line="277" w:lineRule="auto"/>
        <w:rPr>
          <w:sz w:val="20"/>
          <w:szCs w:val="20"/>
          <w:color w:val="auto"/>
        </w:rPr>
      </w:pPr>
      <w:r>
        <w:rPr>
          <w:rFonts w:ascii="Arial" w:cs="Arial" w:eastAsia="Arial" w:hAnsi="Arial"/>
          <w:sz w:val="18"/>
          <w:szCs w:val="18"/>
          <w:color w:val="auto"/>
        </w:rPr>
        <w:t>The press release issued by GasLog Ltd. on November 3, 2016 relating to its results for the third quarter of 2016 and the related financial report are attached hereto as Exhibits 99.1 and 99.2, respectively.</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76"/>
        <w:spacing w:after="0" w:line="276" w:lineRule="auto"/>
        <w:rPr>
          <w:sz w:val="20"/>
          <w:szCs w:val="20"/>
          <w:color w:val="auto"/>
        </w:rPr>
      </w:pPr>
      <w:r>
        <w:rPr>
          <w:rFonts w:ascii="Arial" w:cs="Arial" w:eastAsia="Arial" w:hAnsi="Arial"/>
          <w:sz w:val="17"/>
          <w:szCs w:val="17"/>
          <w:color w:val="auto"/>
        </w:rPr>
        <w:t>Exhibit 99.2 to this Report on Form 6-K shall be incorporated by reference into our registration statements on Form F-3 (File Nos. 333-188817, 333-194894 and 333-210169),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2016</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Financial Report for the Three and Nine Months Ended September 30, 2016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Management’s Discussion and Analysis of Financial Condition and Results of Operation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Unaudited Condensed Consolidated Financial Statements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9" w:right="37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Paul Wogan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0"/>
          </w:cols>
          <w:pgMar w:left="240" w:top="409"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Ended September 30, 2016</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Monaco, November 3, 2016, GasLog Ltd. and its subsidiaries (“GasLog” or “Group” or “Company”) (NYSE: GLOG)</w:t>
      </w:r>
      <w:r>
        <w:rPr>
          <w:rFonts w:ascii="Arial" w:cs="Arial" w:eastAsia="Arial" w:hAnsi="Arial"/>
          <w:sz w:val="17"/>
          <w:szCs w:val="17"/>
          <w:color w:val="auto"/>
        </w:rPr>
        <w:t>, an international owner,</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 and manager of liquefied natural gas (“LNG”) carriers, today reported its financial results for the quarter ended September 30, 2016.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700" w:hanging="692"/>
        <w:spacing w:after="0" w:line="264"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Post quarter-end, GasLog was awarded a seven-year charter by a subsidiary of Centrica plc (“Centrica”), commencing in 2019 and entered into a contract with Samsung Heavy Industries Co. Ltd. (“Samsung”) for the purchase of one 180,000 cubic meters capacity (“cbm”) newbuilding from the shipyard for delivery in the second quarter of 2019.</w:t>
      </w:r>
    </w:p>
    <w:p>
      <w:pPr>
        <w:spacing w:after="0" w:line="181" w:lineRule="exact"/>
        <w:rPr>
          <w:rFonts w:ascii="Arial" w:cs="Arial" w:eastAsia="Arial" w:hAnsi="Arial"/>
          <w:sz w:val="18"/>
          <w:szCs w:val="18"/>
          <w:color w:val="auto"/>
        </w:rPr>
      </w:pPr>
    </w:p>
    <w:p>
      <w:pPr>
        <w:ind w:left="700" w:right="92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chartered GasLog’s only open newbuilding to Total Gas &amp; Power Chartering Limited (“Total”) for a period of seven years, commencing in 2018.</w:t>
      </w:r>
    </w:p>
    <w:p>
      <w:pPr>
        <w:spacing w:after="0" w:line="170" w:lineRule="exact"/>
        <w:rPr>
          <w:rFonts w:ascii="Arial" w:cs="Arial" w:eastAsia="Arial" w:hAnsi="Arial"/>
          <w:sz w:val="18"/>
          <w:szCs w:val="18"/>
          <w:color w:val="auto"/>
        </w:rPr>
      </w:pPr>
    </w:p>
    <w:p>
      <w:pPr>
        <w:ind w:left="700" w:right="10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Delivery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on September 30, 2016 and October 31, 2016, respectively, on time and on budget. Both vessels have commenced their seven-year charters to a subsidiary of Royal Dutch Shell plc (“Shell”).</w:t>
      </w:r>
    </w:p>
    <w:p>
      <w:pPr>
        <w:spacing w:after="0" w:line="170" w:lineRule="exact"/>
        <w:rPr>
          <w:rFonts w:ascii="Arial" w:cs="Arial" w:eastAsia="Arial" w:hAnsi="Arial"/>
          <w:sz w:val="18"/>
          <w:szCs w:val="18"/>
          <w:color w:val="auto"/>
        </w:rPr>
      </w:pPr>
    </w:p>
    <w:p>
      <w:pPr>
        <w:ind w:left="700" w:right="280" w:hanging="692"/>
        <w:spacing w:after="0" w:line="264"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Post quarter-end, completed the dropdown of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to GasLog Partners LP (“GasLog Partners”) for $189.0 million. In August, GasLog Partners launched and completed an equity offering of 2,750,000 common units raising net proceeds of $52.3 million, which have been used to partially fund the dropdown of </w:t>
      </w:r>
      <w:r>
        <w:rPr>
          <w:rFonts w:ascii="Arial" w:cs="Arial" w:eastAsia="Arial" w:hAnsi="Arial"/>
          <w:sz w:val="18"/>
          <w:szCs w:val="18"/>
          <w:i w:val="1"/>
          <w:iCs w:val="1"/>
          <w:color w:val="auto"/>
        </w:rPr>
        <w:t>GasLog Seattle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Completed debt refinancing of $1.05 billion with a number of international banks, extending the maturity of six existing credit facilities to 2021.</w:t>
      </w:r>
    </w:p>
    <w:p>
      <w:pPr>
        <w:spacing w:after="0" w:line="152" w:lineRule="exact"/>
        <w:rPr>
          <w:rFonts w:ascii="Arial" w:cs="Arial" w:eastAsia="Arial" w:hAnsi="Arial"/>
          <w:sz w:val="17"/>
          <w:szCs w:val="17"/>
          <w:color w:val="auto"/>
        </w:rPr>
      </w:pPr>
    </w:p>
    <w:p>
      <w:pPr>
        <w:ind w:left="700" w:hanging="692"/>
        <w:spacing w:after="0"/>
        <w:tabs>
          <w:tab w:leader="none" w:pos="700" w:val="left"/>
        </w:tabs>
        <w:numPr>
          <w:ilvl w:val="0"/>
          <w:numId w:val="1"/>
        </w:numPr>
        <w:rPr>
          <w:rFonts w:ascii="Arial" w:cs="Arial" w:eastAsia="Arial" w:hAnsi="Arial"/>
          <w:sz w:val="31"/>
          <w:szCs w:val="31"/>
          <w:color w:val="auto"/>
          <w:vertAlign w:val="superscript"/>
        </w:rPr>
      </w:pPr>
      <w:r>
        <w:rPr>
          <w:rFonts w:ascii="Arial" w:cs="Arial" w:eastAsia="Arial" w:hAnsi="Arial"/>
          <w:sz w:val="16"/>
          <w:szCs w:val="16"/>
          <w:color w:val="auto"/>
        </w:rPr>
        <w:t>Revenues of $120.7 million (Q3 2015: $105.8 million), Loss of $16.4 million (Q3 2015: profit of $4.9 million) and Loss per share of $0.39</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(Q3</w:t>
      </w:r>
    </w:p>
    <w:p>
      <w:pPr>
        <w:ind w:left="700"/>
        <w:spacing w:after="0"/>
        <w:rPr>
          <w:rFonts w:ascii="Arial" w:cs="Arial" w:eastAsia="Arial" w:hAnsi="Arial"/>
          <w:sz w:val="31"/>
          <w:szCs w:val="31"/>
          <w:color w:val="auto"/>
          <w:vertAlign w:val="superscript"/>
        </w:rPr>
      </w:pPr>
      <w:r>
        <w:rPr>
          <w:rFonts w:ascii="Arial" w:cs="Arial" w:eastAsia="Arial" w:hAnsi="Arial"/>
          <w:sz w:val="18"/>
          <w:szCs w:val="18"/>
          <w:color w:val="auto"/>
        </w:rPr>
        <w:t>2015: a loss of $0.12), for the quarter ended September 30, 2016.</w:t>
      </w:r>
    </w:p>
    <w:p>
      <w:pPr>
        <w:spacing w:after="0" w:line="131" w:lineRule="exact"/>
        <w:rPr>
          <w:rFonts w:ascii="Arial" w:cs="Arial" w:eastAsia="Arial" w:hAnsi="Arial"/>
          <w:sz w:val="31"/>
          <w:szCs w:val="31"/>
          <w:color w:val="auto"/>
          <w:vertAlign w:val="superscript"/>
        </w:rPr>
      </w:pPr>
    </w:p>
    <w:p>
      <w:pPr>
        <w:ind w:left="700" w:hanging="692"/>
        <w:spacing w:after="0"/>
        <w:tabs>
          <w:tab w:leader="none" w:pos="70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Adjusted Profit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$19.5 million (Q3 2015: $10.8 million),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$80.8 million (Q3 2015: $65.7 million), Adjusted EBITDA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of $81.1</w:t>
      </w:r>
    </w:p>
    <w:p>
      <w:pPr>
        <w:ind w:left="700" w:right="160"/>
        <w:spacing w:after="0" w:line="187" w:lineRule="auto"/>
        <w:rPr>
          <w:rFonts w:ascii="Arial" w:cs="Arial" w:eastAsia="Arial" w:hAnsi="Arial"/>
          <w:sz w:val="34"/>
          <w:szCs w:val="34"/>
          <w:color w:val="auto"/>
          <w:vertAlign w:val="superscript"/>
        </w:rPr>
      </w:pPr>
      <w:r>
        <w:rPr>
          <w:rFonts w:ascii="Arial" w:cs="Arial" w:eastAsia="Arial" w:hAnsi="Arial"/>
          <w:sz w:val="18"/>
          <w:szCs w:val="18"/>
          <w:color w:val="auto"/>
        </w:rPr>
        <w:t>million (Q3 2015: $65.7 million) and Adjusted Earnings per share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of $0.05</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(Q3 2015: Adjusted Loss per share of $0.05) for the quarter ended September 30, 2016.</w:t>
      </w:r>
    </w:p>
    <w:p>
      <w:pPr>
        <w:spacing w:after="0" w:line="202"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November 24, 2016.</w:t>
      </w:r>
    </w:p>
    <w:p>
      <w:pPr>
        <w:spacing w:after="0" w:line="207" w:lineRule="exact"/>
        <w:rPr>
          <w:sz w:val="20"/>
          <w:szCs w:val="20"/>
          <w:color w:val="auto"/>
        </w:rPr>
      </w:pPr>
    </w:p>
    <w:p>
      <w:pPr>
        <w:ind w:left="240" w:right="180" w:hanging="232"/>
        <w:spacing w:after="0" w:line="253"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Earnings/Loss per share (“EPS”) and Adjusted EPS are negatively affected by the profit attributable to the non-controlling interest of $12.6 million and the dividend on preferred stock of $2.5 million for the quarter ended September 30, 2016 ($12.2 million and $2.5 million, respectively, for the quarter ended September 30, 2015).</w:t>
      </w:r>
    </w:p>
    <w:p>
      <w:pPr>
        <w:spacing w:after="0" w:line="106" w:lineRule="exact"/>
        <w:rPr>
          <w:rFonts w:ascii="Arial" w:cs="Arial" w:eastAsia="Arial" w:hAnsi="Arial"/>
          <w:sz w:val="12"/>
          <w:szCs w:val="12"/>
          <w:color w:val="auto"/>
        </w:rPr>
      </w:pPr>
    </w:p>
    <w:p>
      <w:pPr>
        <w:jc w:val="both"/>
        <w:ind w:left="240" w:hanging="232"/>
        <w:spacing w:after="0" w:line="238"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definition and reconciliation of these measures to the most directly comparable financial measures calculated and presented in accordance with IFRS, please refer to Exhibit II at the end of this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Paul Wogan, Chief Executive Officer, stated: “In recent weeks, GasLog added Total and Centrica as long-term customers. We are delighted to broaden our customer base with two leaders in the global energy sector and we look forward to building these relationships as they develop their own LNG businesses.</w:t>
      </w:r>
    </w:p>
    <w:p>
      <w:pPr>
        <w:spacing w:after="0" w:line="12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In September and October, we took delivery of two newbuildings,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Gibraltar</w:t>
      </w:r>
      <w:r>
        <w:rPr>
          <w:rFonts w:ascii="Arial" w:cs="Arial" w:eastAsia="Arial" w:hAnsi="Arial"/>
          <w:sz w:val="17"/>
          <w:szCs w:val="17"/>
          <w:color w:val="auto"/>
        </w:rPr>
        <w:t>, both of which have now commenced seven year charters with Shell. GasLog has a further five newbuildings on order, all of which have firm contracts of between seven and ten years.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August, GasLog Partners successfully raised $53.6 million of common equity, which has been used to partially fund the dropdown of </w:t>
      </w:r>
      <w:r>
        <w:rPr>
          <w:rFonts w:ascii="Arial" w:cs="Arial" w:eastAsia="Arial" w:hAnsi="Arial"/>
          <w:sz w:val="18"/>
          <w:szCs w:val="18"/>
          <w:i w:val="1"/>
          <w:iCs w:val="1"/>
          <w:color w:val="auto"/>
        </w:rPr>
        <w:t>GasLog Seattle</w:t>
      </w:r>
      <w:r>
        <w:rPr>
          <w:rFonts w:ascii="Arial" w:cs="Arial" w:eastAsia="Arial" w:hAnsi="Arial"/>
          <w:sz w:val="18"/>
          <w:szCs w:val="18"/>
          <w:color w:val="auto"/>
        </w:rPr>
        <w:t>. With the Total and Centrica charters, GasLog now has 13 eligible vessels for dropdown, providing a strong pipeline of growth for GasLog Partners and the opportunity to continue to recycle capital into GasLog.”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Centrica and Newbuilding Order</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Post quarter-end, GasLog entered into a time charter party agreement with a subsidiary of Centrica for a period of seven years, commencing in 2019. In conjunction with this new charter award, GAS-twenty eight Ltd. entered into a shipbuilding contract with Samsung for the construction of one LNG carrier (180,000 cbm). The vessel is expected to be delivered in the second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Total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11, 2016, GasLog entered into a time charter party agreement with Total to charter Hull No. 2801 for a period of seven years, commencing in mid-2018 at a date to be finalized ahead of the commencement of the charter. The vessel is currently under construction at Hyundai Heavy Industries Co., Ltd. (“Hyundai”) in South Korea and is due to be delivered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Geneva</w:t>
      </w:r>
      <w:r>
        <w:rPr>
          <w:rFonts w:ascii="Arial" w:cs="Arial" w:eastAsia="Arial" w:hAnsi="Arial"/>
          <w:sz w:val="18"/>
          <w:szCs w:val="18"/>
          <w:b w:val="1"/>
          <w:bCs w:val="1"/>
          <w:u w:val="single" w:color="auto"/>
          <w:color w:val="auto"/>
        </w:rPr>
        <w:t xml:space="preserve"> and the </w:t>
      </w:r>
      <w:r>
        <w:rPr>
          <w:rFonts w:ascii="Arial" w:cs="Arial" w:eastAsia="Arial" w:hAnsi="Arial"/>
          <w:sz w:val="18"/>
          <w:szCs w:val="18"/>
          <w:b w:val="1"/>
          <w:bCs w:val="1"/>
          <w:i w:val="1"/>
          <w:iCs w:val="1"/>
          <w:u w:val="single" w:color="auto"/>
          <w:color w:val="auto"/>
        </w:rPr>
        <w:t>GasLog Gibraltar</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 xml:space="preserve">On September 30, 2016 and October 31, 2016, GasLog took delivery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respectively, two LNG carriers of 174,000 cbm each with tri-fuel diesel electric propulsion constructed by Samsung. The vessels are chartered out to Methane Services Limited (“MSL”), a subsidiary of Shell, from their delivery until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GasLog Partners’ Equity Offering and Dropdown of </w:t>
      </w:r>
      <w:r>
        <w:rPr>
          <w:rFonts w:ascii="Arial" w:cs="Arial" w:eastAsia="Arial" w:hAnsi="Arial"/>
          <w:sz w:val="18"/>
          <w:szCs w:val="18"/>
          <w:b w:val="1"/>
          <w:bCs w:val="1"/>
          <w:i w:val="1"/>
          <w:iCs w:val="1"/>
          <w:u w:val="single" w:color="auto"/>
          <w:color w:val="auto"/>
        </w:rPr>
        <w:t>GasLog Seattle</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On August 5, 2016, GasLog Partners completed an equity offering of 2,750,000 common units and issued 56,122 general partner units to its general partner (in order for GasLog to retain its 2.0% general partner interest in GasLog Partners) at a public offering price of $19.50 per unit, raising net proceeds of $52.3 million (after excluding $1.1 million from the sale of the general partner units to GasLog). Proceeds from the public offering were subsequently used to partially finance the acquisition from GasLog of 100% of the ownership interest in GAS-seven Ltd., the entity that owns </w:t>
      </w:r>
      <w:r>
        <w:rPr>
          <w:rFonts w:ascii="Arial" w:cs="Arial" w:eastAsia="Arial" w:hAnsi="Arial"/>
          <w:sz w:val="16"/>
          <w:szCs w:val="16"/>
          <w:i w:val="1"/>
          <w:iCs w:val="1"/>
          <w:color w:val="auto"/>
        </w:rPr>
        <w:t>GasLog Seattle</w:t>
      </w:r>
      <w:r>
        <w:rPr>
          <w:rFonts w:ascii="Arial" w:cs="Arial" w:eastAsia="Arial" w:hAnsi="Arial"/>
          <w:sz w:val="16"/>
          <w:szCs w:val="16"/>
          <w:color w:val="auto"/>
        </w:rPr>
        <w:t>, for an aggregate purchase price of $189.0 million, including $1.0 million of positive net working capital. The acquisition closed on November 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 billion (the “Legacy Facility Re-financing”) with a number of international banks. It is comprised of a five-year facility of up to $950.0 million and a revolving credit facility of up to $100.0 million.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Skagen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Seattle</w:t>
      </w:r>
      <w:r>
        <w:rPr>
          <w:rFonts w:ascii="Arial" w:cs="Arial" w:eastAsia="Arial" w:hAnsi="Arial"/>
          <w:sz w:val="18"/>
          <w:szCs w:val="18"/>
          <w:color w:val="auto"/>
        </w:rPr>
        <w:t>,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r>
        <w:rPr>
          <w:rFonts w:ascii="Arial" w:cs="Arial" w:eastAsia="Arial" w:hAnsi="Arial"/>
          <w:sz w:val="18"/>
          <w:szCs w:val="18"/>
          <w:color w:val="auto"/>
        </w:rPr>
        <w:t>. Citibank N.A, Credit Suisse AG and Nordea Bank</w:t>
      </w:r>
      <w:r>
        <w:rPr>
          <w:rFonts w:ascii="Arial" w:cs="Arial" w:eastAsia="Arial" w:hAnsi="Arial"/>
          <w:sz w:val="18"/>
          <w:szCs w:val="18"/>
          <w:i w:val="1"/>
          <w:iCs w:val="1"/>
          <w:color w:val="auto"/>
        </w:rPr>
        <w:t xml:space="preserve"> </w:t>
      </w:r>
      <w:r>
        <w:rPr>
          <w:rFonts w:ascii="Arial" w:cs="Arial" w:eastAsia="Arial" w:hAnsi="Arial"/>
          <w:sz w:val="18"/>
          <w:szCs w:val="18"/>
          <w:color w:val="auto"/>
        </w:rPr>
        <w:t>AB were mandated lead arrangers to the transaction.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25, 2016, $950.0 million and $11.6 million under the term loan facility and the revolving credit facility, respectively, of the Legacy Facility Re-financing were drawn to refinance the aggregate existing indebtedness of $959.9 million of GAS-one Ltd., GAS-two Ltd., GAS-six Ltd., GAS-seven Ltd., GAS-eight Ltd., GAS-nine Ltd., GAS-ten Ltd. and GAS-fifteen Ltd.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Swaps’ Termination and New Swap Agreements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July 2016, the Group terminated interest rate swap agreements with an aggregate notional value of $874.9 million, associated with the six legacy facilities that were re-financed by the Legacy Facility Re-financing. Concurrently, GasLog entered into new interest rate swap agreements with a notional value of $870.0 million in aggregate, maturing between 2020 and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On September 14, 2016, the board of directors declared a dividend on the Series A Preference Shares of $0.546875 per share, or $2.5 million in aggregate, payable on October 3, 2016 to holders of record as of September 30, 2016. GasLog paid the declared dividend to the transfer agent on September 30, 2016.</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2, 2016, the board of directors declared a quarterly cash dividend of $0.14 per common share payable on November 24, 2016 to shareholders of record as of November 14,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Financial Summary</w:t>
            </w:r>
          </w:p>
        </w:tc>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per share data</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r>
      <w:tr>
        <w:trPr>
          <w:trHeight w:val="216"/>
        </w:trPr>
        <w:tc>
          <w:tcPr>
            <w:tcW w:w="15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540" w:type="dxa"/>
            <w:vAlign w:val="bottom"/>
            <w:tcBorders>
              <w:bottom w:val="single" w:sz="8" w:color="E5FFFF"/>
            </w:tcBorders>
          </w:tcPr>
          <w:p>
            <w:pPr>
              <w:spacing w:after="0"/>
              <w:rPr>
                <w:sz w:val="20"/>
                <w:szCs w:val="20"/>
                <w:color w:val="auto"/>
              </w:rPr>
            </w:pPr>
          </w:p>
        </w:tc>
        <w:tc>
          <w:tcPr>
            <w:tcW w:w="4260" w:type="dxa"/>
            <w:vAlign w:val="bottom"/>
            <w:tcBorders>
              <w:bottom w:val="single" w:sz="8" w:color="E5FFFF"/>
            </w:tcBorders>
          </w:tcPr>
          <w:p>
            <w:pPr>
              <w:spacing w:after="0"/>
              <w:rPr>
                <w:sz w:val="20"/>
                <w:szCs w:val="20"/>
                <w:color w:val="auto"/>
              </w:rPr>
            </w:pPr>
          </w:p>
        </w:tc>
        <w:tc>
          <w:tcPr>
            <w:tcW w:w="210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r>
      <w:tr>
        <w:trPr>
          <w:trHeight w:val="210"/>
        </w:trPr>
        <w:tc>
          <w:tcPr>
            <w:tcW w:w="58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210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105,791</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120,727</w:t>
            </w:r>
          </w:p>
        </w:tc>
        <w:tc>
          <w:tcPr>
            <w:tcW w:w="100" w:type="dxa"/>
            <w:vAlign w:val="bottom"/>
            <w:shd w:val="clear" w:color="auto" w:fill="E5FF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Profit/(loss)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(16,423)</w:t>
            </w:r>
          </w:p>
        </w:tc>
      </w:tr>
      <w:tr>
        <w:trPr>
          <w:trHeight w:val="257"/>
        </w:trPr>
        <w:tc>
          <w:tcPr>
            <w:tcW w:w="580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22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10,791</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19,529</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Loss attributable to the owners of GasLog</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(7,279)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(29,046)</w:t>
            </w:r>
          </w:p>
        </w:tc>
      </w:tr>
      <w:tr>
        <w:trPr>
          <w:trHeight w:val="257"/>
        </w:trPr>
        <w:tc>
          <w:tcPr>
            <w:tcW w:w="580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2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65,673</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80,782</w:t>
            </w:r>
          </w:p>
        </w:tc>
      </w:tr>
      <w:tr>
        <w:trPr>
          <w:trHeight w:val="257"/>
        </w:trPr>
        <w:tc>
          <w:tcPr>
            <w:tcW w:w="5800" w:type="dxa"/>
            <w:vAlign w:val="bottom"/>
            <w:gridSpan w:val="2"/>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65,683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81,097</w:t>
            </w:r>
          </w:p>
        </w:tc>
      </w:tr>
      <w:tr>
        <w:trPr>
          <w:trHeight w:val="216"/>
        </w:trPr>
        <w:tc>
          <w:tcPr>
            <w:tcW w:w="58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EPS</w:t>
            </w:r>
          </w:p>
        </w:tc>
        <w:tc>
          <w:tcPr>
            <w:tcW w:w="22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(0.12)</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(0.39)</w:t>
            </w:r>
          </w:p>
        </w:tc>
      </w:tr>
      <w:tr>
        <w:trPr>
          <w:trHeight w:val="390"/>
        </w:trPr>
        <w:tc>
          <w:tcPr>
            <w:tcW w:w="580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bl>
    <w:p>
      <w:pPr>
        <w:spacing w:after="0" w:line="64" w:lineRule="exact"/>
        <w:rPr>
          <w:sz w:val="20"/>
          <w:szCs w:val="20"/>
          <w:color w:val="auto"/>
        </w:rPr>
      </w:pPr>
    </w:p>
    <w:p>
      <w:pPr>
        <w:jc w:val="both"/>
        <w:ind w:left="240" w:right="40" w:hanging="232"/>
        <w:spacing w:after="0" w:line="238"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There were 1,927 operating days for the quarter ended September 30, 2016, as compared to 1,568 operating days for the quarter ended September 30,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increase in operating days resulted mainly from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March 29,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September 30, 2016, respectively.</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There was a loss of $16.4 million for the quarter ended September 30, 2016 ($4.9 million profit for the quarter ended September 30, 2015). This decrease in profit is mainly attributable to the increased financial costs derived mainly from the write-off of unamortized fees associated with the six legacy facilities that were refinanced by the Legacy Facility Re-financing and the recycling of accumulated loss from equity to the statement of profit or loss related to the swap agreements that were terminated in July 2016. These factors were partially offset by a net increase in profit from operations resulting mainly from the increase in operating days mitigated by a lower daily hire rate affected by the vessels operating in the spot market.</w:t>
      </w:r>
    </w:p>
    <w:p>
      <w:pPr>
        <w:sectPr>
          <w:pgSz w:w="11900" w:h="16838" w:orient="portrait"/>
          <w:cols w:equalWidth="0" w:num="1">
            <w:col w:w="11420"/>
          </w:cols>
          <w:pgMar w:left="240" w:top="405" w:right="239" w:bottom="1097"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097" w:gutter="0" w:footer="0" w:header="0"/>
          <w:type w:val="continuous"/>
        </w:sectPr>
      </w:pPr>
    </w:p>
    <w:bookmarkStart w:id="5" w:name="page6"/>
    <w:bookmarkEnd w:id="5"/>
    <w:p>
      <w:pPr>
        <w:ind w:right="420"/>
        <w:spacing w:after="0" w:line="210" w:lineRule="auto"/>
        <w:rPr>
          <w:sz w:val="20"/>
          <w:szCs w:val="20"/>
          <w:color w:val="auto"/>
        </w:rPr>
      </w:pPr>
      <w:r>
        <w:rPr>
          <w:rFonts w:ascii="Arial" w:cs="Arial" w:eastAsia="Arial" w:hAnsi="Arial"/>
          <w:sz w:val="18"/>
          <w:szCs w:val="18"/>
          <w:color w:val="auto"/>
        </w:rPr>
        <w:t>Adjusted Profit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$19.5 million for the quarter ended September 30, 2016 ($10.8 million for the quarter ended September 30, 2015) adjusted for the effects of the non-cash loss on swaps, the write-off of unamortized loan fees, as well as the net foreign exchange losses.</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Loss attributable to the owners of GasLog was $29.0 million ($7.3 million for the quarter ended September 30, 2015). The increase in loss attributable to the owners of GasLog resulted mainly from the increase in loss mentioned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$80.8 million for the quarter ended September 30, 2016 ($65.7 million for the quarter ended September 30,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$81.1 million for the quarter ended September 30, 2016 ($65.7 million for the quarter ended September 30, 2015).</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EPS was a $0.39 loss for the quarter ended September 30, 2016 (a loss of $0.12 for the quarter ended September 30, 2015). The increase in loss per share is mainly attributable to the decrease in profit.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$0.05 for the quarter ended September 30, 2016 (a loss of $0.05 for the quarter ended September 30, 2015).</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Revenues were $120.7 million for the quarter ended September 30, 2016 ($105.8 million for the quarter ended September 30, 2015). The increase was mainly driven by the new deliveries in our fleet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w:t>
      </w:r>
      <w:r>
        <w:rPr>
          <w:rFonts w:ascii="Arial" w:cs="Arial" w:eastAsia="Arial" w:hAnsi="Arial"/>
          <w:sz w:val="17"/>
          <w:szCs w:val="17"/>
          <w:i w:val="1"/>
          <w:iCs w:val="1"/>
          <w:color w:val="auto"/>
        </w:rPr>
        <w:t>GasLog Glasgow, GasLog Geneva</w:t>
      </w:r>
      <w:r>
        <w:rPr>
          <w:rFonts w:ascii="Arial" w:cs="Arial" w:eastAsia="Arial" w:hAnsi="Arial"/>
          <w:sz w:val="17"/>
          <w:szCs w:val="17"/>
          <w:color w:val="auto"/>
        </w:rPr>
        <w:t>), increased revenues from vessels operating in the spot market and fewer off-hire days due to drydocking (no drydockings in the third quarter of 2016 as opposed to one for the same period in 2015).</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Vessel operating and supervision costs were $26.8 million for the quarter ended September 30, 2016 ($25.6 million for the quarter ended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 were $4.2 million for the quarter ended September 30, 2016 ($4.0 million for the quarter ended September 30,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$31.4 million for the quarter ended September 30, 2016 ($28.2 million for the quarter ended September 30, 2015).</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increase in revenues, vessel operating and supervision costs and depreciation was mainly attributable to the increase in operating and ownership days from our increased fleet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$9.3 million for the quarter ended September 30, 2016 ($10.9 million for the quarter ended September 30,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is mainly attributable to a decrease in legal fees and other professional services related mainly to consultancy fees charged in 2015.</w:t>
      </w:r>
    </w:p>
    <w:p>
      <w:pPr>
        <w:spacing w:after="0" w:line="22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Financial costs were $46.1 million for the quarter ended September 30, 2016 ($24.5 million for the quarter ended September 30, 2015). An analysis of financial costs is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gridSpan w:val="6"/>
          </w:tcPr>
          <w:p>
            <w:pPr>
              <w:ind w:left="1000"/>
              <w:spacing w:after="0"/>
              <w:rPr>
                <w:sz w:val="20"/>
                <w:szCs w:val="20"/>
                <w:color w:val="auto"/>
              </w:rPr>
            </w:pPr>
            <w:r>
              <w:rPr>
                <w:rFonts w:ascii="Arial" w:cs="Arial" w:eastAsia="Arial" w:hAnsi="Arial"/>
                <w:sz w:val="18"/>
                <w:szCs w:val="18"/>
                <w:b w:val="1"/>
                <w:bCs w:val="1"/>
                <w:color w:val="auto"/>
              </w:rPr>
              <w:t>For the three months ended</w:t>
            </w:r>
          </w:p>
        </w:tc>
      </w:tr>
      <w:tr>
        <w:trPr>
          <w:trHeight w:val="257"/>
        </w:trPr>
        <w:tc>
          <w:tcPr>
            <w:tcW w:w="59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2016</w:t>
            </w:r>
          </w:p>
        </w:tc>
      </w:tr>
      <w:tr>
        <w:trPr>
          <w:trHeight w:val="210"/>
        </w:trPr>
        <w:tc>
          <w:tcPr>
            <w:tcW w:w="5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Financial costs</w:t>
            </w:r>
          </w:p>
        </w:tc>
        <w:tc>
          <w:tcPr>
            <w:tcW w:w="10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8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17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Amortization and write-off of deferred loan fees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3,168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20,889</w:t>
            </w:r>
          </w:p>
        </w:tc>
      </w:tr>
      <w:tr>
        <w:trPr>
          <w:trHeight w:val="216"/>
        </w:trPr>
        <w:tc>
          <w:tcPr>
            <w:tcW w:w="592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0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0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18,240</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18,731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expense on bond and realized loss on cross-currency swaps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2,856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3,034</w:t>
            </w:r>
          </w:p>
        </w:tc>
      </w:tr>
      <w:tr>
        <w:trPr>
          <w:trHeight w:val="216"/>
        </w:trPr>
        <w:tc>
          <w:tcPr>
            <w:tcW w:w="592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w:t>
            </w:r>
          </w:p>
        </w:tc>
        <w:tc>
          <w:tcPr>
            <w:tcW w:w="10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0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2,785</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Other financial costs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r>
      <w:tr>
        <w:trPr>
          <w:trHeight w:val="223"/>
        </w:trPr>
        <w:tc>
          <w:tcPr>
            <w:tcW w:w="5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b w:val="1"/>
                <w:bCs w:val="1"/>
                <w:color w:val="auto"/>
                <w:w w:val="71"/>
              </w:rPr>
              <w:t>$</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24,483</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46,094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quarter ended September 30, 2016, an amount of $18.2 million of unamortized loan fees associated with the six legacy facilities that were refinanced by the Legacy Facility Re-financing is included in Amortization and write-off of deferred loan fees.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Loss on swaps was $19.9 million for the quarter ended September 30, 2016 ($8.2 million for the quarter ended September 30, 2015). An analysis of loss on swaps is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7"/>
          </w:tcPr>
          <w:p>
            <w:pPr>
              <w:ind w:left="100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2"/>
              </w:rPr>
              <w:t>September 30,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2016</w:t>
            </w:r>
          </w:p>
        </w:tc>
      </w:tr>
      <w:tr>
        <w:trPr>
          <w:trHeight w:val="210"/>
        </w:trPr>
        <w:tc>
          <w:tcPr>
            <w:tcW w:w="6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 on swaps</w:t>
            </w:r>
          </w:p>
        </w:tc>
        <w:tc>
          <w:tcPr>
            <w:tcW w:w="2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8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7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440"/>
              <w:spacing w:after="0"/>
              <w:rPr>
                <w:sz w:val="20"/>
                <w:szCs w:val="20"/>
                <w:color w:val="auto"/>
              </w:rPr>
            </w:pPr>
            <w:r>
              <w:rPr>
                <w:rFonts w:ascii="Arial" w:cs="Arial" w:eastAsia="Arial" w:hAnsi="Arial"/>
                <w:sz w:val="18"/>
                <w:szCs w:val="18"/>
                <w:color w:val="auto"/>
              </w:rPr>
              <w:t>2,327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r>
      <w:tr>
        <w:trPr>
          <w:trHeight w:val="216"/>
        </w:trPr>
        <w:tc>
          <w:tcPr>
            <w:tcW w:w="676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 on interest rate swaps held for trading</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5,538</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2,509</w:t>
            </w:r>
          </w:p>
        </w:tc>
        <w:tc>
          <w:tcPr>
            <w:tcW w:w="80" w:type="dxa"/>
            <w:vAlign w:val="bottom"/>
            <w:shd w:val="clear" w:color="auto" w:fill="E5FFFF"/>
          </w:tcPr>
          <w:p>
            <w:pPr>
              <w:spacing w:after="0"/>
              <w:rPr>
                <w:sz w:val="18"/>
                <w:szCs w:val="18"/>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4"/>
              </w:rPr>
              <w:t>Recycled loss of cash flow hedges reclassified to profit or loss in relation to derivatives no</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longer designated as hedges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2"/>
          </w:tcPr>
          <w:p>
            <w:pPr>
              <w:jc w:val="right"/>
              <w:ind w:right="44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17,238</w:t>
            </w:r>
          </w:p>
        </w:tc>
        <w:tc>
          <w:tcPr>
            <w:tcW w:w="80" w:type="dxa"/>
            <w:vAlign w:val="bottom"/>
          </w:tcPr>
          <w:p>
            <w:pPr>
              <w:spacing w:after="0"/>
              <w:rPr>
                <w:sz w:val="20"/>
                <w:szCs w:val="20"/>
                <w:color w:val="auto"/>
              </w:rPr>
            </w:pPr>
          </w:p>
        </w:tc>
      </w:tr>
      <w:tr>
        <w:trPr>
          <w:trHeight w:val="230"/>
        </w:trPr>
        <w:tc>
          <w:tcPr>
            <w:tcW w:w="6760" w:type="dxa"/>
            <w:vAlign w:val="bottom"/>
            <w:shd w:val="clear" w:color="auto" w:fill="E5FFFF"/>
          </w:tcPr>
          <w:p>
            <w:pPr>
              <w:spacing w:after="0"/>
              <w:rPr>
                <w:sz w:val="20"/>
                <w:szCs w:val="20"/>
                <w:color w:val="auto"/>
              </w:rPr>
            </w:pPr>
            <w:r>
              <w:rPr>
                <w:rFonts w:ascii="Arial" w:cs="Arial" w:eastAsia="Arial" w:hAnsi="Arial"/>
                <w:sz w:val="18"/>
                <w:szCs w:val="18"/>
                <w:color w:val="auto"/>
              </w:rPr>
              <w:t>Ineffective portion on cash flow hedges</w:t>
            </w:r>
          </w:p>
        </w:tc>
        <w:tc>
          <w:tcPr>
            <w:tcW w:w="24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22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8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8,228</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2"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2"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GasLog’s contracted charter revenues are estimated to increase from $412.5 million for the fiscal year 2015 to $476.9 million for the fiscal year 2017, based on contracts in effect as of September 30, 2016, without including any extension options. As of September 30, 2016, the total future firm contracted revenue</w:t>
      </w:r>
    </w:p>
    <w:p>
      <w:pPr>
        <w:ind w:right="60"/>
        <w:spacing w:after="0" w:line="205" w:lineRule="auto"/>
        <w:rPr>
          <w:sz w:val="20"/>
          <w:szCs w:val="20"/>
          <w:color w:val="auto"/>
        </w:rPr>
      </w:pPr>
      <w:r>
        <w:rPr>
          <w:rFonts w:ascii="Arial" w:cs="Arial" w:eastAsia="Arial" w:hAnsi="Arial"/>
          <w:sz w:val="18"/>
          <w:szCs w:val="18"/>
          <w:color w:val="auto"/>
        </w:rPr>
        <w:t xml:space="preserve">stood at $3.51 billion </w:t>
      </w:r>
      <w:r>
        <w:rPr>
          <w:rFonts w:ascii="Arial" w:cs="Arial" w:eastAsia="Arial" w:hAnsi="Arial"/>
          <w:sz w:val="30"/>
          <w:szCs w:val="30"/>
          <w:color w:val="auto"/>
          <w:vertAlign w:val="superscript"/>
        </w:rPr>
        <w:t>(1)</w:t>
      </w:r>
      <w:r>
        <w:rPr>
          <w:rFonts w:ascii="Arial" w:cs="Arial" w:eastAsia="Arial" w:hAnsi="Arial"/>
          <w:sz w:val="18"/>
          <w:szCs w:val="18"/>
          <w:color w:val="auto"/>
        </w:rPr>
        <w:t>, including the nine vessels owned by GasLog Partners but excluding the vessels operating in the spot market. This increases to $3.69 billion with the inclusion of the recently awarded Centrica charter.</w:t>
      </w:r>
    </w:p>
    <w:p>
      <w:pPr>
        <w:spacing w:after="0" w:line="239" w:lineRule="exact"/>
        <w:rPr>
          <w:sz w:val="20"/>
          <w:szCs w:val="20"/>
          <w:color w:val="auto"/>
        </w:rPr>
      </w:pPr>
    </w:p>
    <w:p>
      <w:pPr>
        <w:ind w:right="260" w:firstLine="8"/>
        <w:spacing w:after="0" w:line="230" w:lineRule="auto"/>
        <w:tabs>
          <w:tab w:leader="none" w:pos="17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2016, GasLog had $244.7 million of cash and cash equivalents, of which $156.8 million was held in time deposits and the remaining balance in current accounts.</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As of September 30, 2016, GasLog had an aggregate of $2.57 billion of indebtedness outstanding under its credit facilities and bond agreements, of which $143.5 million was repayable within one year, and a $222.1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$5.9 million was repayable within one year.</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September 30, 2016, there was undrawn available capacity of $88.4 million under the revolving credit facility of the Legacy Facility Re-financing entered into on July 19, 2016.</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As of September 30, 2016, GasLog’s commitments for capital expenditures are related to the five LNG carriers on order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delivered on October 31, 2016, which have a gross aggregate contract price of approximately $1.23 billion. As of September 30, 2016, the total remaining balance of the contract prices of the aforementioned newbuildings was $1.11 billion that GasLog expects to be funded with the $824.7 million undrawn capacity under the financing agreement entered into on October 16, 2015, as well as cash balances, cash from operations and borrowings under new debt agreements.</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2016, GasLog’s current assets totalled $269.0 million while current liabilities totalled $246.7 million, resulting in a positive working capital position of $22.3 million.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GasLog has hedged 39.9% of its expected floating interest rate exposure on its outstanding debt (excluding the finance lease liability) at a weighted average interest rate of approximately 4.6% (including margin) as of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GasLog has three newbuildings on order at Samsung and two newbuildings on order at Hyundai. Our vessels presently under construction are on schedule and within budget. The expected delivery dates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Hulls</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Delivery date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Shipyard</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60" w:type="dxa"/>
            <w:vAlign w:val="bottom"/>
          </w:tcPr>
          <w:p>
            <w:pPr>
              <w:jc w:val="center"/>
              <w:spacing w:after="0"/>
              <w:rPr>
                <w:sz w:val="20"/>
                <w:szCs w:val="20"/>
                <w:color w:val="auto"/>
              </w:rPr>
            </w:pPr>
            <w:r>
              <w:rPr>
                <w:rFonts w:ascii="Arial" w:cs="Arial" w:eastAsia="Arial" w:hAnsi="Arial"/>
                <w:sz w:val="18"/>
                <w:szCs w:val="18"/>
                <w:color w:val="auto"/>
                <w:w w:val="95"/>
              </w:rPr>
              <w:t>Hull No. 2130</w:t>
            </w:r>
          </w:p>
        </w:tc>
        <w:tc>
          <w:tcPr>
            <w:tcW w:w="160" w:type="dxa"/>
            <w:vAlign w:val="bottom"/>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Q1 2018</w:t>
            </w:r>
          </w:p>
        </w:tc>
        <w:tc>
          <w:tcPr>
            <w:tcW w:w="140" w:type="dxa"/>
            <w:vAlign w:val="bottom"/>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Samsung</w:t>
            </w:r>
          </w:p>
        </w:tc>
        <w:tc>
          <w:tcPr>
            <w:tcW w:w="0" w:type="dxa"/>
            <w:vAlign w:val="bottom"/>
          </w:tcPr>
          <w:p>
            <w:pPr>
              <w:spacing w:after="0"/>
              <w:rPr>
                <w:sz w:val="1"/>
                <w:szCs w:val="1"/>
                <w:color w:val="auto"/>
              </w:rPr>
            </w:pPr>
          </w:p>
        </w:tc>
      </w:tr>
      <w:tr>
        <w:trPr>
          <w:trHeight w:val="230"/>
        </w:trPr>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Hull No. 2800</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Q1 2018</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Hyundai</w:t>
            </w:r>
          </w:p>
        </w:tc>
        <w:tc>
          <w:tcPr>
            <w:tcW w:w="0" w:type="dxa"/>
            <w:vAlign w:val="bottom"/>
          </w:tcPr>
          <w:p>
            <w:pPr>
              <w:spacing w:after="0"/>
              <w:rPr>
                <w:sz w:val="1"/>
                <w:szCs w:val="1"/>
                <w:color w:val="auto"/>
              </w:rPr>
            </w:pPr>
          </w:p>
        </w:tc>
      </w:tr>
      <w:tr>
        <w:trPr>
          <w:trHeight w:val="243"/>
        </w:trPr>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Hull No. 2801</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Q1 2018</w:t>
            </w:r>
          </w:p>
        </w:tc>
        <w:tc>
          <w:tcPr>
            <w:tcW w:w="1540" w:type="dxa"/>
            <w:vAlign w:val="bottom"/>
          </w:tcPr>
          <w:p>
            <w:pPr>
              <w:jc w:val="center"/>
              <w:spacing w:after="0"/>
              <w:rPr>
                <w:sz w:val="20"/>
                <w:szCs w:val="20"/>
                <w:color w:val="auto"/>
              </w:rPr>
            </w:pPr>
            <w:r>
              <w:rPr>
                <w:rFonts w:ascii="Arial" w:cs="Arial" w:eastAsia="Arial" w:hAnsi="Arial"/>
                <w:sz w:val="18"/>
                <w:szCs w:val="18"/>
                <w:color w:val="auto"/>
                <w:w w:val="93"/>
              </w:rPr>
              <w:t>Hyundai</w:t>
            </w:r>
          </w:p>
        </w:tc>
        <w:tc>
          <w:tcPr>
            <w:tcW w:w="0" w:type="dxa"/>
            <w:vAlign w:val="bottom"/>
          </w:tcPr>
          <w:p>
            <w:pPr>
              <w:spacing w:after="0"/>
              <w:rPr>
                <w:sz w:val="1"/>
                <w:szCs w:val="1"/>
                <w:color w:val="auto"/>
              </w:rPr>
            </w:pPr>
          </w:p>
        </w:tc>
      </w:tr>
      <w:tr>
        <w:trPr>
          <w:trHeight w:val="243"/>
        </w:trPr>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Hull No. 2131</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Q1 2019</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Samsung</w:t>
            </w:r>
          </w:p>
        </w:tc>
        <w:tc>
          <w:tcPr>
            <w:tcW w:w="0" w:type="dxa"/>
            <w:vAlign w:val="bottom"/>
          </w:tcPr>
          <w:p>
            <w:pPr>
              <w:spacing w:after="0"/>
              <w:rPr>
                <w:sz w:val="1"/>
                <w:szCs w:val="1"/>
                <w:color w:val="auto"/>
              </w:rPr>
            </w:pPr>
          </w:p>
        </w:tc>
      </w:tr>
      <w:tr>
        <w:trPr>
          <w:trHeight w:val="243"/>
        </w:trPr>
        <w:tc>
          <w:tcPr>
            <w:tcW w:w="19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Hull No. 2212</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Q2 2019</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Samsung</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subsidiaries that own two of the vessels expected to be delivered in 2018 and one vessel expected to be delivered in 2019 have entered into 9.5 year time charters with MSL at similar rates. Our subsidiary that owns the remaining vessel expected to be delivered in 2018 entered into a seven-year time charter with Total in July 2016. Finally, our subsidiary that owns the last vessel expected to be delivered in 2019 entered into a seven-year time charter with a subsidiary of Centrica in October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demand outlook for LNG carriers with long-term charters remains positive. We continue to see a number of tenders for multi-year charters for vessels, which we expect will be used to transport volumes from new liquefaction facilities due to commence production over the coming years. We believe that these new LNG volumes will create demand for additional ships over and above those available in the market today.</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third quarter, there were several announcements highlighting LNG supply and demand growth as well as increased demand for LNG carriers. Cheniere announced the substantial completion of Sabine Pass Train 2 with a production capacity of 4.5 million tonnes per annum (“mtpa”) and commissioning cargoes from this facility are now being transported. Angola LNG’s 5.2 mtpa facility and the Chevron-operated 15.6 mtpa Gorgon project restarted production. The Canadian government gave conditional approval for Pacific NorthWest LNG’s 12.0 mtpa project. BP announced Final Investment Decision (“FID”) for the Tangguh Expansion Project, which will add 3.8 mtpa of capacity to the existing facility, bringing total capacity to 11.4 mtpa. However, during the quarter, Shell delayed FID for the 15.0 mtpa Lake Charles LNG project and Exxon Mobil announced it will no longer invest in the proposed 20.0 mtpa Alaska LNG project.</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the demand side, Pakistan announced the purchase of its second floating storage re-gasification unit (“FSRU”). The country is expected to continue to increase its LNG imports to counter declining indigenous production. Bangladesh announced agreements for the construction and operation of the country’s first LNG import terminal, which will be a floating facility. Both projects continue a trend of new importing nations selecting FSRUs, which are typically quicker to market and more flexible than land-based terminals. We expect FSRUs to be an important link to the supply and to facilitate the creation of additional demand in both new and existing markets.</w:t>
      </w:r>
    </w:p>
    <w:p>
      <w:pPr>
        <w:sectPr>
          <w:pgSz w:w="11900" w:h="16838" w:orient="portrait"/>
          <w:cols w:equalWidth="0" w:num="1">
            <w:col w:w="11420"/>
          </w:cols>
          <w:pgMar w:left="240" w:top="405" w:right="239" w:bottom="449"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449" w:gutter="0" w:footer="0" w:header="0"/>
          <w:type w:val="continuous"/>
        </w:sectPr>
      </w:pPr>
    </w:p>
    <w:bookmarkStart w:id="7" w:name="page8"/>
    <w:bookmarkEnd w:id="7"/>
    <w:p>
      <w:pPr>
        <w:spacing w:after="0" w:line="264" w:lineRule="auto"/>
        <w:rPr>
          <w:sz w:val="20"/>
          <w:szCs w:val="20"/>
          <w:color w:val="auto"/>
        </w:rPr>
      </w:pPr>
      <w:r>
        <w:rPr>
          <w:rFonts w:ascii="Arial" w:cs="Arial" w:eastAsia="Arial" w:hAnsi="Arial"/>
          <w:sz w:val="18"/>
          <w:szCs w:val="18"/>
          <w:color w:val="auto"/>
        </w:rPr>
        <w:t>Year to date LNG import volumes in China and India are up 27% and 34%, respectively, with both countries looking to respond to reduced LNG prices. In the third quarter, LNG prices in Northeast Asia and Northwest Europe rose by 16% and 15%, respectively, making the LNG price arbitrage for US exports more attractive.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shorter-term shipping market, spot rates in the third quarter increased from multi-year lows reflecting new LNG supply coming online and the restarts of the Gorgon and Angola LNG projects, which removed vessel re-lets from the market. From January to September 2016, there were approximately 210 spot fixtures completed compared to approximately 130 for the same period last year, an increase of around 60%. Whilst it is too early to predict a sustained recovery, we believe that fundamentals continue to point to a recovery in 2017 and beyond.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GasLog will host a conference call to discuss its results for the third quarter of 2016 at 8:30 a.m. EDT (12:30 p.m. GMT) on Thursday, November 3, 2016. Paul Wogan, Chief Executive Officer and Simon Crowe,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+1 855 537 5839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46498957</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A live webcast of the conference call will also be available on the investor relations page of the Company's website at </w:t>
      </w:r>
      <w:r>
        <w:rPr>
          <w:rFonts w:ascii="Arial" w:cs="Arial" w:eastAsia="Arial" w:hAnsi="Arial"/>
          <w:sz w:val="18"/>
          <w:szCs w:val="18"/>
          <w:u w:val="single" w:color="auto"/>
          <w:color w:val="auto"/>
        </w:rPr>
        <w:t>http://www.gaslogltd.com/investor-relations</w:t>
      </w:r>
      <w:r>
        <w:rPr>
          <w:rFonts w:ascii="Arial" w:cs="Arial" w:eastAsia="Arial" w:hAnsi="Arial"/>
          <w:sz w:val="18"/>
          <w:szCs w:val="18"/>
          <w:color w:val="auto"/>
        </w:rPr>
        <w: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(6:00 p.m. GMT) on Thursday, November 3, 2016 until 11:59 p.m. EST (4:59 a.m. GMT) on Thursday, November 10,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46498957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replay will also be available via a webcast in the investor relations page of the Company’s website at </w:t>
      </w:r>
      <w:r>
        <w:rPr>
          <w:rFonts w:ascii="Arial" w:cs="Arial" w:eastAsia="Arial" w:hAnsi="Arial"/>
          <w:sz w:val="17"/>
          <w:szCs w:val="17"/>
          <w:u w:val="single" w:color="auto"/>
          <w:color w:val="auto"/>
        </w:rPr>
        <w:t>http://www.gaslogltd.com/investor-relations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700" w:right="60" w:hanging="341"/>
        <w:spacing w:after="0" w:line="25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700" w:right="840" w:hanging="341"/>
        <w:spacing w:after="0" w:line="25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700" w:right="500" w:hanging="341"/>
        <w:spacing w:after="0" w:line="261"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sectPr>
          <w:pgSz w:w="11900" w:h="16838" w:orient="portrait"/>
          <w:cols w:equalWidth="0" w:num="1">
            <w:col w:w="11400"/>
          </w:cols>
          <w:pgMar w:left="240" w:top="409" w:right="25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type w:val="continuous"/>
        </w:sectPr>
      </w:pPr>
    </w:p>
    <w:bookmarkStart w:id="8" w:name="page9"/>
    <w:bookmarkEnd w:id="8"/>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700" w:right="240" w:hanging="341"/>
        <w:spacing w:after="0" w:line="25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700" w:right="40" w:hanging="341"/>
        <w:spacing w:after="0" w:line="25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700" w:right="480" w:hanging="341"/>
        <w:spacing w:after="0" w:line="26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Simon Crowe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2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0"/>
                <w:szCs w:val="20"/>
                <w:color w:val="auto"/>
              </w:rPr>
            </w:pPr>
            <w:r>
              <w:rPr>
                <w:rFonts w:ascii="Arial" w:cs="Arial" w:eastAsia="Arial" w:hAnsi="Arial"/>
                <w:sz w:val="18"/>
                <w:szCs w:val="18"/>
                <w:b w:val="1"/>
                <w:bCs w:val="1"/>
                <w:color w:val="auto"/>
                <w:w w:val="92"/>
              </w:rPr>
              <w:t>Unaudited condensed consolidated statements of financial position</w:t>
            </w:r>
          </w:p>
        </w:tc>
        <w:tc>
          <w:tcPr>
            <w:tcW w:w="2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As of December 31, 2015 and September 30, 2016</w:t>
            </w:r>
          </w:p>
        </w:tc>
        <w:tc>
          <w:tcPr>
            <w:tcW w:w="2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2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6"/>
              </w:rPr>
              <w:t>December 31, 2015</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September 30, 2016</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9,511</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6,274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17,998</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28,957</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61</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Tangible fixed assets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3,400,270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3,716,521</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178,405</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125,431</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2060" w:type="dxa"/>
            <w:vAlign w:val="bottom"/>
          </w:tcPr>
          <w:p>
            <w:pPr>
              <w:spacing w:after="0"/>
              <w:rPr>
                <w:sz w:val="19"/>
                <w:szCs w:val="19"/>
                <w:color w:val="auto"/>
              </w:rPr>
            </w:pP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223,932</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206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4,103,461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16,079</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Dividends receivable and due from related parties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1,345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6,496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2,519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6,000</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Restricted cash</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62,718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302,988</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244,656</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060" w:type="dxa"/>
            <w:vAlign w:val="bottom"/>
            <w:tcBorders>
              <w:bottom w:val="single" w:sz="8" w:color="E5FF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398,145</w:t>
            </w:r>
          </w:p>
        </w:tc>
        <w:tc>
          <w:tcPr>
            <w:tcW w:w="4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268,979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2060" w:type="dxa"/>
            <w:vAlign w:val="bottom"/>
            <w:tcBorders>
              <w:bottom w:val="single" w:sz="8" w:color="E5FFFF"/>
            </w:tcBorders>
            <w:shd w:val="clear" w:color="auto" w:fill="E5FFFF"/>
          </w:tcPr>
          <w:p>
            <w:pPr>
              <w:spacing w:after="0"/>
              <w:rPr>
                <w:sz w:val="19"/>
                <w:szCs w:val="19"/>
                <w:color w:val="auto"/>
              </w:rPr>
            </w:pP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4,372,440</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w:t>
            </w:r>
          </w:p>
        </w:tc>
        <w:tc>
          <w:tcPr>
            <w:tcW w:w="2060" w:type="dxa"/>
            <w:vAlign w:val="bottom"/>
            <w:shd w:val="clear" w:color="auto" w:fill="E5FFFF"/>
          </w:tcPr>
          <w:p>
            <w:pPr>
              <w:spacing w:after="0"/>
              <w:rPr>
                <w:sz w:val="18"/>
                <w:szCs w:val="18"/>
                <w:color w:val="auto"/>
              </w:rPr>
            </w:pPr>
          </w:p>
        </w:tc>
        <w:tc>
          <w:tcPr>
            <w:tcW w:w="17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Preferred stock</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46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Share capital</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810</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Contributed surplus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1,020,292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980,767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Reserves</w:t>
            </w:r>
          </w:p>
        </w:tc>
        <w:tc>
          <w:tcPr>
            <w:tcW w:w="4240" w:type="dxa"/>
            <w:vAlign w:val="bottom"/>
            <w:gridSpan w:val="3"/>
            <w:shd w:val="clear" w:color="auto" w:fill="E5FFFF"/>
          </w:tcPr>
          <w:p>
            <w:pPr>
              <w:jc w:val="right"/>
              <w:ind w:right="400"/>
              <w:spacing w:after="0"/>
              <w:rPr>
                <w:sz w:val="20"/>
                <w:szCs w:val="20"/>
                <w:color w:val="auto"/>
              </w:rPr>
            </w:pPr>
            <w:r>
              <w:rPr>
                <w:rFonts w:ascii="Arial" w:cs="Arial" w:eastAsia="Arial" w:hAnsi="Arial"/>
                <w:sz w:val="18"/>
                <w:szCs w:val="18"/>
                <w:color w:val="auto"/>
              </w:rPr>
              <w:t>(8,829)</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Treasury shares</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(12,491)</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earnings/(accumulated deficit)</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1,846</w:t>
            </w:r>
          </w:p>
        </w:tc>
        <w:tc>
          <w:tcPr>
            <w:tcW w:w="18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(52,808)</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06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1,001,674</w:t>
            </w:r>
          </w:p>
        </w:tc>
        <w:tc>
          <w:tcPr>
            <w:tcW w:w="46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929,485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506,246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560,603</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equity</w:t>
            </w:r>
          </w:p>
        </w:tc>
        <w:tc>
          <w:tcPr>
            <w:tcW w:w="2060" w:type="dxa"/>
            <w:vAlign w:val="bottom"/>
            <w:tcBorders>
              <w:bottom w:val="single" w:sz="8" w:color="E5FF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1,507,920</w:t>
            </w:r>
          </w:p>
        </w:tc>
        <w:tc>
          <w:tcPr>
            <w:tcW w:w="460" w:type="dxa"/>
            <w:vAlign w:val="bottom"/>
            <w:tcBorders>
              <w:bottom w:val="single" w:sz="8" w:color="E5FF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1,490,088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2060" w:type="dxa"/>
            <w:vAlign w:val="bottom"/>
            <w:shd w:val="clear" w:color="auto" w:fill="E5FFFF"/>
          </w:tcPr>
          <w:p>
            <w:pPr>
              <w:spacing w:after="0"/>
              <w:rPr>
                <w:sz w:val="18"/>
                <w:szCs w:val="18"/>
                <w:color w:val="auto"/>
              </w:rPr>
            </w:pPr>
          </w:p>
        </w:tc>
        <w:tc>
          <w:tcPr>
            <w:tcW w:w="17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12,391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10,844</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3,524</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163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14,243</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67,084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85,646</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Borrowings, current portion</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636,987</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134,907</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2060" w:type="dxa"/>
            <w:vAlign w:val="bottom"/>
          </w:tcPr>
          <w:p>
            <w:pPr>
              <w:spacing w:after="0"/>
              <w:rPr>
                <w:sz w:val="19"/>
                <w:szCs w:val="19"/>
                <w:color w:val="auto"/>
              </w:rPr>
            </w:pP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liabilities</w:t>
            </w:r>
          </w:p>
        </w:tc>
        <w:tc>
          <w:tcPr>
            <w:tcW w:w="206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734,392</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246,737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240" w:type="dxa"/>
            <w:vAlign w:val="bottom"/>
            <w:gridSpan w:val="3"/>
            <w:shd w:val="clear" w:color="auto" w:fill="E5FFFF"/>
          </w:tcPr>
          <w:p>
            <w:pPr>
              <w:jc w:val="right"/>
              <w:ind w:right="460"/>
              <w:spacing w:after="0"/>
              <w:rPr>
                <w:sz w:val="20"/>
                <w:szCs w:val="20"/>
                <w:color w:val="auto"/>
              </w:rPr>
            </w:pPr>
            <w:r>
              <w:rPr>
                <w:rFonts w:ascii="Arial" w:cs="Arial" w:eastAsia="Arial" w:hAnsi="Arial"/>
                <w:sz w:val="18"/>
                <w:szCs w:val="18"/>
                <w:color w:val="auto"/>
              </w:rPr>
              <w:t>58,531</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32,366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1,737,500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2,385,873</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non-current portion</w:t>
            </w:r>
          </w:p>
        </w:tc>
        <w:tc>
          <w:tcPr>
            <w:tcW w:w="2060" w:type="dxa"/>
            <w:vAlign w:val="bottom"/>
            <w:shd w:val="clear" w:color="auto" w:fill="E5FFFF"/>
          </w:tcPr>
          <w:p>
            <w:pPr>
              <w:spacing w:after="0"/>
              <w:rPr>
                <w:sz w:val="18"/>
                <w:szCs w:val="18"/>
                <w:color w:val="auto"/>
              </w:rPr>
            </w:pP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216,246</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40" w:type="dxa"/>
            <w:vAlign w:val="bottom"/>
            <w:gridSpan w:val="3"/>
          </w:tcPr>
          <w:p>
            <w:pPr>
              <w:jc w:val="right"/>
              <w:ind w:right="460"/>
              <w:spacing w:after="0"/>
              <w:rPr>
                <w:sz w:val="20"/>
                <w:szCs w:val="20"/>
                <w:color w:val="auto"/>
              </w:rPr>
            </w:pPr>
            <w:r>
              <w:rPr>
                <w:rFonts w:ascii="Arial" w:cs="Arial" w:eastAsia="Arial" w:hAnsi="Arial"/>
                <w:sz w:val="18"/>
                <w:szCs w:val="18"/>
                <w:color w:val="auto"/>
              </w:rPr>
              <w:t>1,278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6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1,797,309</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2,635,615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06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4,039,621</w:t>
            </w:r>
          </w:p>
        </w:tc>
        <w:tc>
          <w:tcPr>
            <w:tcW w:w="4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4,372,440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60" w:type="dxa"/>
            <w:vAlign w:val="bottom"/>
            <w:vMerge w:val="restart"/>
          </w:tcPr>
          <w:p>
            <w:pPr>
              <w:jc w:val="right"/>
              <w:ind w:right="159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0C0C0"/>
            </w:tcBorders>
          </w:tcPr>
          <w:p>
            <w:pPr>
              <w:spacing w:after="0"/>
              <w:rPr>
                <w:sz w:val="21"/>
                <w:szCs w:val="21"/>
                <w:color w:val="auto"/>
              </w:rPr>
            </w:pPr>
          </w:p>
        </w:tc>
        <w:tc>
          <w:tcPr>
            <w:tcW w:w="2060" w:type="dxa"/>
            <w:vAlign w:val="bottom"/>
            <w:tcBorders>
              <w:bottom w:val="single" w:sz="8" w:color="C0C0C0"/>
            </w:tcBorders>
          </w:tcPr>
          <w:p>
            <w:pPr>
              <w:spacing w:after="0"/>
              <w:rPr>
                <w:sz w:val="21"/>
                <w:szCs w:val="21"/>
                <w:color w:val="auto"/>
              </w:rPr>
            </w:pPr>
          </w:p>
        </w:tc>
        <w:tc>
          <w:tcPr>
            <w:tcW w:w="17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7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9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For the three months ended</w:t>
            </w:r>
          </w:p>
        </w:tc>
        <w:tc>
          <w:tcPr>
            <w:tcW w:w="35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19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105,791</w:t>
            </w:r>
          </w:p>
        </w:tc>
        <w:tc>
          <w:tcPr>
            <w:tcW w:w="100" w:type="dxa"/>
            <w:vAlign w:val="bottom"/>
            <w:tcBorders>
              <w:top w:val="single" w:sz="8" w:color="E5FFFF"/>
            </w:tcBorders>
            <w:shd w:val="clear" w:color="auto" w:fill="E5FFFF"/>
          </w:tcPr>
          <w:p>
            <w:pPr>
              <w:spacing w:after="0"/>
              <w:rPr>
                <w:sz w:val="18"/>
                <w:szCs w:val="18"/>
                <w:color w:val="auto"/>
              </w:rPr>
            </w:pPr>
          </w:p>
        </w:tc>
        <w:tc>
          <w:tcPr>
            <w:tcW w:w="38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120,727</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307,557</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339,578</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(25,566)</w:t>
            </w:r>
          </w:p>
        </w:tc>
        <w:tc>
          <w:tcPr>
            <w:tcW w:w="2300" w:type="dxa"/>
            <w:vAlign w:val="bottom"/>
            <w:gridSpan w:val="3"/>
          </w:tcPr>
          <w:p>
            <w:pPr>
              <w:jc w:val="right"/>
              <w:ind w:right="300"/>
              <w:spacing w:after="0"/>
              <w:rPr>
                <w:sz w:val="20"/>
                <w:szCs w:val="20"/>
                <w:color w:val="auto"/>
              </w:rPr>
            </w:pPr>
            <w:r>
              <w:rPr>
                <w:rFonts w:ascii="Arial" w:cs="Arial" w:eastAsia="Arial" w:hAnsi="Arial"/>
                <w:sz w:val="18"/>
                <w:szCs w:val="18"/>
                <w:color w:val="auto"/>
              </w:rPr>
              <w:t>(26,821)</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(73,981)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(4,042)</w:t>
            </w:r>
          </w:p>
        </w:tc>
        <w:tc>
          <w:tcPr>
            <w:tcW w:w="230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(4,184)</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(10,197)</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(28,210)</w:t>
            </w:r>
          </w:p>
        </w:tc>
        <w:tc>
          <w:tcPr>
            <w:tcW w:w="2300" w:type="dxa"/>
            <w:vAlign w:val="bottom"/>
            <w:gridSpan w:val="3"/>
          </w:tcPr>
          <w:p>
            <w:pPr>
              <w:jc w:val="right"/>
              <w:ind w:right="300"/>
              <w:spacing w:after="0"/>
              <w:rPr>
                <w:sz w:val="20"/>
                <w:szCs w:val="20"/>
                <w:color w:val="auto"/>
              </w:rPr>
            </w:pPr>
            <w:r>
              <w:rPr>
                <w:rFonts w:ascii="Arial" w:cs="Arial" w:eastAsia="Arial" w:hAnsi="Arial"/>
                <w:sz w:val="18"/>
                <w:szCs w:val="18"/>
                <w:color w:val="auto"/>
              </w:rPr>
              <w:t>(31,373)</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(78,179)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(89,021)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(10,900)</w:t>
            </w:r>
          </w:p>
        </w:tc>
        <w:tc>
          <w:tcPr>
            <w:tcW w:w="230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(9,273)</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(30,398)</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49,076</w:t>
            </w:r>
          </w:p>
        </w:tc>
        <w:tc>
          <w:tcPr>
            <w:tcW w:w="4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114,802</w:t>
            </w:r>
          </w:p>
        </w:tc>
        <w:tc>
          <w:tcPr>
            <w:tcW w:w="4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(24,483)</w:t>
            </w:r>
          </w:p>
        </w:tc>
        <w:tc>
          <w:tcPr>
            <w:tcW w:w="230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(46,094)</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(67,257)</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Financial income</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193</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277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(8,228)</w:t>
            </w:r>
          </w:p>
        </w:tc>
        <w:tc>
          <w:tcPr>
            <w:tcW w:w="230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(19,931)</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(13,569)</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333</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1,180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(32,193</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(65,499)</w:t>
            </w:r>
          </w:p>
        </w:tc>
        <w:tc>
          <w:tcPr>
            <w:tcW w:w="440" w:type="dxa"/>
            <w:vAlign w:val="bottom"/>
            <w:tcBorders>
              <w:top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(79,369</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(144,625</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Profit/(loss) for the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(16,423</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35,433</w:t>
            </w:r>
          </w:p>
        </w:tc>
        <w:tc>
          <w:tcPr>
            <w:tcW w:w="4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150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Owners of the Group</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(7,279)</w:t>
            </w:r>
          </w:p>
        </w:tc>
        <w:tc>
          <w:tcPr>
            <w:tcW w:w="2300" w:type="dxa"/>
            <w:vAlign w:val="bottom"/>
            <w:gridSpan w:val="3"/>
          </w:tcPr>
          <w:p>
            <w:pPr>
              <w:jc w:val="right"/>
              <w:ind w:right="300"/>
              <w:spacing w:after="0"/>
              <w:rPr>
                <w:sz w:val="20"/>
                <w:szCs w:val="20"/>
                <w:color w:val="auto"/>
              </w:rPr>
            </w:pPr>
            <w:r>
              <w:rPr>
                <w:rFonts w:ascii="Arial" w:cs="Arial" w:eastAsia="Arial" w:hAnsi="Arial"/>
                <w:sz w:val="18"/>
                <w:szCs w:val="18"/>
                <w:color w:val="auto"/>
              </w:rPr>
              <w:t>(29,046)</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5,303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12,159</w:t>
            </w:r>
          </w:p>
        </w:tc>
        <w:tc>
          <w:tcPr>
            <w:tcW w:w="230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rPr>
              <w:t>12,623</w:t>
            </w:r>
          </w:p>
        </w:tc>
        <w:tc>
          <w:tcPr>
            <w:tcW w:w="19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30,130</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(16,423</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35,433</w:t>
            </w:r>
          </w:p>
        </w:tc>
        <w:tc>
          <w:tcPr>
            <w:tcW w:w="4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(Loss)/earnings per share – basic and diluted</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(0.12)</w:t>
            </w:r>
          </w:p>
        </w:tc>
        <w:tc>
          <w:tcPr>
            <w:tcW w:w="230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(0.39)</w:t>
            </w:r>
          </w:p>
        </w:tc>
        <w:tc>
          <w:tcPr>
            <w:tcW w:w="19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0.01</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(0.75)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35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35,433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78,179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89,021</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(1,180)</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67,257</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106,756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w w:val="97"/>
              </w:rPr>
              <w:t>Unrealized foreign exchange (gains)/losses on cash and cash equivalents and short-term investments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w w:val="96"/>
              </w:rPr>
              <w:t>Unrealized loss on interest rate swaps held for trading including ineffective portion of cash flow hedges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5,956</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931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2,059</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188,124</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212,057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(14,184</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28,792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173,940</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240,849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(56,426</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(58,296</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117,514</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182,553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(699,502)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(576,784)</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1,675</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(68,592)</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47,007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239</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(719,173</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(568,711</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606,000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2,113,621</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Bank loans and bonds repayments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(73,434)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(1,966,018)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(6,779)</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(35,484)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GasLog Partners’ public offerings (net of underwriting discounts and commissions)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172,875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52,731</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Proceeds from issuance of preferred stock (net of underwriting discounts and commissions)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111,378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(1,776)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termination/modification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(31,986)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 for bond re-purchase at a premium</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for interest rate swaps’ termination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entering into interest rate swaps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(Increase)/decrease in restricted cash</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(39,174)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61,213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Dividends paid</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(60,388)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(73,746)</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 held under finance lease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Payments for finance lease liability</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708,702</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327,954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106,965</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(58,332</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211,974</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318,939</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244,656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EBITDA is defined as earnings before depreciation, amortization, interest income and expense, gain/loss on swaps and taxes. Adjusted EBITDA is defined as EBITDA before foreign exchange gains/losses. Adjusted Profit represents earnings before write-off and accelerated amortization of unamortized loan/bond fees and premium, foreign exchange gains/losses and non-cash gain/loss on swaps that includes (if any) (a) unrealized gain/loss on swaps held for trading, (b) recycled loss of cash flow hedges reclassified to profit or loss in relation to derivatives no longer designated as hedges and (c) ineffective portion of cash flow hedges.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interest,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capital structure and historical cost basis and which items may significantly affect results of operations between periods.</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Profit/(Loss):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4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740" w:type="dxa"/>
            <w:vAlign w:val="bottom"/>
            <w:tcBorders>
              <w:bottom w:val="single" w:sz="8" w:color="E5FF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Borders>
              <w:bottom w:val="single" w:sz="8" w:color="E5FF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Profit/(loss) for the period</w:t>
            </w: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4,880</w:t>
            </w:r>
          </w:p>
        </w:tc>
        <w:tc>
          <w:tcPr>
            <w:tcW w:w="44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(16,423)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Depreciation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28,210</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24,483</w:t>
            </w:r>
          </w:p>
        </w:tc>
        <w:tc>
          <w:tcPr>
            <w:tcW w:w="44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46,094</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Financial income</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8,228</w:t>
            </w:r>
          </w:p>
        </w:tc>
        <w:tc>
          <w:tcPr>
            <w:tcW w:w="440" w:type="dxa"/>
            <w:vAlign w:val="bottom"/>
            <w:shd w:val="clear" w:color="auto" w:fill="E5FFFF"/>
          </w:tcPr>
          <w:p>
            <w:pPr>
              <w:spacing w:after="0"/>
              <w:rPr>
                <w:sz w:val="19"/>
                <w:szCs w:val="19"/>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7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65,673</w:t>
            </w:r>
          </w:p>
        </w:tc>
        <w:tc>
          <w:tcPr>
            <w:tcW w:w="44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80,782</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losses, net</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65,683</w:t>
            </w:r>
          </w:p>
        </w:tc>
        <w:tc>
          <w:tcPr>
            <w:tcW w:w="4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Adjusted Profit to Profit/(Loss):</w:t>
            </w: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86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4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7740" w:type="dxa"/>
            <w:vAlign w:val="bottom"/>
            <w:tcBorders>
              <w:bottom w:val="single" w:sz="8" w:color="E5FF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Borders>
              <w:bottom w:val="single" w:sz="8" w:color="E5FF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Profit/(loss) for the period</w:t>
            </w:r>
          </w:p>
        </w:tc>
        <w:tc>
          <w:tcPr>
            <w:tcW w:w="1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4,880</w:t>
            </w:r>
          </w:p>
        </w:tc>
        <w:tc>
          <w:tcPr>
            <w:tcW w:w="44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(16,423)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Non-cash loss on swaps</w:t>
            </w:r>
          </w:p>
        </w:tc>
        <w:tc>
          <w:tcPr>
            <w:tcW w:w="1460" w:type="dxa"/>
            <w:vAlign w:val="bottom"/>
          </w:tcPr>
          <w:p>
            <w:pPr>
              <w:jc w:val="right"/>
              <w:spacing w:after="0"/>
              <w:rPr>
                <w:sz w:val="20"/>
                <w:szCs w:val="20"/>
                <w:color w:val="auto"/>
              </w:rPr>
            </w:pPr>
            <w:r>
              <w:rPr>
                <w:rFonts w:ascii="Arial" w:cs="Arial" w:eastAsia="Arial" w:hAnsi="Arial"/>
                <w:sz w:val="18"/>
                <w:szCs w:val="18"/>
                <w:color w:val="auto"/>
              </w:rPr>
              <w:t>5,901</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Write-off of unamortized loan fees</w:t>
            </w:r>
          </w:p>
        </w:tc>
        <w:tc>
          <w:tcPr>
            <w:tcW w:w="19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18,215</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7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Foreign exchange losses, net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7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Adjusted Profit</w:t>
            </w: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10,791</w:t>
            </w:r>
          </w:p>
        </w:tc>
        <w:tc>
          <w:tcPr>
            <w:tcW w:w="440" w:type="dxa"/>
            <w:vAlign w:val="bottom"/>
            <w:tcBorders>
              <w:bottom w:val="single" w:sz="8" w:color="E5FFFF"/>
            </w:tcBorders>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19,529</w:t>
            </w:r>
          </w:p>
        </w:tc>
        <w:tc>
          <w:tcPr>
            <w:tcW w:w="12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400"/>
          </w:cols>
          <w:pgMar w:left="240" w:top="405"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Reconciliation of Adjusted (Loss)/Earnings Per Share to Loss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shares and per share data)</w:t>
      </w:r>
    </w:p>
    <w:p>
      <w:pPr>
        <w:spacing w:after="0" w:line="207"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right"/>
        <w:ind w:right="420"/>
        <w:spacing w:after="0"/>
        <w:tabs>
          <w:tab w:leader="none" w:pos="1080" w:val="left"/>
        </w:tabs>
        <w:rPr>
          <w:sz w:val="20"/>
          <w:szCs w:val="20"/>
          <w:color w:val="auto"/>
        </w:rPr>
      </w:pPr>
      <w:r>
        <w:rPr>
          <w:rFonts w:ascii="Arial" w:cs="Arial" w:eastAsia="Arial" w:hAnsi="Arial"/>
          <w:sz w:val="18"/>
          <w:szCs w:val="18"/>
          <w:b w:val="1"/>
          <w:bCs w:val="1"/>
          <w:color w:val="auto"/>
        </w:rPr>
        <w:t>September 30,</w:t>
      </w:r>
      <w:r>
        <w:rPr>
          <w:sz w:val="20"/>
          <w:szCs w:val="20"/>
          <w:color w:val="auto"/>
        </w:rPr>
        <w:tab/>
      </w:r>
      <w:r>
        <w:rPr>
          <w:rFonts w:ascii="Arial" w:cs="Arial" w:eastAsia="Arial" w:hAnsi="Arial"/>
          <w:sz w:val="16"/>
          <w:szCs w:val="16"/>
          <w:b w:val="1"/>
          <w:bCs w:val="1"/>
          <w:color w:val="auto"/>
        </w:rPr>
        <w:t>September 30,</w:t>
      </w:r>
    </w:p>
    <w:p>
      <w:pPr>
        <w:spacing w:after="0" w:line="9" w:lineRule="exact"/>
        <w:rPr>
          <w:sz w:val="20"/>
          <w:szCs w:val="20"/>
          <w:color w:val="auto"/>
        </w:rPr>
      </w:pPr>
    </w:p>
    <w:p>
      <w:pPr>
        <w:ind w:left="8400"/>
        <w:spacing w:after="0"/>
        <w:tabs>
          <w:tab w:leader="none" w:pos="102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p>
    <w:p>
      <w:pPr>
        <w:sectPr>
          <w:pgSz w:w="11900" w:h="16838" w:orient="portrait"/>
          <w:cols w:equalWidth="0" w:num="1">
            <w:col w:w="11420"/>
          </w:cols>
          <w:pgMar w:left="240" w:top="405" w:right="239" w:bottom="1440" w:gutter="0" w:footer="0" w:header="0"/>
        </w:sectPr>
      </w:pPr>
    </w:p>
    <w:p>
      <w:pPr>
        <w:spacing w:after="0" w:line="9" w:lineRule="exact"/>
        <w:rPr>
          <w:sz w:val="20"/>
          <w:szCs w:val="20"/>
          <w:color w:val="auto"/>
        </w:rPr>
      </w:pPr>
    </w:p>
    <w:p>
      <w:pPr>
        <w:ind w:left="120" w:right="3080"/>
        <w:spacing w:after="0" w:line="258" w:lineRule="auto"/>
        <w:rPr>
          <w:sz w:val="20"/>
          <w:szCs w:val="20"/>
          <w:color w:val="auto"/>
        </w:rPr>
      </w:pPr>
      <w:r>
        <w:rPr>
          <w:rFonts w:ascii="Arial" w:cs="Arial" w:eastAsia="Arial" w:hAnsi="Arial"/>
          <w:sz w:val="18"/>
          <w:szCs w:val="18"/>
          <w:color w:val="auto"/>
        </w:rPr>
        <w:t>Loss for the period attributable to owners of the Group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-281940</wp:posOffset>
            </wp:positionV>
            <wp:extent cx="71005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Dividend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71005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ind w:left="120" w:right="1500"/>
        <w:spacing w:after="0" w:line="266" w:lineRule="auto"/>
        <w:rPr>
          <w:sz w:val="20"/>
          <w:szCs w:val="20"/>
          <w:color w:val="auto"/>
        </w:rPr>
      </w:pPr>
      <w:r>
        <w:rPr>
          <w:rFonts w:ascii="Arial" w:cs="Arial" w:eastAsia="Arial" w:hAnsi="Arial"/>
          <w:sz w:val="18"/>
          <w:szCs w:val="18"/>
          <w:color w:val="auto"/>
        </w:rPr>
        <w:t>Loss for the period available to owners of the Group used in EPS calculation Weighted average number of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-136525</wp:posOffset>
            </wp:positionV>
            <wp:extent cx="710057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40005</wp:posOffset>
            </wp:positionV>
            <wp:extent cx="710057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0570" cy="154305"/>
                    </a:xfrm>
                    <a:prstGeom prst="rect">
                      <a:avLst/>
                    </a:prstGeom>
                    <a:noFill/>
                  </pic:spPr>
                </pic:pic>
              </a:graphicData>
            </a:graphic>
          </wp:anchor>
        </w:drawing>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Loss for the period available to owners of the Group used in EPS calculation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Non-cash loss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710057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Write-off of unamortized loan fees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exchange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71005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(7,279)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425"/>
        </w:trPr>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(2,516)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80,553,238</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440" w:type="dxa"/>
            <w:vAlign w:val="bottom"/>
            <w:vMerge w:val="continue"/>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460" w:type="dxa"/>
            <w:vAlign w:val="bottom"/>
          </w:tcPr>
          <w:p>
            <w:pPr>
              <w:jc w:val="right"/>
              <w:spacing w:after="0"/>
              <w:rPr>
                <w:sz w:val="20"/>
                <w:szCs w:val="20"/>
                <w:color w:val="auto"/>
              </w:rPr>
            </w:pPr>
            <w:r>
              <w:rPr>
                <w:rFonts w:ascii="Arial" w:cs="Arial" w:eastAsia="Arial" w:hAnsi="Arial"/>
                <w:sz w:val="18"/>
                <w:szCs w:val="18"/>
                <w:color w:val="auto"/>
              </w:rPr>
              <w:t>(9,795)</w:t>
            </w:r>
          </w:p>
        </w:tc>
        <w:tc>
          <w:tcPr>
            <w:tcW w:w="44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(31,562)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460" w:type="dxa"/>
            <w:vAlign w:val="bottom"/>
          </w:tcPr>
          <w:p>
            <w:pPr>
              <w:jc w:val="right"/>
              <w:spacing w:after="0"/>
              <w:rPr>
                <w:sz w:val="20"/>
                <w:szCs w:val="20"/>
                <w:color w:val="auto"/>
              </w:rPr>
            </w:pPr>
            <w:r>
              <w:rPr>
                <w:rFonts w:ascii="Arial" w:cs="Arial" w:eastAsia="Arial" w:hAnsi="Arial"/>
                <w:sz w:val="18"/>
                <w:szCs w:val="18"/>
                <w:color w:val="auto"/>
              </w:rPr>
              <w:t>5,901</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40" w:space="720"/>
            <w:col w:w="3560"/>
          </w:cols>
          <w:pgMar w:left="240" w:top="40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Adjusted (loss)/profit attributable to owners of the Group</w:t>
            </w:r>
          </w:p>
        </w:tc>
        <w:tc>
          <w:tcPr>
            <w:tcW w:w="29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29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80,553,238</w:t>
            </w:r>
          </w:p>
        </w:tc>
        <w:tc>
          <w:tcPr>
            <w:tcW w:w="120" w:type="dxa"/>
            <w:vAlign w:val="bottom"/>
            <w:tcBorders>
              <w:top w:val="single" w:sz="8" w:color="E5FFFF"/>
            </w:tcBorders>
            <w:shd w:val="clear" w:color="auto" w:fill="E5FF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Adjusted (loss)/earnings per share</w:t>
            </w:r>
          </w:p>
        </w:tc>
        <w:tc>
          <w:tcPr>
            <w:tcW w:w="29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920" w:type="dxa"/>
            <w:vAlign w:val="bottom"/>
            <w:vMerge w:val="restart"/>
          </w:tcPr>
          <w:p>
            <w:pPr>
              <w:jc w:val="right"/>
              <w:ind w:right="197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C0C0C0"/>
            </w:tcBorders>
          </w:tcPr>
          <w:p>
            <w:pPr>
              <w:spacing w:after="0"/>
              <w:rPr>
                <w:sz w:val="21"/>
                <w:szCs w:val="21"/>
                <w:color w:val="auto"/>
              </w:rPr>
            </w:pPr>
          </w:p>
        </w:tc>
        <w:tc>
          <w:tcPr>
            <w:tcW w:w="4820" w:type="dxa"/>
            <w:vAlign w:val="bottom"/>
            <w:tcBorders>
              <w:bottom w:val="single" w:sz="8" w:color="C0C0C0"/>
            </w:tcBorders>
          </w:tcPr>
          <w:p>
            <w:pPr>
              <w:spacing w:after="0"/>
              <w:rPr>
                <w:sz w:val="21"/>
                <w:szCs w:val="21"/>
                <w:color w:val="auto"/>
              </w:rPr>
            </w:pPr>
          </w:p>
        </w:tc>
        <w:tc>
          <w:tcPr>
            <w:tcW w:w="292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and Nine Months Ended September 30,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 and nine-month periods ended September 30, 2016 and September 30, 2015.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March 14, 2016.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660" w:hanging="328"/>
        <w:spacing w:after="0" w:line="258"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6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301"/>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right="140" w:hanging="301"/>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are an international owner, operator and manager of LNG carriers. Our wholly owned fleet consists of 18 LNG carriers, including thirteen ships in operation, three LNG carriers on order at Samsung Heavy Industries Co., Ltd. (“Samsung”) and two LNG carriers on order at Hyundai Heavy Industries Co., Ltd. (“Hyundai”). GasLog is also the general and controlling partner in GasLog Partners LP (“GasLog Partners” or the “Partnership”), a publicly traded master limited partnership, which owns nine LNG carriers. In addition, GasLog has leased back under a bareboat charter the vessel sold in February 2016 to a subsidiary of Mitsui Co. Ltd. (“Mitsui”). GasLog has the option to re-purchase the vessel on pre-agreed terms no earlier than the end of year ten and no later than the end of year 17 of the bareboat charter. We currently manage and operate 26 LNG carriers including twelve of our wholly owned ships in operation (one is managed by a subsidiary of Royal Dutch Shell plc (“Shell”)), the nine ships contributed or sold to the Partnership, the bareboat vessel, three ships owned by Methane Services Limited (“MSL”), a subsidiary of BG Group plc. (“BG Group”) and one additional LNG carrier in which we have a 25% interest. BG Group was acquired by Shell on February 15, 2016. We are also supervising the construction of our newbuildings.</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secured multi-year and seasonal time charter contracts for eight of our operating ships, the nine ships owned by the Partnership, the bareboat vessel and our five newbuildings on order. As of September 30, 2016, these contracts are expected to provide total contracted revenue of approximately $3.51 billion during their initial terms, which expire between 2018 and 2029. This increases to $3.69 billion with the inclusion of the recently awarded Centrica plc (“Centrica”) charter. Contracted revenue calculations assume: (a) 365 revenue days per annum, with 30 off-hire days when the ship undergoes scheduled drydocking, (b) all LNG carriers on order are delivered on schedule, and (c) no exercise of any option to extend the term of charters. Five of our ships are currently operating in the spot/short-term market. GasLog has entered into a pool agreement (the “Pool Agreement”) with Dynagas Ltd. (“Dynagas”) and Golar LNG Ltd. (“Golar”) establishing The Cool Pool Limited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w:t>
      </w:r>
    </w:p>
    <w:p>
      <w:pPr>
        <w:spacing w:after="0" w:line="16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We also have a 25% interest in an additional ship,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a 2007-built LNG carrier owned by Egypt LNG Shipping Ltd. (“Egypt LNG”) and technically managed by us. It is currently operating under a 20-year time charter to MSL. On October 29, 2015, Egypt LNG and BG Group mutually agreed to lay up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for a period of approximately one year. The charterer continued to pay charter hire costs adjusted for net savings in operating expenses and insurance as a result of the vessel being laid up. The </w:t>
      </w:r>
      <w:r>
        <w:rPr>
          <w:rFonts w:ascii="Arial" w:cs="Arial" w:eastAsia="Arial" w:hAnsi="Arial"/>
          <w:sz w:val="17"/>
          <w:szCs w:val="17"/>
          <w:i w:val="1"/>
          <w:iCs w:val="1"/>
          <w:color w:val="auto"/>
        </w:rPr>
        <w:t>Methane Nile Eagle</w:t>
      </w:r>
      <w:r>
        <w:rPr>
          <w:rFonts w:ascii="Arial" w:cs="Arial" w:eastAsia="Arial" w:hAnsi="Arial"/>
          <w:sz w:val="17"/>
          <w:szCs w:val="17"/>
          <w:color w:val="auto"/>
        </w:rPr>
        <w:t xml:space="preserve"> was re-activated on October 15, 2016.</w:t>
      </w:r>
    </w:p>
    <w:p>
      <w:pPr>
        <w:spacing w:after="0" w:line="17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generate revenues by chartering our ships to customers on multi-year charters, seasonal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Centrica and Newbuilding Order</w:t>
      </w:r>
    </w:p>
    <w:p>
      <w:pPr>
        <w:spacing w:after="0" w:line="22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Post quarter-end, GasLog entered into a time charter party agreement with a subsidiary of Centrica for a period of seven years, commencing in 2019. In conjunction with this new charter award, GAS-twenty eight Ltd. entered into a shipbuilding contract with Samsung for the construction of one LNG carrier (180,000 cbm). The vessel is expected to be delivered in the second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Total</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July 11, 2016, GasLog entered into a time charter party agreement with Total to charter Hull No. 2801 for a period of seven years, commencing in mid-2018 at a date to be finalized ahead of the commencement of the charter. The vessel is currently under construction at Hyundai in South Korea and is due to be delivered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Geneva</w:t>
      </w:r>
      <w:r>
        <w:rPr>
          <w:rFonts w:ascii="Arial" w:cs="Arial" w:eastAsia="Arial" w:hAnsi="Arial"/>
          <w:sz w:val="18"/>
          <w:szCs w:val="18"/>
          <w:b w:val="1"/>
          <w:bCs w:val="1"/>
          <w:u w:val="single" w:color="auto"/>
          <w:color w:val="auto"/>
        </w:rPr>
        <w:t xml:space="preserve"> and the </w:t>
      </w:r>
      <w:r>
        <w:rPr>
          <w:rFonts w:ascii="Arial" w:cs="Arial" w:eastAsia="Arial" w:hAnsi="Arial"/>
          <w:sz w:val="18"/>
          <w:szCs w:val="18"/>
          <w:b w:val="1"/>
          <w:bCs w:val="1"/>
          <w:i w:val="1"/>
          <w:iCs w:val="1"/>
          <w:u w:val="single" w:color="auto"/>
          <w:color w:val="auto"/>
        </w:rPr>
        <w:t>GasLog Gibraltar</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On September 30, 2016 and October 31, 2016, GasLog took delivery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respectively, two LNG carriers of 174,000 cbm each with tri-fuel diesel electric propulsion constructed by Samsung. The vessels are chartered out to MSL, a subsidiary of Shell, from their delivery until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Completion of GasLog Partners’ Equity Offering and Dropdown of </w:t>
      </w:r>
      <w:r>
        <w:rPr>
          <w:rFonts w:ascii="Arial" w:cs="Arial" w:eastAsia="Arial" w:hAnsi="Arial"/>
          <w:sz w:val="18"/>
          <w:szCs w:val="18"/>
          <w:b w:val="1"/>
          <w:bCs w:val="1"/>
          <w:i w:val="1"/>
          <w:iCs w:val="1"/>
          <w:u w:val="single" w:color="auto"/>
          <w:color w:val="auto"/>
        </w:rPr>
        <w:t>GasLog Seattle</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 xml:space="preserve">On August 5, 2016, GasLog Partners completed an equity offering of 2,750,000 common units and issued 56,122 general partner units to its general partner (in order for GasLog to retain its 2.0% general partner interest in GasLog Partners) at a public offering price of $19.50 per unit, raising net proceeds of $52.30 million (after excluding $1.09 million from the sale of the general partner units to GasLog). Proceeds from the public offering were subsequently used to partially finance the acquisition from GasLog of 100% of the ownership interest in GAS-seven Ltd., the entity that owns </w:t>
      </w:r>
      <w:r>
        <w:rPr>
          <w:rFonts w:ascii="Arial" w:cs="Arial" w:eastAsia="Arial" w:hAnsi="Arial"/>
          <w:sz w:val="16"/>
          <w:szCs w:val="16"/>
          <w:i w:val="1"/>
          <w:iCs w:val="1"/>
          <w:color w:val="auto"/>
        </w:rPr>
        <w:t>GasLog Seattle</w:t>
      </w:r>
      <w:r>
        <w:rPr>
          <w:rFonts w:ascii="Arial" w:cs="Arial" w:eastAsia="Arial" w:hAnsi="Arial"/>
          <w:sz w:val="16"/>
          <w:szCs w:val="16"/>
          <w:color w:val="auto"/>
        </w:rPr>
        <w:t>, for an aggregate purchase price of $189.0 million, including $1.0 million of positive net working capital. The acquisition closed on November 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July 19, 2016, GasLog entered into a credit agreement to refinance the existing indebtedness on eight of its on-the-water vessels of up to $1.05 billion (the “Legacy Facility Re-financing”) with a number of international banks. It is comprised of a five-year facility of up to $950.0 million and a revolving credit facility of up to $100.0 million.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Skagen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Seattle</w:t>
      </w:r>
      <w:r>
        <w:rPr>
          <w:rFonts w:ascii="Arial" w:cs="Arial" w:eastAsia="Arial" w:hAnsi="Arial"/>
          <w:sz w:val="18"/>
          <w:szCs w:val="18"/>
          <w:color w:val="auto"/>
        </w:rPr>
        <w:t>,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Chelsea</w:t>
      </w:r>
      <w:r>
        <w:rPr>
          <w:rFonts w:ascii="Arial" w:cs="Arial" w:eastAsia="Arial" w:hAnsi="Arial"/>
          <w:sz w:val="18"/>
          <w:szCs w:val="18"/>
          <w:color w:val="auto"/>
        </w:rPr>
        <w:t>. Citibank N.A, Credit Suisse AG and Nordea Bank</w:t>
      </w:r>
      <w:r>
        <w:rPr>
          <w:rFonts w:ascii="Arial" w:cs="Arial" w:eastAsia="Arial" w:hAnsi="Arial"/>
          <w:sz w:val="18"/>
          <w:szCs w:val="18"/>
          <w:i w:val="1"/>
          <w:iCs w:val="1"/>
          <w:color w:val="auto"/>
        </w:rPr>
        <w:t xml:space="preserve"> </w:t>
      </w:r>
      <w:r>
        <w:rPr>
          <w:rFonts w:ascii="Arial" w:cs="Arial" w:eastAsia="Arial" w:hAnsi="Arial"/>
          <w:sz w:val="18"/>
          <w:szCs w:val="18"/>
          <w:color w:val="auto"/>
        </w:rPr>
        <w:t>AB were mandated lead arrangers to the transaction.</w:t>
      </w:r>
    </w:p>
    <w:p>
      <w:pPr>
        <w:sectPr>
          <w:pgSz w:w="11900" w:h="16838" w:orient="portrait"/>
          <w:cols w:equalWidth="0" w:num="1">
            <w:col w:w="11420"/>
          </w:cols>
          <w:pgMar w:left="240" w:top="405" w:right="239" w:bottom="1002"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002" w:gutter="0" w:footer="0" w:header="0"/>
          <w:type w:val="continuous"/>
        </w:sectPr>
      </w:pPr>
    </w:p>
    <w:bookmarkStart w:id="16" w:name="page17"/>
    <w:bookmarkEnd w:id="16"/>
    <w:p>
      <w:pPr>
        <w:jc w:val="both"/>
        <w:ind w:firstLine="324"/>
        <w:spacing w:after="0" w:line="264" w:lineRule="auto"/>
        <w:rPr>
          <w:sz w:val="20"/>
          <w:szCs w:val="20"/>
          <w:color w:val="auto"/>
        </w:rPr>
      </w:pPr>
      <w:r>
        <w:rPr>
          <w:rFonts w:ascii="Arial" w:cs="Arial" w:eastAsia="Arial" w:hAnsi="Arial"/>
          <w:sz w:val="18"/>
          <w:szCs w:val="18"/>
          <w:color w:val="auto"/>
        </w:rPr>
        <w:t>On July 25, 2016, $950.0 million and $11.64 million under the term loan facility and the revolving credit facility, respectively, of the Legacy Facility Re-financing were drawn to refinance the aggregate existing indebtedness of $959.90 million of GAS-one Ltd., GAS-two Ltd., GAS-six Ltd., GAS-seven Ltd., GAS-eight Ltd., GAS-nine Ltd., GAS-ten Ltd. and GAS-fifteen Ltd.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Swaps’ Termination and New Swap Agreements</w:t>
      </w:r>
    </w:p>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In July 2016, the Group terminated interest rate swap agreements with an aggregate notional value of $874.92 million, associated with the six legacy facilities that were re-financed by the Legacy Facility Re-financing. Concurrently, GasLog entered into new interest rate swap agreements with a notional value of $870.0 million in aggregate, maturing between 2020 and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September 14, 2016, the board of directors declared a dividend on the Series A Preference Shares of $0.546875 per share, or $2.52 million in aggregate, payable on October 3, 2016 to holders of record as of September 30, 2016. GasLog paid the declared dividend to the transfer agent on September 30, 2016.</w:t>
      </w:r>
    </w:p>
    <w:p>
      <w:pPr>
        <w:spacing w:after="0" w:line="18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On November 2, 2016, the board of directors declared a quarterly cash dividend of $0.14 per common share payable on November 24, 2016 to shareholders of record as of November 14,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our wholly owned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8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Vessel Name</w:t>
            </w:r>
          </w:p>
        </w:tc>
        <w:tc>
          <w:tcPr>
            <w:tcW w:w="2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240" w:type="dxa"/>
            <w:vAlign w:val="bottom"/>
            <w:tcBorders>
              <w:bottom w:val="single" w:sz="8" w:color="E5FF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(cbm)</w:t>
            </w:r>
          </w:p>
        </w:tc>
        <w:tc>
          <w:tcPr>
            <w:tcW w:w="24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24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22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2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(2)</w:t>
            </w:r>
          </w:p>
        </w:tc>
      </w:tr>
      <w:tr>
        <w:trPr>
          <w:trHeight w:val="250"/>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282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Savannah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E5FFFF"/>
          </w:tcPr>
          <w:p>
            <w:pPr>
              <w:spacing w:after="0"/>
              <w:rPr>
                <w:sz w:val="21"/>
                <w:szCs w:val="21"/>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3"/>
              </w:rPr>
              <w:t xml:space="preserve">Spot Market </w:t>
            </w:r>
            <w:r>
              <w:rPr>
                <w:rFonts w:ascii="Arial" w:cs="Arial" w:eastAsia="Arial" w:hAnsi="Arial"/>
                <w:sz w:val="28"/>
                <w:szCs w:val="28"/>
                <w:color w:val="auto"/>
                <w:w w:val="93"/>
                <w:vertAlign w:val="superscript"/>
              </w:rPr>
              <w:t>(3)</w:t>
            </w:r>
          </w:p>
        </w:tc>
        <w:tc>
          <w:tcPr>
            <w:tcW w:w="24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192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282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Singapore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282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Skagen</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20"/>
              <w:spacing w:after="0" w:line="256" w:lineRule="exact"/>
              <w:rPr>
                <w:sz w:val="20"/>
                <w:szCs w:val="20"/>
                <w:color w:val="auto"/>
              </w:rPr>
            </w:pPr>
            <w:r>
              <w:rPr>
                <w:rFonts w:ascii="Arial" w:cs="Arial" w:eastAsia="Arial" w:hAnsi="Arial"/>
                <w:sz w:val="18"/>
                <w:szCs w:val="18"/>
                <w:color w:val="auto"/>
                <w:w w:val="91"/>
              </w:rPr>
              <w:t>April 2021</w:t>
            </w:r>
            <w:r>
              <w:rPr>
                <w:rFonts w:ascii="Arial" w:cs="Arial" w:eastAsia="Arial" w:hAnsi="Arial"/>
                <w:sz w:val="29"/>
                <w:szCs w:val="29"/>
                <w:color w:val="auto"/>
                <w:w w:val="91"/>
                <w:vertAlign w:val="superscript"/>
              </w:rPr>
              <w:t>(5)</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282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Chelsea</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153,600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2820" w:type="dxa"/>
            <w:vAlign w:val="bottom"/>
            <w:gridSpan w:val="2"/>
            <w:shd w:val="clear" w:color="auto" w:fill="E5FFFF"/>
          </w:tcPr>
          <w:p>
            <w:pPr>
              <w:ind w:left="80"/>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color w:val="auto"/>
                <w:vertAlign w:val="superscript"/>
              </w:rPr>
              <w:t>(6)</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2025-2030</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2820" w:type="dxa"/>
            <w:vAlign w:val="bottom"/>
            <w:gridSpan w:val="2"/>
          </w:tcPr>
          <w:p>
            <w:pPr>
              <w:ind w:left="80"/>
              <w:spacing w:after="0"/>
              <w:rPr>
                <w:sz w:val="20"/>
                <w:szCs w:val="20"/>
                <w:color w:val="auto"/>
              </w:rPr>
            </w:pPr>
            <w:r>
              <w:rPr>
                <w:rFonts w:ascii="Arial" w:cs="Arial" w:eastAsia="Arial" w:hAnsi="Arial"/>
                <w:sz w:val="18"/>
                <w:szCs w:val="18"/>
                <w:i w:val="1"/>
                <w:iCs w:val="1"/>
                <w:color w:val="auto"/>
              </w:rPr>
              <w:t>Solaris</w:t>
            </w:r>
          </w:p>
        </w:tc>
        <w:tc>
          <w:tcPr>
            <w:tcW w:w="580" w:type="dxa"/>
            <w:vAlign w:val="bottom"/>
          </w:tcPr>
          <w:p>
            <w:pPr>
              <w:ind w:left="12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2021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282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Saratoga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2820" w:type="dxa"/>
            <w:vAlign w:val="bottom"/>
            <w:gridSpan w:val="2"/>
          </w:tcPr>
          <w:p>
            <w:pPr>
              <w:ind w:left="80"/>
              <w:spacing w:after="0"/>
              <w:rPr>
                <w:sz w:val="20"/>
                <w:szCs w:val="20"/>
                <w:color w:val="auto"/>
              </w:rPr>
            </w:pPr>
            <w:r>
              <w:rPr>
                <w:rFonts w:ascii="Arial" w:cs="Arial" w:eastAsia="Arial" w:hAnsi="Arial"/>
                <w:sz w:val="18"/>
                <w:szCs w:val="18"/>
                <w:i w:val="1"/>
                <w:iCs w:val="1"/>
                <w:color w:val="auto"/>
              </w:rPr>
              <w:t>Methane Lydon Volney</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Steam</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October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282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Methane Becki Anne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170,000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2"/>
              </w:rPr>
              <w:t>March 2024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2027-2029</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82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Salem</w:t>
            </w:r>
          </w:p>
        </w:tc>
        <w:tc>
          <w:tcPr>
            <w:tcW w:w="580" w:type="dxa"/>
            <w:vAlign w:val="bottom"/>
          </w:tcPr>
          <w:p>
            <w:pPr>
              <w:ind w:left="12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11</w:t>
            </w:r>
          </w:p>
        </w:tc>
        <w:tc>
          <w:tcPr>
            <w:tcW w:w="282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Greece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2"/>
              </w:rPr>
              <w:t>March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2031</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82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Glasgow</w:t>
            </w:r>
          </w:p>
        </w:tc>
        <w:tc>
          <w:tcPr>
            <w:tcW w:w="580" w:type="dxa"/>
            <w:vAlign w:val="bottom"/>
          </w:tcPr>
          <w:p>
            <w:pPr>
              <w:ind w:left="1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2031</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13</w:t>
            </w:r>
          </w:p>
        </w:tc>
        <w:tc>
          <w:tcPr>
            <w:tcW w:w="282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Geneva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September 2023</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2028-2031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the Partnership’s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5"/>
        </w:trPr>
        <w:tc>
          <w:tcPr>
            <w:tcW w:w="22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Vessel Name</w:t>
            </w:r>
          </w:p>
        </w:tc>
        <w:tc>
          <w:tcPr>
            <w:tcW w:w="2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240" w:type="dxa"/>
            <w:vAlign w:val="bottom"/>
            <w:tcBorders>
              <w:bottom w:val="single" w:sz="8" w:color="E5FF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(cbm)</w:t>
            </w:r>
          </w:p>
        </w:tc>
        <w:tc>
          <w:tcPr>
            <w:tcW w:w="24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24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22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5"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2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5"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(2)</w:t>
            </w:r>
          </w:p>
        </w:tc>
      </w:tr>
      <w:tr>
        <w:trPr>
          <w:trHeight w:val="250"/>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288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Shanghai</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E5FFFF"/>
          </w:tcPr>
          <w:p>
            <w:pPr>
              <w:spacing w:after="0"/>
              <w:rPr>
                <w:sz w:val="21"/>
                <w:szCs w:val="21"/>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1"/>
              </w:rPr>
              <w:t xml:space="preserve">Shell </w:t>
            </w:r>
            <w:r>
              <w:rPr>
                <w:rFonts w:ascii="Arial" w:cs="Arial" w:eastAsia="Arial" w:hAnsi="Arial"/>
                <w:sz w:val="28"/>
                <w:szCs w:val="28"/>
                <w:color w:val="auto"/>
                <w:w w:val="91"/>
                <w:vertAlign w:val="superscript"/>
              </w:rPr>
              <w:t>(4)</w:t>
            </w:r>
          </w:p>
        </w:tc>
        <w:tc>
          <w:tcPr>
            <w:tcW w:w="24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192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4"/>
              </w:rPr>
              <w:t>May 2018</w:t>
            </w:r>
            <w:r>
              <w:rPr>
                <w:rFonts w:ascii="Arial" w:cs="Arial" w:eastAsia="Arial" w:hAnsi="Arial"/>
                <w:sz w:val="28"/>
                <w:szCs w:val="28"/>
                <w:color w:val="auto"/>
                <w:w w:val="94"/>
                <w:vertAlign w:val="superscript"/>
              </w:rPr>
              <w:t>(7)</w:t>
            </w:r>
          </w:p>
        </w:tc>
        <w:tc>
          <w:tcPr>
            <w:tcW w:w="2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288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Santiago</w:t>
            </w:r>
          </w:p>
        </w:tc>
        <w:tc>
          <w:tcPr>
            <w:tcW w:w="580" w:type="dxa"/>
            <w:vAlign w:val="bottom"/>
          </w:tcPr>
          <w:p>
            <w:pPr>
              <w:ind w:left="12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20"/>
              <w:spacing w:after="0" w:line="256" w:lineRule="exact"/>
              <w:rPr>
                <w:sz w:val="20"/>
                <w:szCs w:val="20"/>
                <w:color w:val="auto"/>
              </w:rPr>
            </w:pPr>
            <w:r>
              <w:rPr>
                <w:rFonts w:ascii="Arial" w:cs="Arial" w:eastAsia="Arial" w:hAnsi="Arial"/>
                <w:sz w:val="18"/>
                <w:szCs w:val="18"/>
                <w:color w:val="auto"/>
                <w:w w:val="87"/>
              </w:rPr>
              <w:t>July 2018</w:t>
            </w:r>
            <w:r>
              <w:rPr>
                <w:rFonts w:ascii="Arial" w:cs="Arial" w:eastAsia="Arial" w:hAnsi="Arial"/>
                <w:sz w:val="29"/>
                <w:szCs w:val="29"/>
                <w:color w:val="auto"/>
                <w:w w:val="87"/>
                <w:vertAlign w:val="superscript"/>
              </w:rPr>
              <w:t>(7)</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288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Sydney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shd w:val="clear" w:color="auto" w:fill="E5FFFF"/>
          </w:tcPr>
          <w:p>
            <w:pPr>
              <w:jc w:val="center"/>
              <w:ind w:right="220"/>
              <w:spacing w:after="0" w:line="256" w:lineRule="exact"/>
              <w:rPr>
                <w:sz w:val="20"/>
                <w:szCs w:val="20"/>
                <w:color w:val="auto"/>
              </w:rPr>
            </w:pPr>
            <w:r>
              <w:rPr>
                <w:rFonts w:ascii="Arial" w:cs="Arial" w:eastAsia="Arial" w:hAnsi="Arial"/>
                <w:sz w:val="18"/>
                <w:szCs w:val="18"/>
                <w:color w:val="auto"/>
                <w:w w:val="86"/>
              </w:rPr>
              <w:t>September 2018</w:t>
            </w:r>
            <w:r>
              <w:rPr>
                <w:rFonts w:ascii="Arial" w:cs="Arial" w:eastAsia="Arial" w:hAnsi="Arial"/>
                <w:sz w:val="29"/>
                <w:szCs w:val="29"/>
                <w:color w:val="auto"/>
                <w:w w:val="86"/>
                <w:vertAlign w:val="superscript"/>
              </w:rPr>
              <w:t>(7)</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288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Rita Andrea</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Steam</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April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288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Jane Elizabeth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Steam</w:t>
            </w:r>
          </w:p>
        </w:tc>
        <w:tc>
          <w:tcPr>
            <w:tcW w:w="214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9"/>
              </w:rPr>
              <w:t>October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288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Shirley Elisabeth</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40" w:type="dxa"/>
            <w:vAlign w:val="bottom"/>
          </w:tcPr>
          <w:p>
            <w:pPr>
              <w:spacing w:after="0"/>
              <w:rPr>
                <w:sz w:val="22"/>
                <w:szCs w:val="22"/>
                <w:color w:val="auto"/>
              </w:rPr>
            </w:pPr>
          </w:p>
        </w:tc>
        <w:tc>
          <w:tcPr>
            <w:tcW w:w="172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Steam</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288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Alison Victoria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E5FFFF"/>
          </w:tcPr>
          <w:p>
            <w:pPr>
              <w:spacing w:after="0"/>
              <w:rPr>
                <w:sz w:val="22"/>
                <w:szCs w:val="22"/>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240" w:type="dxa"/>
            <w:vAlign w:val="bottom"/>
            <w:shd w:val="clear" w:color="auto" w:fill="E5FFFF"/>
          </w:tcPr>
          <w:p>
            <w:pPr>
              <w:spacing w:after="0"/>
              <w:rPr>
                <w:sz w:val="22"/>
                <w:szCs w:val="22"/>
                <w:color w:val="auto"/>
              </w:rPr>
            </w:pPr>
          </w:p>
        </w:tc>
        <w:tc>
          <w:tcPr>
            <w:tcW w:w="172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(4)</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Steam</w:t>
            </w:r>
          </w:p>
        </w:tc>
        <w:tc>
          <w:tcPr>
            <w:tcW w:w="214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8"/>
              </w:rPr>
              <w:t>December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390"/>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288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Heather Sally</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240" w:type="dxa"/>
            <w:vAlign w:val="bottom"/>
          </w:tcPr>
          <w:p>
            <w:pPr>
              <w:spacing w:after="0"/>
              <w:rPr>
                <w:sz w:val="24"/>
                <w:szCs w:val="2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 xml:space="preserve">Shell </w:t>
            </w:r>
            <w:r>
              <w:rPr>
                <w:rFonts w:ascii="Arial" w:cs="Arial" w:eastAsia="Arial" w:hAnsi="Arial"/>
                <w:sz w:val="30"/>
                <w:szCs w:val="30"/>
                <w:color w:val="auto"/>
                <w:w w:val="86"/>
                <w:vertAlign w:val="superscript"/>
              </w:rPr>
              <w:t>(4)</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Steam</w:t>
            </w: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99"/>
        </w:trPr>
        <w:tc>
          <w:tcPr>
            <w:tcW w:w="3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Bareboat Vessel</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2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Vessel Name</w:t>
            </w:r>
          </w:p>
        </w:tc>
        <w:tc>
          <w:tcPr>
            <w:tcW w:w="220" w:type="dxa"/>
            <w:vAlign w:val="bottom"/>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24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(cbm)</w:t>
            </w:r>
          </w:p>
        </w:tc>
        <w:tc>
          <w:tcPr>
            <w:tcW w:w="24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240" w:type="dxa"/>
            <w:vAlign w:val="bottom"/>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220" w:type="dxa"/>
            <w:vAlign w:val="bottom"/>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(2)</w:t>
            </w:r>
          </w:p>
        </w:tc>
      </w:tr>
      <w:tr>
        <w:trPr>
          <w:trHeight w:val="384"/>
        </w:trPr>
        <w:tc>
          <w:tcPr>
            <w:tcW w:w="220" w:type="dxa"/>
            <w:vAlign w:val="bottom"/>
          </w:tcPr>
          <w:p>
            <w:pPr>
              <w:spacing w:after="0"/>
              <w:rPr>
                <w:sz w:val="20"/>
                <w:szCs w:val="20"/>
                <w:color w:val="auto"/>
              </w:rPr>
            </w:pPr>
            <w:r>
              <w:rPr>
                <w:rFonts w:ascii="Arial" w:cs="Arial" w:eastAsia="Arial" w:hAnsi="Arial"/>
                <w:sz w:val="18"/>
                <w:szCs w:val="18"/>
                <w:b w:val="1"/>
                <w:bCs w:val="1"/>
                <w:color w:val="auto"/>
              </w:rPr>
              <w:t>1</w:t>
            </w:r>
          </w:p>
        </w:tc>
        <w:tc>
          <w:tcPr>
            <w:tcW w:w="2660" w:type="dxa"/>
            <w:vAlign w:val="bottom"/>
          </w:tcPr>
          <w:p>
            <w:pPr>
              <w:ind w:left="140"/>
              <w:spacing w:after="0"/>
              <w:rPr>
                <w:sz w:val="20"/>
                <w:szCs w:val="20"/>
                <w:color w:val="auto"/>
              </w:rPr>
            </w:pPr>
            <w:r>
              <w:rPr>
                <w:rFonts w:ascii="Arial" w:cs="Arial" w:eastAsia="Arial" w:hAnsi="Arial"/>
                <w:sz w:val="18"/>
                <w:szCs w:val="18"/>
                <w:i w:val="1"/>
                <w:iCs w:val="1"/>
                <w:color w:val="auto"/>
              </w:rPr>
              <w:t xml:space="preserve">Methane Julia Louise </w:t>
            </w:r>
            <w:r>
              <w:rPr>
                <w:rFonts w:ascii="Arial" w:cs="Arial" w:eastAsia="Arial" w:hAnsi="Arial"/>
                <w:sz w:val="30"/>
                <w:szCs w:val="30"/>
                <w:color w:val="auto"/>
                <w:vertAlign w:val="superscript"/>
              </w:rPr>
              <w:t>(8)</w:t>
            </w:r>
          </w:p>
        </w:tc>
        <w:tc>
          <w:tcPr>
            <w:tcW w:w="22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2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 xml:space="preserve">Shell </w:t>
            </w:r>
            <w:r>
              <w:rPr>
                <w:rFonts w:ascii="Arial" w:cs="Arial" w:eastAsia="Arial" w:hAnsi="Arial"/>
                <w:sz w:val="30"/>
                <w:szCs w:val="30"/>
                <w:color w:val="auto"/>
                <w:w w:val="86"/>
                <w:vertAlign w:val="superscript"/>
              </w:rPr>
              <w:t>(4)</w:t>
            </w:r>
          </w:p>
        </w:tc>
        <w:tc>
          <w:tcPr>
            <w:tcW w:w="2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TFDE</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2029-2031</w:t>
            </w:r>
          </w:p>
        </w:tc>
      </w:tr>
    </w:tbl>
    <w:p>
      <w:pPr>
        <w:spacing w:after="0" w:line="6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3" w:lineRule="exact"/>
        <w:rPr>
          <w:rFonts w:ascii="Arial" w:cs="Arial" w:eastAsia="Arial" w:hAnsi="Arial"/>
          <w:sz w:val="12"/>
          <w:szCs w:val="12"/>
          <w:color w:val="auto"/>
        </w:rPr>
      </w:pPr>
    </w:p>
    <w:p>
      <w:pPr>
        <w:ind w:left="200" w:right="20" w:hanging="192"/>
        <w:spacing w:after="0" w:line="242" w:lineRule="auto"/>
        <w:tabs>
          <w:tab w:leader="none" w:pos="200" w:val="left"/>
        </w:tabs>
        <w:numPr>
          <w:ilvl w:val="0"/>
          <w:numId w:val="8"/>
        </w:numPr>
        <w:rPr>
          <w:rFonts w:ascii="Arial" w:cs="Arial" w:eastAsia="Arial" w:hAnsi="Arial"/>
          <w:sz w:val="11"/>
          <w:szCs w:val="11"/>
          <w:color w:val="auto"/>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Savannah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Singapore</w:t>
      </w:r>
      <w:r>
        <w:rPr>
          <w:rFonts w:ascii="Arial" w:cs="Arial" w:eastAsia="Arial" w:hAnsi="Arial"/>
          <w:sz w:val="13"/>
          <w:szCs w:val="13"/>
          <w:color w:val="auto"/>
        </w:rPr>
        <w:t xml:space="preserve"> has declared redelivery notices to GasLog in accordance with the relevant charter parties. The charterer of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has unilateral options to extend the term of the charter for up to ten years, on a seasonal charter basis. The charterer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has unilateral options to extend the term of the time charter for periods ranging from 5 to 10 years,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Methane Lydon Volney</w:t>
      </w:r>
      <w:r>
        <w:rPr>
          <w:rFonts w:ascii="Arial" w:cs="Arial" w:eastAsia="Arial" w:hAnsi="Arial"/>
          <w:sz w:val="13"/>
          <w:szCs w:val="13"/>
          <w:color w:val="auto"/>
        </w:rPr>
        <w:t xml:space="preserve"> has a unilateral option to extend the term for a period of either three or five years at its election. In addition, the charterer of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has a unilateral option to extend the term of two of the related time charters for a period of either three or five years at its election. The charter of the </w:t>
      </w:r>
      <w:r>
        <w:rPr>
          <w:rFonts w:ascii="Arial" w:cs="Arial" w:eastAsia="Arial" w:hAnsi="Arial"/>
          <w:sz w:val="13"/>
          <w:szCs w:val="13"/>
          <w:i w:val="1"/>
          <w:iCs w:val="1"/>
          <w:color w:val="auto"/>
        </w:rPr>
        <w:t>GasLog Shanghai</w:t>
      </w:r>
      <w:r>
        <w:rPr>
          <w:rFonts w:ascii="Arial" w:cs="Arial" w:eastAsia="Arial" w:hAnsi="Arial"/>
          <w:sz w:val="13"/>
          <w:szCs w:val="13"/>
          <w:color w:val="auto"/>
        </w:rPr>
        <w:t xml:space="preserv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and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Sydney </w:t>
      </w:r>
      <w:r>
        <w:rPr>
          <w:rFonts w:ascii="Arial" w:cs="Arial" w:eastAsia="Arial" w:hAnsi="Arial"/>
          <w:sz w:val="13"/>
          <w:szCs w:val="13"/>
          <w:color w:val="auto"/>
        </w:rPr>
        <w:t>may be extended for up to two extension periods of three or four years at the charterer’s option, and each charter requires that the charterer provide us with 90 days’ notice before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charter expiration and 18 months’ notice of its exercise of any extension option. The charterer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may extend either or both of these charters for one extension period of three or five years, and each charter requires that the charterer provide us with advance notice of its exercise of any extension option. The charterer of the</w:t>
      </w:r>
    </w:p>
    <w:p>
      <w:pPr>
        <w:sectPr>
          <w:pgSz w:w="11900" w:h="16838" w:orient="portrait"/>
          <w:cols w:equalWidth="0" w:num="1">
            <w:col w:w="11420"/>
          </w:cols>
          <w:pgMar w:left="240" w:top="409" w:right="239" w:bottom="0" w:gutter="0" w:footer="0" w:header="0"/>
        </w:sectPr>
      </w:pPr>
    </w:p>
    <w:bookmarkStart w:id="17" w:name="page18"/>
    <w:bookmarkEnd w:id="17"/>
    <w:p>
      <w:pPr>
        <w:spacing w:after="0" w:line="264" w:lineRule="auto"/>
        <w:rPr>
          <w:sz w:val="20"/>
          <w:szCs w:val="20"/>
          <w:color w:val="auto"/>
        </w:rPr>
      </w:pPr>
      <w:r>
        <w:rPr>
          <w:rFonts w:ascii="Arial" w:cs="Arial" w:eastAsia="Arial" w:hAnsi="Arial"/>
          <w:sz w:val="13"/>
          <w:szCs w:val="13"/>
          <w:i w:val="1"/>
          <w:iCs w:val="1"/>
          <w:color w:val="auto"/>
        </w:rPr>
        <w:t xml:space="preserve">Methane Becki Anne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has a unilateral option to extend the term of the time charters for a period of either three or five years at its election. The charterer of the</w:t>
      </w:r>
      <w:r>
        <w:rPr>
          <w:rFonts w:ascii="Arial" w:cs="Arial" w:eastAsia="Arial" w:hAnsi="Arial"/>
          <w:sz w:val="13"/>
          <w:szCs w:val="13"/>
          <w:i w:val="1"/>
          <w:iCs w:val="1"/>
          <w:color w:val="auto"/>
        </w:rPr>
        <w:t xml:space="preserve"> GasLog Greece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has the right to extend the charters for a period of five years at the charterer’s option. The charterer of the</w:t>
      </w:r>
      <w:r>
        <w:rPr>
          <w:rFonts w:ascii="Arial" w:cs="Arial" w:eastAsia="Arial" w:hAnsi="Arial"/>
          <w:sz w:val="13"/>
          <w:szCs w:val="13"/>
          <w:i w:val="1"/>
          <w:iCs w:val="1"/>
          <w:color w:val="auto"/>
        </w:rPr>
        <w:t xml:space="preserve"> GasLog Geneva </w:t>
      </w:r>
      <w:r>
        <w:rPr>
          <w:rFonts w:ascii="Arial" w:cs="Arial" w:eastAsia="Arial" w:hAnsi="Arial"/>
          <w:sz w:val="13"/>
          <w:szCs w:val="13"/>
          <w:color w:val="auto"/>
        </w:rPr>
        <w:t>has the right to extend the</w:t>
      </w:r>
      <w:r>
        <w:rPr>
          <w:rFonts w:ascii="Arial" w:cs="Arial" w:eastAsia="Arial" w:hAnsi="Arial"/>
          <w:sz w:val="13"/>
          <w:szCs w:val="13"/>
          <w:i w:val="1"/>
          <w:iCs w:val="1"/>
          <w:color w:val="auto"/>
        </w:rPr>
        <w:t xml:space="preserve"> </w:t>
      </w:r>
      <w:r>
        <w:rPr>
          <w:rFonts w:ascii="Arial" w:cs="Arial" w:eastAsia="Arial" w:hAnsi="Arial"/>
          <w:sz w:val="13"/>
          <w:szCs w:val="13"/>
          <w:color w:val="auto"/>
        </w:rPr>
        <w:t>charter by two additional periods of five and three years, respectively, provided that the charterer provides us with advance notice of declaration.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152400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80"/>
          </w:cols>
          <w:pgMar w:left="440" w:top="122" w:right="479" w:bottom="1440" w:gutter="0" w:footer="0" w:header="0"/>
        </w:sectPr>
      </w:pPr>
    </w:p>
    <w:bookmarkStart w:id="18" w:name="page19"/>
    <w:bookmarkEnd w:id="18"/>
    <w:p>
      <w:pPr>
        <w:ind w:left="240" w:hanging="191"/>
        <w:spacing w:after="0"/>
        <w:tabs>
          <w:tab w:leader="none" w:pos="240" w:val="left"/>
        </w:tabs>
        <w:numPr>
          <w:ilvl w:val="0"/>
          <w:numId w:val="9"/>
        </w:numPr>
        <w:rPr>
          <w:rFonts w:ascii="Arial" w:cs="Arial" w:eastAsia="Arial" w:hAnsi="Arial"/>
          <w:sz w:val="12"/>
          <w:szCs w:val="12"/>
          <w:color w:val="auto"/>
        </w:rPr>
      </w:pPr>
      <w:r>
        <w:rPr>
          <w:rFonts w:ascii="Arial" w:cs="Arial" w:eastAsia="Arial" w:hAnsi="Arial"/>
          <w:sz w:val="14"/>
          <w:szCs w:val="14"/>
          <w:color w:val="auto"/>
        </w:rPr>
        <w:t>Vessels operating in the spot market that have been – or will be – contributed to the Cool Pool.</w:t>
      </w:r>
    </w:p>
    <w:p>
      <w:pPr>
        <w:spacing w:after="0" w:line="13" w:lineRule="exact"/>
        <w:rPr>
          <w:rFonts w:ascii="Arial" w:cs="Arial" w:eastAsia="Arial" w:hAnsi="Arial"/>
          <w:sz w:val="12"/>
          <w:szCs w:val="12"/>
          <w:color w:val="auto"/>
        </w:rPr>
      </w:pPr>
    </w:p>
    <w:p>
      <w:pPr>
        <w:ind w:left="240" w:hanging="191"/>
        <w:spacing w:after="0"/>
        <w:tabs>
          <w:tab w:leader="none" w:pos="240" w:val="left"/>
        </w:tabs>
        <w:numPr>
          <w:ilvl w:val="0"/>
          <w:numId w:val="9"/>
        </w:numPr>
        <w:rPr>
          <w:rFonts w:ascii="Arial" w:cs="Arial" w:eastAsia="Arial" w:hAnsi="Arial"/>
          <w:sz w:val="12"/>
          <w:szCs w:val="12"/>
          <w:color w:val="auto"/>
        </w:rPr>
      </w:pPr>
      <w:r>
        <w:rPr>
          <w:rFonts w:ascii="Arial" w:cs="Arial" w:eastAsia="Arial" w:hAnsi="Arial"/>
          <w:sz w:val="14"/>
          <w:szCs w:val="14"/>
          <w:color w:val="auto"/>
        </w:rPr>
        <w:t>Vessels are chartered to subsidiaries of Shell.</w:t>
      </w:r>
    </w:p>
    <w:p>
      <w:pPr>
        <w:spacing w:after="0" w:line="1" w:lineRule="exact"/>
        <w:rPr>
          <w:rFonts w:ascii="Arial" w:cs="Arial" w:eastAsia="Arial" w:hAnsi="Arial"/>
          <w:sz w:val="12"/>
          <w:szCs w:val="12"/>
          <w:color w:val="auto"/>
        </w:rPr>
      </w:pPr>
    </w:p>
    <w:p>
      <w:pPr>
        <w:ind w:left="240" w:right="160" w:hanging="191"/>
        <w:spacing w:after="0" w:line="221" w:lineRule="auto"/>
        <w:tabs>
          <w:tab w:leader="none" w:pos="240" w:val="left"/>
        </w:tabs>
        <w:numPr>
          <w:ilvl w:val="0"/>
          <w:numId w:val="9"/>
        </w:numPr>
        <w:rPr>
          <w:rFonts w:ascii="Arial" w:cs="Arial" w:eastAsia="Arial" w:hAnsi="Arial"/>
          <w:sz w:val="12"/>
          <w:szCs w:val="12"/>
          <w:color w:val="auto"/>
        </w:rPr>
      </w:pPr>
      <w:r>
        <w:rPr>
          <w:rFonts w:ascii="Arial" w:cs="Arial" w:eastAsia="Arial" w:hAnsi="Arial"/>
          <w:sz w:val="14"/>
          <w:szCs w:val="14"/>
          <w:color w:val="auto"/>
        </w:rPr>
        <w:t>Time charter provides for full employment for three years and a subsequent five year seasonal charter under which the ship is employed for seven months and available to accept other charters for five months.</w:t>
      </w:r>
    </w:p>
    <w:p>
      <w:pPr>
        <w:ind w:left="240" w:hanging="191"/>
        <w:spacing w:after="0"/>
        <w:tabs>
          <w:tab w:leader="none" w:pos="240" w:val="left"/>
        </w:tabs>
        <w:numPr>
          <w:ilvl w:val="0"/>
          <w:numId w:val="9"/>
        </w:numPr>
        <w:rPr>
          <w:rFonts w:ascii="Arial" w:cs="Arial" w:eastAsia="Arial" w:hAnsi="Arial"/>
          <w:sz w:val="12"/>
          <w:szCs w:val="12"/>
          <w:color w:val="auto"/>
        </w:rPr>
      </w:pPr>
      <w:r>
        <w:rPr>
          <w:rFonts w:ascii="Arial" w:cs="Arial" w:eastAsia="Arial" w:hAnsi="Arial"/>
          <w:sz w:val="14"/>
          <w:szCs w:val="14"/>
          <w:color w:val="auto"/>
        </w:rPr>
        <w:t xml:space="preserve">On November 1, 2016, GasLog completed the sale of 100% of the ownership interest in GAS-seven Ltd., the entity which owns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to GasLog Partners.</w:t>
      </w:r>
    </w:p>
    <w:p>
      <w:pPr>
        <w:spacing w:after="0" w:line="1" w:lineRule="exact"/>
        <w:rPr>
          <w:rFonts w:ascii="Arial" w:cs="Arial" w:eastAsia="Arial" w:hAnsi="Arial"/>
          <w:sz w:val="12"/>
          <w:szCs w:val="12"/>
          <w:color w:val="auto"/>
        </w:rPr>
      </w:pPr>
    </w:p>
    <w:p>
      <w:pPr>
        <w:ind w:left="240" w:right="320" w:hanging="191"/>
        <w:spacing w:after="0" w:line="238" w:lineRule="auto"/>
        <w:tabs>
          <w:tab w:leader="none" w:pos="240" w:val="left"/>
        </w:tabs>
        <w:numPr>
          <w:ilvl w:val="0"/>
          <w:numId w:val="9"/>
        </w:numPr>
        <w:rPr>
          <w:rFonts w:ascii="Arial" w:cs="Arial" w:eastAsia="Arial" w:hAnsi="Arial"/>
          <w:sz w:val="11"/>
          <w:szCs w:val="11"/>
          <w:color w:val="auto"/>
        </w:rPr>
      </w:pPr>
      <w:r>
        <w:rPr>
          <w:rFonts w:ascii="Arial" w:cs="Arial" w:eastAsia="Arial" w:hAnsi="Arial"/>
          <w:sz w:val="13"/>
          <w:szCs w:val="13"/>
          <w:color w:val="auto"/>
        </w:rPr>
        <w:t xml:space="preserve">Charter expiration was amended based on the agreement signed with MSL on April 21, 2015. With respect to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whose charter was shortened by eight months under such agreement, if MSL does not exercise the charter extension options for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and GasLog Partners does not enter into a third-party charter for the </w:t>
      </w:r>
      <w:r>
        <w:rPr>
          <w:rFonts w:ascii="Arial" w:cs="Arial" w:eastAsia="Arial" w:hAnsi="Arial"/>
          <w:sz w:val="13"/>
          <w:szCs w:val="13"/>
          <w:i w:val="1"/>
          <w:iCs w:val="1"/>
          <w:color w:val="auto"/>
        </w:rPr>
        <w:t>GasLog Sydney</w:t>
      </w:r>
      <w:r>
        <w:rPr>
          <w:rFonts w:ascii="Arial" w:cs="Arial" w:eastAsia="Arial" w:hAnsi="Arial"/>
          <w:sz w:val="13"/>
          <w:szCs w:val="13"/>
          <w:color w:val="auto"/>
        </w:rPr>
        <w:t>, GasLog and GasLog Partners intend to enter into a bareboat or time charter arrangement that is designed to guarantee the total cash distribution from the vessel for any period of charter shortening.</w:t>
      </w:r>
    </w:p>
    <w:p>
      <w:pPr>
        <w:ind w:left="240" w:right="20" w:hanging="191"/>
        <w:spacing w:after="0" w:line="229" w:lineRule="auto"/>
        <w:tabs>
          <w:tab w:leader="none" w:pos="240" w:val="left"/>
        </w:tabs>
        <w:numPr>
          <w:ilvl w:val="0"/>
          <w:numId w:val="9"/>
        </w:numPr>
        <w:rPr>
          <w:rFonts w:ascii="Arial" w:cs="Arial" w:eastAsia="Arial" w:hAnsi="Arial"/>
          <w:sz w:val="12"/>
          <w:szCs w:val="12"/>
          <w:color w:val="auto"/>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a subsidiary of Mitsui. Mitsui has the right to on-sell and lease back the vessel. The vessel was sold to Mitsui for a cash consideration of $217.0 million.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The vessel remains on its eleven year charter with MSL.</w:t>
      </w:r>
    </w:p>
    <w:p>
      <w:pPr>
        <w:spacing w:after="0" w:line="12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Gibraltar </w:t>
      </w:r>
      <w:r>
        <w:rPr>
          <w:rFonts w:ascii="Arial" w:cs="Arial" w:eastAsia="Arial" w:hAnsi="Arial"/>
          <w:sz w:val="17"/>
          <w:szCs w:val="17"/>
          <w:color w:val="auto"/>
        </w:rPr>
        <w:t>within 36 months after we notify the Partnership’s board of directors of the vessel’s acceptance by its charterer, (ii) the</w:t>
      </w:r>
      <w:r>
        <w:rPr>
          <w:rFonts w:ascii="Arial" w:cs="Arial" w:eastAsia="Arial" w:hAnsi="Arial"/>
          <w:sz w:val="17"/>
          <w:szCs w:val="17"/>
          <w:i w:val="1"/>
          <w:iCs w:val="1"/>
          <w:color w:val="auto"/>
        </w:rPr>
        <w:t xml:space="preserve"> Methane Lydon Volney </w:t>
      </w:r>
      <w:r>
        <w:rPr>
          <w:rFonts w:ascii="Arial" w:cs="Arial" w:eastAsia="Arial" w:hAnsi="Arial"/>
          <w:sz w:val="17"/>
          <w:szCs w:val="17"/>
          <w:color w:val="auto"/>
        </w:rPr>
        <w:t xml:space="preserve">within 36 months after the closing of GasLog Partners’ initial public offering on May 12, 2014 and (iii)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right to acquire GAS-twenty six Ltd. with its long-term bareboat charter of (and the right to acquire)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(which is subject to a multi-year charter to MSL) within 36 months after the completion of its acquisition by GasLog on March 31, 2015. In each case, GasLog Partners’ option to purchase is at fair market value as determined pursuant to the omnibus agreement.</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 up costs (in the case of a newly acquired Five Year Vessel) or at their fair market value (in the case of a previously owned vessel that becomes a Five Year Vessel). In addition, our five remaining newbuildings (Hull Nos. 2130, 2131, 2800, 2801 and 2212) will each qualify as a Five Year Vessel upon commencement of their charters, and we will be required to offer to GasLog Partners an opportunity to purchase each vessel at fair market value within 30 days of the commencement of its charter. Generally, GasLog Partners must exercise this right of first offer within 30 days following the notice from us that the vessel has been acquired or has become a Five Year Vessel.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September 30, 2015 compared to the three-month period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98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E5FF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E5FFFF"/>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7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105,791</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120,727</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2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(25,566)</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(26,821)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(4,042)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2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(28,210)</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(31,373)</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(10,900)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37,073</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49,076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Financial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(24,483)</w:t>
            </w: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21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128</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Loss on swaps</w:t>
            </w: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(8,228)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r>
        <w:trPr>
          <w:trHeight w:val="23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21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390</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(32,193</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(65,499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4,880</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(16,423</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440" w:type="dxa"/>
            <w:vAlign w:val="bottom"/>
            <w:tcBorders>
              <w:bottom w:val="single" w:sz="8" w:color="E5FFFF"/>
            </w:tcBorders>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(12,159</w:t>
            </w:r>
          </w:p>
        </w:tc>
        <w:tc>
          <w:tcPr>
            <w:tcW w:w="460" w:type="dxa"/>
            <w:vAlign w:val="bottom"/>
            <w:tcBorders>
              <w:bottom w:val="single" w:sz="8" w:color="E5FFFF"/>
            </w:tcBorders>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(12,623</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 attributable to owners of the Group</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(7,279</w:t>
            </w:r>
          </w:p>
        </w:tc>
        <w:tc>
          <w:tcPr>
            <w:tcW w:w="460" w:type="dxa"/>
            <w:vAlign w:val="bottom"/>
            <w:tcBorders>
              <w:bottom w:val="single" w:sz="8" w:color="E5FFFF"/>
            </w:tcBorders>
            <w:shd w:val="clear" w:color="auto" w:fill="E5FFFF"/>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(29,046</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7" w:lineRule="auto"/>
        <w:rPr>
          <w:sz w:val="20"/>
          <w:szCs w:val="20"/>
          <w:color w:val="auto"/>
        </w:rPr>
      </w:pPr>
      <w:r>
        <w:rPr>
          <w:rFonts w:ascii="Arial" w:cs="Arial" w:eastAsia="Arial" w:hAnsi="Arial"/>
          <w:sz w:val="18"/>
          <w:szCs w:val="18"/>
          <w:color w:val="auto"/>
        </w:rPr>
        <w:t>During the three-month period ended September 30, 2015, we had an average of 19.0 ships operating in our owned fleet (including ships owned by the Partnership), having 1,568 operating days and an average of 22.0 ships operating under our technical management (including our 18.0 owned ships). During the three-month period ended September 30, 2016, we had an average of 21.0 ships operating in our owned and bareboat fleet (including ships owned by the Partnership), having 1,925 operating days and an average of 24.0 ships operating under our technical management (including 20.0 of our owned and bareboat ships).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Revenues increased by 14.12%, or $14.94 million, from $105.79 million during the three-month period ended September 30, 2015, to $120.73 million during the three-month period ended September 30, 2016. The increase is attributable to an increase in revenues by $15.47 million due to the deliveries of the </w:t>
      </w:r>
      <w:r>
        <w:rPr>
          <w:rFonts w:ascii="Arial" w:cs="Arial" w:eastAsia="Arial" w:hAnsi="Arial"/>
          <w:sz w:val="17"/>
          <w:szCs w:val="17"/>
          <w:i w:val="1"/>
          <w:iCs w:val="1"/>
          <w:color w:val="auto"/>
        </w:rPr>
        <w:t>GasLog 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Glasgow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on March 29, 2016, June 30, 2016 and September 30, 2016, respectively, resulting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operating days, an increase of $2.36 million caused mainly by the off-hire days due to drydocking of one of our vessels in the third quarter of 2015, as well as an increase of $3.62 million in revenues of four vessels operating in the spot market and this increase was partially offset by a decrease of $6.27 million from all other vessels. The daily hire rate for the three-month period ended September 30, 2015 was $67,122 as compared to $62,558 for the three-month period ended September 30, 2016 affected by the decrease in the spot market. Furthermore, there was a decrease of $0.24 million in revenues from technical management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Vessel operating and supervision costs increased by 4.89%, or $1.25 million, from $25.57 million during the three-month period ended September 30, 2015, to $26.82 million during the three-month period ended September 30, 2016. The increase is primarily attributable to the increase in our fleet in the three-month period ended September 30, 2016, compared to the same period of 2015, as described above, partially offset by the decrease in vessels’ tax, insurance costs and crew social contributions. Daily operating cost per vessel decreased from $14,626 per day during the three-month period ended September 30, 2015 to $14,577 per day during the three-month period ended September 30,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Voyage expenses and commissions increased marginally by 3.47%, or $0.14 million, from $4.04 million during the three-month period ended September 30, 2015, to $4.18 million during the three-month period ended September 30, 2016. The increase is mainly attributable to an increase of $0.15 million in brokers’ commissions.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Depreciation increased by 11.20%, or $3.16 million, from $28.21 million during the three-month period ended September 30, 2015, to $31.37 million during the three-month period ended September 30, 2016. The increase in depreciation resulted mainly from the increase in the average number of vessels in our fleet in the three-month period ended September 30, 2016, compared to the same period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General and administrative expenses decreased by 14.95%, or $1.63 million, from $10.90 million during the three-month period ended September 30, 2015, to $9.27 million during the three-month period ended September 30, 2016. The decrease is mainly attributable to a decrease of $2.16 million in legal fees and other professional services related mainly to consultancy fees charged in 2015, which was partially offset by an increase of $0.25 million in non-cash share-based compensation expense, an increase of $0.13 million in net foreign exchange differences, mainly due to the unfavorable movement of the EUR/USD exchange rate in the three-month period ended September 30, 2016 as compared to the comparative period of 2015 and an increase of $0.15 million in all other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Financial costs increased by 88.28%, or $21.61 million, from $24.48 million during the three-month period ended September 30, 2015, to $46.09 million during the three-month period ended September 30, 2016. The increase is attributable to (a) an increase of $17.72 million in the amortization of deferred loan fees, mainly driven by a write-off of $18.21 million of unamortized loan fees associated with the six legacy facilities that were refinanced by the Legacy Facility Re-financing, (b) an increase of $2.79 million due to finance lease charges in 2016, (c) an increase of $0.67 million in interest expense on loans, bond and cash flow hedges and (d) an increase of $0.43 million in other financial costs. During the three-month period ended September 30, 2015, we had an average of $2,513.13 million of outstanding indebtedness, with a weighted average interest rate of 3.28% and during the three-month period ended September 30, 2016, we had an average of $2,435.26 million of outstanding indebtedness, having an aggregate weighted average interest rate of 3.50%. These weighted average interest rates include interest expense on loans and cash flow hedges and interest expense on bonds and cross currency swaps (“CCSs”).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Swaps:</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Loss on swaps increased by $11.70 million, from $8.23 million during the three-month period ended September 30, 2015, to $19.93 million during the three-month period ended September 30, 2016. The increase is mainly attributable to an increase of $16.87 million in recycled loss that was reclassified from equity to the statement of profit or loss, $17.24 million of which related to the cumulative loss from the period that the hedges of the interest rate swaps terminated in July 2016 were effective, and an increase in realized loss from interest rate swaps held for trading of $0.18 million, which was partially offset by a decrease in loss of $5.35 million from mark-to-market valuation of our interest rate swaps carried at fair value through profit or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 the Period:</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Profit for the period decreased by $21.30 million, from a profit of $4.88 million for the three-month period ended September 30, 2015, to a loss of $16.42 million for the three-month period ended September 30, 2016, as a result of the aforementioned factors.</w:t>
      </w:r>
    </w:p>
    <w:p>
      <w:pPr>
        <w:sectPr>
          <w:pgSz w:w="11900" w:h="16838" w:orient="portrait"/>
          <w:cols w:equalWidth="0" w:num="1">
            <w:col w:w="11400"/>
          </w:cols>
          <w:pgMar w:left="240" w:top="40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Loss Attributable to Owners of the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Loss attributable to owners of the Group increased by $21.77 million, from $7.28 million for the three-month period ended September 30, 2015,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$29.05 million for the three-month period ended September 30, 2016. The increase in loss attributable to the owners of the Group resulted mainly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loss mentioned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 ended September 30, 2015 compared to the nine-month period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98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1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E5FF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E5FFFF"/>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7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tcPr>
          <w:p>
            <w:pPr>
              <w:jc w:val="right"/>
              <w:ind w:right="380"/>
              <w:spacing w:after="0"/>
              <w:rPr>
                <w:sz w:val="20"/>
                <w:szCs w:val="20"/>
                <w:color w:val="auto"/>
              </w:rPr>
            </w:pPr>
            <w:r>
              <w:rPr>
                <w:rFonts w:ascii="Arial" w:cs="Arial" w:eastAsia="Arial" w:hAnsi="Arial"/>
                <w:sz w:val="18"/>
                <w:szCs w:val="18"/>
                <w:color w:val="auto"/>
              </w:rPr>
              <w:t>307,557</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339,578</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2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(73,981)</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(83,242)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(10,197)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218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(78,179)</w:t>
            </w:r>
          </w:p>
        </w:tc>
        <w:tc>
          <w:tcPr>
            <w:tcW w:w="1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(89,021)</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(30,398)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114,802</w:t>
            </w:r>
          </w:p>
        </w:tc>
        <w:tc>
          <w:tcPr>
            <w:tcW w:w="46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126,250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Financial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(67,257)</w:t>
            </w: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21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277</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Loss on swaps</w:t>
            </w:r>
          </w:p>
        </w:tc>
        <w:tc>
          <w:tcPr>
            <w:tcW w:w="2180" w:type="dxa"/>
            <w:vAlign w:val="bottom"/>
            <w:gridSpan w:val="2"/>
          </w:tcPr>
          <w:p>
            <w:pPr>
              <w:jc w:val="right"/>
              <w:ind w:right="320"/>
              <w:spacing w:after="0"/>
              <w:rPr>
                <w:sz w:val="20"/>
                <w:szCs w:val="20"/>
                <w:color w:val="auto"/>
              </w:rPr>
            </w:pPr>
            <w:r>
              <w:rPr>
                <w:rFonts w:ascii="Arial" w:cs="Arial" w:eastAsia="Arial" w:hAnsi="Arial"/>
                <w:sz w:val="18"/>
                <w:szCs w:val="18"/>
                <w:color w:val="auto"/>
              </w:rPr>
              <w:t>(13,569)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(39,384)</w:t>
            </w:r>
          </w:p>
        </w:tc>
        <w:tc>
          <w:tcPr>
            <w:tcW w:w="0" w:type="dxa"/>
            <w:vAlign w:val="bottom"/>
          </w:tcPr>
          <w:p>
            <w:pPr>
              <w:spacing w:after="0"/>
              <w:rPr>
                <w:sz w:val="1"/>
                <w:szCs w:val="1"/>
                <w:color w:val="auto"/>
              </w:rPr>
            </w:pPr>
          </w:p>
        </w:tc>
      </w:tr>
      <w:tr>
        <w:trPr>
          <w:trHeight w:val="23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21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1,180</w:t>
            </w:r>
          </w:p>
        </w:tc>
        <w:tc>
          <w:tcPr>
            <w:tcW w:w="1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(79,369</w:t>
            </w:r>
          </w:p>
        </w:tc>
        <w:tc>
          <w:tcPr>
            <w:tcW w:w="460" w:type="dxa"/>
            <w:vAlign w:val="bottom"/>
            <w:tcBorders>
              <w:bottom w:val="single" w:sz="8" w:color="E5FFFF"/>
            </w:tcBorders>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(144,625</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35,433</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(18,375</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440" w:type="dxa"/>
            <w:vAlign w:val="bottom"/>
            <w:tcBorders>
              <w:bottom w:val="single" w:sz="8" w:color="E5FFFF"/>
            </w:tcBorders>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(30,130</w:t>
            </w:r>
          </w:p>
        </w:tc>
        <w:tc>
          <w:tcPr>
            <w:tcW w:w="460" w:type="dxa"/>
            <w:vAlign w:val="bottom"/>
            <w:tcBorders>
              <w:bottom w:val="single" w:sz="8" w:color="E5FFFF"/>
            </w:tcBorders>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(34,433</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attributable to owners of the Group</w:t>
            </w: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5,303</w:t>
            </w:r>
          </w:p>
        </w:tc>
        <w:tc>
          <w:tcPr>
            <w:tcW w:w="460" w:type="dxa"/>
            <w:vAlign w:val="bottom"/>
            <w:tcBorders>
              <w:bottom w:val="single" w:sz="8" w:color="E5FFFF"/>
            </w:tcBorders>
            <w:shd w:val="clear" w:color="auto" w:fill="E5FFFF"/>
          </w:tcPr>
          <w:p>
            <w:pPr>
              <w:spacing w:after="0"/>
              <w:rPr>
                <w:sz w:val="19"/>
                <w:szCs w:val="19"/>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(52,808</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the nine-month period ended September 30, 2015, we had an average of 17.9 ships operating in our owned fleet (including ships owned by the Partnership), having 4,386 operating days and an average of 21.6 ships operating under our technical management (including our 16.9 owned ships). During the nine-month period ended September 30, 2016, we had an average of 20.0 ships operating in our owned and bareboat fleet (including ships owned by the Partnership), having 5,361 operating days and an average of 23.0 ships operating under our technical management (including 19.0 of our owned and bareboat 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Revenues increased by 10.41%, or $32.02 million, from $307.56 million during the nine-month period ended September 30, 2015, to $339.58 million during the nine-month period ended September 30, 2016. The increase is attributable to an increase in revenues by $38.22 million due to the acquisition of the </w:t>
      </w:r>
      <w:r>
        <w:rPr>
          <w:rFonts w:ascii="Arial" w:cs="Arial" w:eastAsia="Arial" w:hAnsi="Arial"/>
          <w:sz w:val="17"/>
          <w:szCs w:val="17"/>
          <w:i w:val="1"/>
          <w:iCs w:val="1"/>
          <w:color w:val="auto"/>
        </w:rPr>
        <w:t xml:space="preserve">Methane Becki Anne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Julia Louise, </w:t>
      </w:r>
      <w:r>
        <w:rPr>
          <w:rFonts w:ascii="Arial" w:cs="Arial" w:eastAsia="Arial" w:hAnsi="Arial"/>
          <w:sz w:val="17"/>
          <w:szCs w:val="17"/>
          <w:color w:val="auto"/>
        </w:rPr>
        <w:t>which were both acquired from BG Group on March 31, 2015, the deliveries of the</w:t>
      </w:r>
      <w:r>
        <w:rPr>
          <w:rFonts w:ascii="Arial" w:cs="Arial" w:eastAsia="Arial" w:hAnsi="Arial"/>
          <w:sz w:val="17"/>
          <w:szCs w:val="17"/>
          <w:i w:val="1"/>
          <w:iCs w:val="1"/>
          <w:color w:val="auto"/>
        </w:rPr>
        <w:t xml:space="preserve"> GasLog Greece, </w:t>
      </w:r>
      <w:r>
        <w:rPr>
          <w:rFonts w:ascii="Arial" w:cs="Arial" w:eastAsia="Arial" w:hAnsi="Arial"/>
          <w:sz w:val="17"/>
          <w:szCs w:val="17"/>
          <w:color w:val="auto"/>
        </w:rPr>
        <w:t>the</w:t>
      </w:r>
      <w:r>
        <w:rPr>
          <w:rFonts w:ascii="Arial" w:cs="Arial" w:eastAsia="Arial" w:hAnsi="Arial"/>
          <w:sz w:val="17"/>
          <w:szCs w:val="17"/>
          <w:i w:val="1"/>
          <w:iCs w:val="1"/>
          <w:color w:val="auto"/>
        </w:rPr>
        <w:t xml:space="preserve"> GasLog Glasgow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on March 29, 2016, June 30, 2016 and September 30, 2016, respectively, resulting in an increase in operating days,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an increase of $9.47 million caused mainly by the lower off-hire days due to drydocking of two of our vessels in the first nine months of 2016 as opposed to seven vessels for the same period in 2015. This increase was partially offset by a decrease of $1.24 million in revenues of four vessels operating in the spot market and a decrease of $13.63 million from all other vessels. The daily hire rate for the nine-month period ended September 30, 2015 was $69,673 as compared to $63,124 for the nine-month period ended September 30, 2016 affected by the soft spot market. Furthermore, there was a decrease of $0.80 million in revenues from technical management services mainly due to the decrease in the number of the managed vessels owned by third parties following the acquisition of two vessels from BG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Vessel operating and supervision costs increased by 12.52%, or $9.26 million, from $73.98 million during the nine-month period ended September 30, 2015, to $83.24 million during the nine-month period ended September 30, 2016. The increase is primarily attributable to the increase in our fleet in the nine-month period ended September 30, 2016, compared to the same period of 2015, as described above, combined with an increase in scheduled technical maintenance expenses such as scheduled main engine overhaulings, various planned repairs, as well as other regulatory periodical certifications, partially offset by decreased vessels’ tax and crew social contributions. Daily operating cost per vessel increased marginally from $15,129 per day during the nine-month period ended September 30, 2015 to $15,441 per day during the nine-month period ended September 30,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Voyage expenses and commissions increased by 24.51%, or $2.50 million, from $10.20 million during the nine-month period ended September 30, 2015, to $12.70 million during the nine-month period ended September 30, 2016. The increase is primarily attributable to the net allocation of the Cool Pool results of $5.33 million in the nine-month period ended September 30, 2016 in accordance with the profit sharing terms specified in the Pool Agreement entered into with Dynagas and Golar and an increase of $0.30 million in brokers’ commissions, partially offset by a decrease of $3.13 million in bunkers consumption of the vessels operating in the spot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Depreciation increased by 13.87%, or $10.84 million, from $78.18 million during the nine-month period ended September 30, 2015, to $89.02 million during the nine-month period ended September 30, 2016. The increase in depreciation resulted mainly from the increase in the average number of vessels in our fleet in the nine-month period ended September 30, 2016, compared to the same period of 2015.</w:t>
      </w:r>
    </w:p>
    <w:p>
      <w:pPr>
        <w:sectPr>
          <w:pgSz w:w="11900" w:h="16838" w:orient="portrait"/>
          <w:cols w:equalWidth="0" w:num="1">
            <w:col w:w="11420"/>
          </w:cols>
          <w:pgMar w:left="240" w:top="409" w:right="239" w:bottom="57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57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General and administrative expenses decreased by 6.71%, or $2.04 million, from $30.40 million during the nine-month period ended September 30, 2015, to $28.36 million during the nine-month period ended September 30, 2016. The decrease is mainly attributable to a decrease of $3.92 million in legal fees and other professional services related mainly to consultancy fees charged in 2015, partially offset by an increase of $0.78 million in non-cash share-based compensation expense, an increase of $0.65 million in net foreign exchange differences, mainly due to the unfavorable movement of the EUR/USD exchange rate in 2016 and an increase of $0.44 million in employee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Financial costs increased by 58.73%, or $39.50 million, from $67.26 million during the nine-month period ended September 30, 2015, to $106.76 million during the nine-month period ended September 30, 2016. The increase is attributable to (a) an increase of $24.08 million in the amortization of deferred loan fees, mainly driven by (i) a write-off of $18.21 million of unamortized loan fees associated with the six legacy facilities that were refinanced by the Legacy Facility Re-financing, (ii) a $1.84 million write-off of unamortized bond fees and premium as a result of the June 2016 bond re-purchase, (iii) an increase of $3.46 million in the refinanced loan facilities and (iv) an increase of $0.57 million in the facilities drawn during 2016, (b) an increase of $5.37 million in interest expense on loans, bond and cash flow hedges, (c) an increase by $6.57 million due to finance lease charges in 2016, (d) a loss of $2.12 million arising upon the re-purchase of the existing bonds at a premium in June 2016 and (e) an increase of $1.36 million in other financial costs. During the nine-month period ended September 30, 2015, we had an average of $2,322.56 million of outstanding indebtedness, with a weighted average interest rate of 3.31% and during the nine-month period ended September 30, 2016, we had an average of $2,373.47 million of outstanding indebtedness, having an aggregate weighted average interest rate of 3.53%. These weighted average interest rates include interest expense on loans and cash flow hedges and interest expense on bonds and CCSs.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Swaps: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Loss on swaps increased by $25.81 million, from $13.57 million during the nine-month period ended September 30, 2015, to $39.38 million during the nine-month period ended September 30, 2016. The increase is mainly attributable to an increase of $3.73 million in loss from mark-to-market valuation of our interest rate swaps carried at fair value through profit or loss, an increase of $22.58 million in recycled loss that was reclassified from equity to the statement of profit or loss, $5.58 million of which related to the CCS agreements that were terminated or modified in June 2016 as part of the bond re-purchase and $17.24 million related to the cumulative loss from the period that the hedges of the interest rate swaps terminated in July 2016 were effective, which was partially offset by a decrease of $0.50 million in realized loss from interest rate swaps held for trading.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Profit/(loss) for the Period:</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Profit for the period decreased by $53.81 million, from a profit of $35.43 million for the nine-month period ended September 30, 2015, to a loss of $18.38 million for the nine-month period ended September 30, 2016,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Profit/(loss) Attributable to Owners of the Group:</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Profit attributable to owners of the Group decreased by $58.11 million, from a profit of $5.3 million for the nine-month period ended September 30, 2015, to a loss of $52.81 million for the nine-month period ended September 30, 2016. The decrease in profit attributable to the owners of GasLog resulted from the decrease in profit mentioned above and the increase in profit attributable to the non-controlling interest (GasLog Partners’ third party owners) following the dropdown of three vessels to GasLog Partners on July 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For the nine-month period ended September 30, 2015, we received 81.7% of our revenues from MSL, a subsidiary of Shell, 11.9% of our revenues from Shell, 6.2% of our revenues from various charterers in the spot/short-term market and 0.2% of our revenues from Egypt LNG, an entity in which we have a 25% ownership interest. For the nine-month period ended September 30, 2016, we received 94.68% of our revenues from Shell, 5.31% of our revenues from various charterers in the spot/short-term market and 0.01% of our revenues from Egypt LNG.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Since our owned ships are primarily employed under multi-year, fixed-rate charter arrangements, seasonal trends do not materially impact the revenues earned by our vessels during the year. Seasonality also does not have a significant impact on revenues earned by our management services, as we provide technical ship management and ship construction supervision services under fixed-rate agreements.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primary liquidity needs are to fund our ship-operating expenses, finance the purchase and construction of our newbuildings,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w:t>
      </w:r>
    </w:p>
    <w:p>
      <w:pPr>
        <w:spacing w:after="0" w:line="147"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anticipate that our primary sources of funds will be available cash, cash from operations, borrowings under existing and new debt agreements and additional common or other forms of equity. We believe that these sources of funds will be sufficient to meet our liquidity needs, although there can be no assurance that we will be able to obtain future debt and equity financing on terms acceptable to us.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funding and treasury activities are intended to balance investment returns in order to maintain appropriate liquidity. Cash and cash equivalents are held primarily in U.S. dollars.</w:t>
      </w:r>
    </w:p>
    <w:p>
      <w:pPr>
        <w:sectPr>
          <w:pgSz w:w="11900" w:h="16838" w:orient="portrait"/>
          <w:cols w:equalWidth="0" w:num="1">
            <w:col w:w="11400"/>
          </w:cols>
          <w:pgMar w:left="240" w:top="409" w:right="259" w:bottom="354"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354" w:gutter="0" w:footer="0" w:header="0"/>
          <w:type w:val="continuous"/>
        </w:sectPr>
      </w:pPr>
    </w:p>
    <w:bookmarkStart w:id="22" w:name="page23"/>
    <w:bookmarkEnd w:id="22"/>
    <w:p>
      <w:pPr>
        <w:ind w:right="600" w:firstLine="324"/>
        <w:spacing w:after="0" w:line="277" w:lineRule="auto"/>
        <w:rPr>
          <w:sz w:val="20"/>
          <w:szCs w:val="20"/>
          <w:color w:val="auto"/>
        </w:rPr>
      </w:pPr>
      <w:r>
        <w:rPr>
          <w:rFonts w:ascii="Arial" w:cs="Arial" w:eastAsia="Arial" w:hAnsi="Arial"/>
          <w:sz w:val="18"/>
          <w:szCs w:val="18"/>
          <w:color w:val="auto"/>
        </w:rPr>
        <w:t>As of September 30, 2016, GasLog had $244.66 million of cash and cash equivalents, of which $156.76 million was held in time deposits and the remaining balance in current accounts.</w:t>
      </w:r>
    </w:p>
    <w:p>
      <w:pPr>
        <w:spacing w:after="0" w:line="170"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 xml:space="preserve">As of September 30, 2016, GasLog had an aggregate of $2.57 billion of indebtedness outstanding under its credit facilities and bond agreements, of which $143.49 million was repayable within one year, and a $222.10 million finance lease liability related to the sale and leaseback of the </w:t>
      </w:r>
      <w:r>
        <w:rPr>
          <w:rFonts w:ascii="Arial" w:cs="Arial" w:eastAsia="Arial" w:hAnsi="Arial"/>
          <w:sz w:val="18"/>
          <w:szCs w:val="18"/>
          <w:i w:val="1"/>
          <w:iCs w:val="1"/>
          <w:color w:val="auto"/>
        </w:rPr>
        <w:t>Methane Julia</w:t>
      </w:r>
      <w:r>
        <w:rPr>
          <w:rFonts w:ascii="Arial" w:cs="Arial" w:eastAsia="Arial" w:hAnsi="Arial"/>
          <w:sz w:val="18"/>
          <w:szCs w:val="18"/>
          <w:color w:val="auto"/>
        </w:rPr>
        <w:t xml:space="preserve"> </w:t>
      </w:r>
      <w:r>
        <w:rPr>
          <w:rFonts w:ascii="Arial" w:cs="Arial" w:eastAsia="Arial" w:hAnsi="Arial"/>
          <w:sz w:val="18"/>
          <w:szCs w:val="18"/>
          <w:i w:val="1"/>
          <w:iCs w:val="1"/>
          <w:color w:val="auto"/>
        </w:rPr>
        <w:t>Louise</w:t>
      </w:r>
      <w:r>
        <w:rPr>
          <w:rFonts w:ascii="Arial" w:cs="Arial" w:eastAsia="Arial" w:hAnsi="Arial"/>
          <w:sz w:val="18"/>
          <w:szCs w:val="18"/>
          <w:color w:val="auto"/>
        </w:rPr>
        <w:t>, of which $5.9 million was repayable within one year.</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September 30, 2016, there was undrawn available capacity of $824.73 million under the debt financing agreement entered into on October 16, 2015 with 14 international banks to partially finance the delivery of four of our five remaining newbuildings expected to be delivered in 2018 and 2019 and the </w:t>
      </w:r>
      <w:r>
        <w:rPr>
          <w:rFonts w:ascii="Arial" w:cs="Arial" w:eastAsia="Arial" w:hAnsi="Arial"/>
          <w:sz w:val="18"/>
          <w:szCs w:val="18"/>
          <w:i w:val="1"/>
          <w:iCs w:val="1"/>
          <w:color w:val="auto"/>
        </w:rPr>
        <w:t xml:space="preserve">GasLog Gibraltar </w:t>
      </w:r>
      <w:r>
        <w:rPr>
          <w:rFonts w:ascii="Arial" w:cs="Arial" w:eastAsia="Arial" w:hAnsi="Arial"/>
          <w:sz w:val="18"/>
          <w:szCs w:val="18"/>
          <w:color w:val="auto"/>
        </w:rPr>
        <w:t>delivered on October 31, 2016, and $88.36 million undrawn available capacity under the revolving credit facility of the Legacy Facility Re-financing entered into on July 19, 2016.</w:t>
      </w:r>
    </w:p>
    <w:p>
      <w:pPr>
        <w:spacing w:after="0" w:line="187"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On April 5, 2016, $395.45 million and $179.75 million under the senior and junior tranche, respectively, of the credit agreements that GasLog and GasLog Partners entered into on February 18, 2016, were drawn to partially refinance $644.0 million of the outstanding debt of GAS-eighteen Ltd., GAS-nineteen Ltd., GAS-twenty Ltd., GAS-twenty one Ltd. and GAS-twenty seven Ltd. The senior tranche facility provides for four advances of $72.29 million and a fifth advance of $106.31 million that shall be repaid in 20 quarterly equal installments commencing three months after the drawdown date. The junior tranche facility provides for four advances of $29.96 million and a fifth advance of $59.91 million that shall be repaid in full 24 months after the drawdown date. Amounts drawn bear interest at LIBOR plus a margin (variable margin for the junior tranche).</w:t>
      </w:r>
    </w:p>
    <w:p>
      <w:pPr>
        <w:spacing w:after="0" w:line="17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June 27, 2016, GasLog completed the issuance of NOK 750 million (equivalent to $90.15 million) of new senior unsecured bonds in the Norwegian bond market. The bonds will mature in May 2021 and have a coupon of 6.9% over 3 month NIBOR. The proceeds from the issuance were used to partly refinance GasLog’s existing bonds maturing in June 2018. Simultaneously with the aforementioned bond issuance, GasLog re-purchased and cancelled GasLog’s NOK 588 million of bonds from a total NOK 1 billion of bonds issued in June 27, 2013 and May 2, 2014 at a price of 103% of par value. In addition, GasLog entered into three CCSs to exchange interest payments and principal on maturity on the same terms as the NOK 750 million bonds, terminated three of its existing CCSs and decreased the notional amount of its remaining three CCSs to mirror the remaining NOK 412 million of bonds maturing in June 2018.</w:t>
      </w:r>
    </w:p>
    <w:p>
      <w:pPr>
        <w:spacing w:after="0" w:line="18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July 25, 2016, $950.0 million and $11.64 million under the term loan facility and the revolving credit facility, respectively, of the Legacy Facility Re-financing entered into on July 19, 2016 were drawn to refinance the aggregate existing indebtedness of $959.90 million of GAS-one Ltd., GAS-two Ltd., GAS-six Ltd., GAS-seven Ltd., GAS-eight Ltd., GAS-nine Ltd., GAS-ten Ltd. and GAS-fifteen Ltd. The term loan facility amount shall be repaid in nine semi-annual installments of $29.17 million each and a balloon repayment of $687.50 million five years after drawdown, while the revolving credit facility available amounts can be drawn at any time until July 1, 2021. Amounts drawn bear interest at LIBOR plus a margin.</w:t>
      </w:r>
    </w:p>
    <w:p>
      <w:pPr>
        <w:spacing w:after="0" w:line="173"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In July 2016, the Group terminated interest rate swap agreements with an aggregate notional value of $874.92 million, associated with the six legacy facilities that were re-financed by the Legacy Facility Re-financing. Concurrently, GasLog entered into new interest rate swap agreements with a notional value of $870.0 million in aggregate, maturing between 2020 and 2022.</w:t>
      </w:r>
    </w:p>
    <w:p>
      <w:pPr>
        <w:spacing w:after="0" w:line="181"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 xml:space="preserve">As of September 30, 2016, GasLog’s commitments for capital expenditures are related to the five LNG carriers on order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delivered on October 31, 2016, which have a gross aggregate contract price of approximately $1.23 billion. As of September 30, 2016, the total remaining balance of the contract prices of the aforementioned newbuildings was $1.11 billion that GasLog expects to be funded with the $824.73 million undrawn capacity under the financing agreement entered into on October 16, 2015, as well as cash balances, cash from operations and borrowings under new debt agreements.</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GasLog has hedged 39.9% of its expected floating interest rate exposure on its outstanding debt (excluding the finance lease liability) at a weighted average interest rate of approximately 4.6% (including margin) as of September 30, 2016.</w:t>
      </w:r>
    </w:p>
    <w:p>
      <w:pPr>
        <w:spacing w:after="0" w:line="17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Our credit facilities are described in Note 12 of our annual audited consolidated financial statements included in our Annual Report on Form 20-F filed with the SEC on March 14, 2016 and Note 6 of our unaudited condensed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September 30, 2016, GasLog’s current assets totalled $268.98 million while current liabilities totalled $246.74 million, resulting in a positive working capital position of $22.24 million.</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all other required principal and interest payments on our indebtedness during the next 12 months.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 ended September 30, 2015 compared to the nine-month period ended September 30,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For the nine months ended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September 30,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20" w:type="dxa"/>
            <w:vAlign w:val="bottom"/>
          </w:tcPr>
          <w:p>
            <w:pPr>
              <w:spacing w:after="0"/>
              <w:rPr>
                <w:sz w:val="20"/>
                <w:szCs w:val="20"/>
                <w:color w:val="auto"/>
              </w:rPr>
            </w:pPr>
          </w:p>
        </w:tc>
        <w:tc>
          <w:tcPr>
            <w:tcW w:w="6300" w:type="dxa"/>
            <w:vAlign w:val="bottom"/>
            <w:tcBorders>
              <w:bottom w:val="single" w:sz="8" w:color="E5FF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E5FF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E5FF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117,514</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182,553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(719,173)</w:t>
            </w:r>
          </w:p>
        </w:tc>
        <w:tc>
          <w:tcPr>
            <w:tcW w:w="12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(568,711)</w:t>
            </w: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Pr>
          <w:p>
            <w:pPr>
              <w:jc w:val="right"/>
              <w:spacing w:after="0"/>
              <w:rPr>
                <w:sz w:val="20"/>
                <w:szCs w:val="20"/>
                <w:color w:val="auto"/>
              </w:rPr>
            </w:pPr>
            <w:r>
              <w:rPr>
                <w:rFonts w:ascii="Arial" w:cs="Arial" w:eastAsia="Arial" w:hAnsi="Arial"/>
                <w:sz w:val="18"/>
                <w:szCs w:val="18"/>
                <w:color w:val="auto"/>
              </w:rPr>
              <w:t>708,702</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327,954</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Net cash provided by operating activities increased by $65.04 million, from $117.51 million during the nine-month period ended September 30, 2015, to $182.55 million in the nine-month period ended September 30, 2016. The increase was due to an increase of $32.20 million in revenue collections, a decrease of $49.79 million in payments for cash collaterals and a decrease of $0.50 million in realized losses on interest rate swaps held for trading, which were partially offset by an increase of $13.46 million in payments for general and administrative expenses, operating expenses and inventories, an increase in payments to ship management creditors of $2.12 million and an increase of $1.87 million in cash paid for interest.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cash used in investing activities decreased by $150.46 million, from $719.17 million in the nine-month period ended September 30, 2015, to $568.71 million in the nine-month period ended September 30, 2016. The decrease is attributable to a decrease of $122.72 million in payments for the construction costs of newbuildings, the acquisition of secondhand vessels and other fixed assets, a net decrease in short-term investments of $27.58 million and an increase of $0.28 million in cash from interest income, which were partially offset by a decrease of $0.12 million in dividends and return of contributed capital received from Egypt LNG Services Ltd.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financing activities decreased by $380.75 million, from $708.70 million in the nine-month period ended September 30, 2015,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$327.95 million in the nine-month period ended September 30, 2016. The decrease is mainly attributable to an increase in bank loan repayments of $1,892.58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 decrease of $231.52 million in proceeds from equity offerings (the net proceeds from GasLog Partners’ public offerings decreased by $120.14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while in 2015 we also received $111.38 million net proceeds from GasLog’s preferred stock issuance), payments for CCS termination/modification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NOK bond re-purchase of $34.11 million in 2016, an increase in payments of loan issuance costs of $28.71 million, an increase of $13.36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 payments, net payments of $4.83 million related to the termination of our interest rate swap agreements and entering into new agreements in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 increase of $2.18 million in payments for our vessel held under a finance lease, which were partially offset by an increase of $1,507.62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from our borrowings, proceeds from the sale and finance leaseback of $217.00 million, an increase from the release of restricted cash of $100.39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a decrease of $1.53 million in payments of equity raising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GasLog’s (including the vessels contributed or sold to GasLog Partners) contracted charter revenues and vessel utilization as of September 30,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6"/>
              </w:rPr>
              <w:t>Contracted Charter Revenues and Days from Time Charters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1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On and</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after</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October 1,</w:t>
            </w:r>
          </w:p>
        </w:tc>
        <w:tc>
          <w:tcPr>
            <w:tcW w:w="1040" w:type="dxa"/>
            <w:vAlign w:val="bottom"/>
          </w:tcPr>
          <w:p>
            <w:pPr>
              <w:spacing w:after="0"/>
              <w:rPr>
                <w:sz w:val="20"/>
                <w:szCs w:val="20"/>
                <w:color w:val="auto"/>
              </w:rPr>
            </w:pPr>
          </w:p>
        </w:tc>
        <w:tc>
          <w:tcPr>
            <w:tcW w:w="42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For the years ending 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2021-2029</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w w:val="98"/>
              </w:rPr>
              <w:t>(in millions of U.S. dollars, except days and percentages)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1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94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120.99</w:t>
            </w:r>
          </w:p>
        </w:tc>
        <w:tc>
          <w:tcPr>
            <w:tcW w:w="100" w:type="dxa"/>
            <w:vAlign w:val="bottom"/>
            <w:shd w:val="clear" w:color="auto" w:fill="E5FFFF"/>
          </w:tcPr>
          <w:p>
            <w:pPr>
              <w:spacing w:after="0"/>
              <w:rPr>
                <w:sz w:val="22"/>
                <w:szCs w:val="22"/>
                <w:color w:val="auto"/>
              </w:rPr>
            </w:pPr>
          </w:p>
        </w:tc>
        <w:tc>
          <w:tcPr>
            <w:tcW w:w="104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476.93</w:t>
            </w:r>
          </w:p>
        </w:tc>
        <w:tc>
          <w:tcPr>
            <w:tcW w:w="104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463.37</w:t>
            </w:r>
          </w:p>
        </w:tc>
        <w:tc>
          <w:tcPr>
            <w:tcW w:w="10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477.51</w:t>
            </w:r>
          </w:p>
        </w:tc>
        <w:tc>
          <w:tcPr>
            <w:tcW w:w="100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417.33</w:t>
            </w:r>
          </w:p>
        </w:tc>
        <w:tc>
          <w:tcPr>
            <w:tcW w:w="114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1,549.38</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3,505.51</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2"/>
                <w:szCs w:val="22"/>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6,417</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6,228</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6,342</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5,372</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18,765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44,750</w:t>
            </w:r>
          </w:p>
        </w:tc>
      </w:tr>
      <w:tr>
        <w:trPr>
          <w:trHeight w:val="257"/>
        </w:trPr>
        <w:tc>
          <w:tcPr>
            <w:tcW w:w="414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94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E5FFFF"/>
          </w:tcPr>
          <w:p>
            <w:pPr>
              <w:spacing w:after="0"/>
              <w:rPr>
                <w:sz w:val="22"/>
                <w:szCs w:val="22"/>
                <w:color w:val="auto"/>
              </w:rPr>
            </w:pPr>
          </w:p>
        </w:tc>
        <w:tc>
          <w:tcPr>
            <w:tcW w:w="104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8,395</w:t>
            </w:r>
          </w:p>
        </w:tc>
        <w:tc>
          <w:tcPr>
            <w:tcW w:w="104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9,186</w:t>
            </w:r>
          </w:p>
        </w:tc>
        <w:tc>
          <w:tcPr>
            <w:tcW w:w="106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9,918</w:t>
            </w:r>
          </w:p>
        </w:tc>
        <w:tc>
          <w:tcPr>
            <w:tcW w:w="100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9,978</w:t>
            </w:r>
          </w:p>
        </w:tc>
        <w:tc>
          <w:tcPr>
            <w:tcW w:w="114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90,625</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130,188</w:t>
            </w:r>
          </w:p>
        </w:tc>
      </w:tr>
      <w:tr>
        <w:trPr>
          <w:trHeight w:val="257"/>
        </w:trPr>
        <w:tc>
          <w:tcPr>
            <w:tcW w:w="414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2"/>
                <w:szCs w:val="22"/>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1,978</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2,958</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3,576</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4,606</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71,860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85,438</w:t>
            </w:r>
          </w:p>
        </w:tc>
      </w:tr>
      <w:tr>
        <w:trPr>
          <w:trHeight w:val="202"/>
        </w:trPr>
        <w:tc>
          <w:tcPr>
            <w:tcW w:w="41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Percentage of total contracted days/total available</w:t>
            </w: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r>
      <w:tr>
        <w:trPr>
          <w:trHeight w:val="230"/>
        </w:trPr>
        <w:tc>
          <w:tcPr>
            <w:tcW w:w="4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days</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77.95%</w:t>
            </w:r>
          </w:p>
        </w:tc>
        <w:tc>
          <w:tcPr>
            <w:tcW w:w="100" w:type="dxa"/>
            <w:vAlign w:val="bottom"/>
            <w:shd w:val="clear" w:color="auto" w:fill="E5FFFF"/>
          </w:tcPr>
          <w:p>
            <w:pPr>
              <w:spacing w:after="0"/>
              <w:rPr>
                <w:sz w:val="20"/>
                <w:szCs w:val="20"/>
                <w:color w:val="auto"/>
              </w:rPr>
            </w:pPr>
          </w:p>
        </w:tc>
        <w:tc>
          <w:tcPr>
            <w:tcW w:w="104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rPr>
              <w:t>76.44%</w:t>
            </w:r>
          </w:p>
        </w:tc>
        <w:tc>
          <w:tcPr>
            <w:tcW w:w="104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67.80%</w:t>
            </w:r>
          </w:p>
        </w:tc>
        <w:tc>
          <w:tcPr>
            <w:tcW w:w="106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63.94%</w:t>
            </w:r>
          </w:p>
        </w:tc>
        <w:tc>
          <w:tcPr>
            <w:tcW w:w="100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53.84%</w:t>
            </w:r>
          </w:p>
        </w:tc>
        <w:tc>
          <w:tcPr>
            <w:tcW w:w="11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20.71%</w:t>
            </w:r>
          </w:p>
        </w:tc>
        <w:tc>
          <w:tcPr>
            <w:tcW w:w="9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34.37%</w:t>
            </w:r>
          </w:p>
        </w:tc>
      </w:tr>
      <w:tr>
        <w:trPr>
          <w:trHeight w:val="216"/>
        </w:trPr>
        <w:tc>
          <w:tcPr>
            <w:tcW w:w="1720" w:type="dxa"/>
            <w:vAlign w:val="bottom"/>
            <w:tcBorders>
              <w:bottom w:val="single" w:sz="8" w:color="auto"/>
            </w:tcBorders>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84" w:lineRule="exact"/>
        <w:rPr>
          <w:sz w:val="20"/>
          <w:szCs w:val="20"/>
          <w:color w:val="auto"/>
        </w:rPr>
      </w:pPr>
    </w:p>
    <w:p>
      <w:pPr>
        <w:ind w:left="240" w:hanging="191"/>
        <w:spacing w:after="0" w:line="244" w:lineRule="auto"/>
        <w:tabs>
          <w:tab w:leader="none" w:pos="2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 xml:space="preserve">Reflects time charter revenues and contracted days for eight of our wholly owned ships, the nine ships owned by the Partnership, the bareboat vessel and four of our five newbuildings on order for which we have secured time charters. Does not include charter revenues for the vessels operating in the spot/short-term market under the Cool Pool agreement,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and the recently signed charter party agreement with a subsidiary of Centrica related to one of our newbuildings. Contracted revenue calculations assume:</w:t>
      </w:r>
    </w:p>
    <w:p>
      <w:pPr>
        <w:spacing w:after="0" w:line="1" w:lineRule="exact"/>
        <w:rPr>
          <w:rFonts w:ascii="Arial" w:cs="Arial" w:eastAsia="Arial" w:hAnsi="Arial"/>
          <w:sz w:val="11"/>
          <w:szCs w:val="11"/>
          <w:color w:val="auto"/>
        </w:rPr>
      </w:pPr>
    </w:p>
    <w:p>
      <w:pPr>
        <w:ind w:left="240" w:right="20"/>
        <w:spacing w:after="0" w:line="238" w:lineRule="auto"/>
        <w:rPr>
          <w:rFonts w:ascii="Arial" w:cs="Arial" w:eastAsia="Arial" w:hAnsi="Arial"/>
          <w:sz w:val="11"/>
          <w:szCs w:val="11"/>
          <w:color w:val="auto"/>
        </w:rPr>
      </w:pPr>
      <w:r>
        <w:rPr>
          <w:rFonts w:ascii="Arial" w:cs="Arial" w:eastAsia="Arial" w:hAnsi="Arial"/>
          <w:sz w:val="13"/>
          <w:szCs w:val="13"/>
          <w:color w:val="auto"/>
        </w:rPr>
        <w:t>(a)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 w:lineRule="exact"/>
        <w:rPr>
          <w:rFonts w:ascii="Arial" w:cs="Arial" w:eastAsia="Arial" w:hAnsi="Arial"/>
          <w:sz w:val="11"/>
          <w:szCs w:val="11"/>
          <w:color w:val="auto"/>
        </w:rPr>
      </w:pPr>
    </w:p>
    <w:p>
      <w:pPr>
        <w:ind w:left="240" w:right="180" w:hanging="191"/>
        <w:spacing w:after="0" w:line="221" w:lineRule="auto"/>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ind w:left="240" w:right="100" w:hanging="191"/>
        <w:spacing w:after="0" w:line="237" w:lineRule="auto"/>
        <w:tabs>
          <w:tab w:leader="none" w:pos="2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ectPr>
          <w:pgSz w:w="11900" w:h="16838" w:orient="portrait"/>
          <w:cols w:equalWidth="0" w:num="1">
            <w:col w:w="11420"/>
          </w:cols>
          <w:pgMar w:left="240" w:top="405" w:right="239" w:bottom="26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260" w:gutter="0" w:footer="0" w:header="0"/>
          <w:type w:val="continuous"/>
        </w:sectPr>
      </w:pPr>
    </w:p>
    <w:bookmarkStart w:id="24" w:name="page25"/>
    <w:bookmarkEnd w:id="24"/>
    <w:p>
      <w:pPr>
        <w:ind w:firstLine="324"/>
        <w:spacing w:after="0" w:line="267" w:lineRule="auto"/>
        <w:rPr>
          <w:sz w:val="20"/>
          <w:szCs w:val="20"/>
          <w:color w:val="auto"/>
        </w:rPr>
      </w:pPr>
      <w:r>
        <w:rPr>
          <w:rFonts w:ascii="Arial" w:cs="Arial" w:eastAsia="Arial" w:hAnsi="Arial"/>
          <w:sz w:val="17"/>
          <w:szCs w:val="17"/>
          <w:color w:val="auto"/>
        </w:rPr>
        <w:t>The table provides information about our contracted charter revenues based on contracts in effect as of September 30, 2016 for the eight ships in our wholly owned fleet, the nine ships in the GasLog Partners’ fleet for which we have secured time charters, the bareboat vessel and four of our five newbuildings on order.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addition, the table does not reflect any time charter revenues for the vessels operating in the spot/short-term market under the Cool Pool agreement, the recently signed charter party agreement with a subsidiary of Centrica related to one of our newbuildings and any additional ships we may acquire in the future, nor does it reflect the options under our time charters that permit our charterers to extend the time charter terms for successive multi-year periods. The entry into time charter contracts for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14, 2016.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14, 2016 and Note 2 of our unaudited condensed consolidated financial statements included elsewhere in this report.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84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Unaudited condensed consolidated statements of financial position as of December 31, 2015 and September 30, 2016</w:t>
              </w:r>
            </w:hyperlink>
          </w:p>
        </w:tc>
        <w:tc>
          <w:tcPr>
            <w:tcW w:w="21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196"/>
        </w:trPr>
        <w:tc>
          <w:tcPr>
            <w:tcW w:w="93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Unaudited condensed consolidated statements of profit or loss for the three and nine months ended September 30, 2015 and 2016</w:t>
              </w:r>
            </w:hyperlink>
          </w:p>
        </w:tc>
        <w:tc>
          <w:tcPr>
            <w:tcW w:w="130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10620" w:type="dxa"/>
            <w:vAlign w:val="bottom"/>
            <w:gridSpan w:val="9"/>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Unaudited condensed consolidated statements of comprehensive income or loss for the three and nine months ended September 30, 2015 and</w:t>
              </w:r>
            </w:hyperlink>
          </w:p>
        </w:tc>
        <w:tc>
          <w:tcPr>
            <w:tcW w:w="8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2016</w:t>
              </w:r>
            </w:hyperlink>
          </w:p>
        </w:tc>
        <w:tc>
          <w:tcPr>
            <w:tcW w:w="434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10620" w:type="dxa"/>
            <w:vAlign w:val="bottom"/>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Unaudited condensed consolidated statements of changes in equity for the nine months ended September 30, 2015 and 2016</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8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Unaudited condensed consolidated statements of cash flows for the nine months ended September 30, 2015 and 2016</w:t>
              </w:r>
            </w:hyperlink>
          </w:p>
        </w:tc>
        <w:tc>
          <w:tcPr>
            <w:tcW w:w="480" w:type="dxa"/>
            <w:vAlign w:val="bottom"/>
            <w:tcBorders>
              <w:top w:val="single" w:sz="8" w:color="0000EE"/>
            </w:tcBorders>
            <w:gridSpan w:val="2"/>
          </w:tcPr>
          <w:p>
            <w:pPr>
              <w:spacing w:after="0"/>
              <w:rPr>
                <w:sz w:val="17"/>
                <w:szCs w:val="17"/>
                <w:color w:val="auto"/>
              </w:rPr>
            </w:pPr>
          </w:p>
        </w:tc>
        <w:tc>
          <w:tcPr>
            <w:tcW w:w="168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0620" w:type="dxa"/>
            <w:vAlign w:val="bottom"/>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Notes to the unaudited condensed consolidated financial statements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r>
      <w:tr>
        <w:trPr>
          <w:trHeight w:val="426"/>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340" w:type="dxa"/>
            <w:vAlign w:val="bottom"/>
            <w:tcBorders>
              <w:top w:val="single" w:sz="8" w:color="0000EE"/>
            </w:tcBorders>
          </w:tcPr>
          <w:p>
            <w:pPr>
              <w:spacing w:after="0"/>
              <w:rPr>
                <w:sz w:val="24"/>
                <w:szCs w:val="24"/>
                <w:color w:val="auto"/>
              </w:rPr>
            </w:pPr>
          </w:p>
        </w:tc>
        <w:tc>
          <w:tcPr>
            <w:tcW w:w="57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r>
      <w:tr>
        <w:trPr>
          <w:trHeight w:val="250"/>
        </w:trPr>
        <w:tc>
          <w:tcPr>
            <w:tcW w:w="1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8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2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As of December 31, 2015 and September 30, 2016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72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December 31, 2015</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210"/>
        </w:trPr>
        <w:tc>
          <w:tcPr>
            <w:tcW w:w="6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9,511</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9,511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6,274</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17,998</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14,019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28,957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3,084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Tangible fixed assets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3,400,270</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3,716,521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178,405</w:t>
            </w:r>
          </w:p>
        </w:tc>
        <w:tc>
          <w:tcPr>
            <w:tcW w:w="4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125,431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19"/>
                <w:szCs w:val="19"/>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223,932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4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4,103,461</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16,079</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8,908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Dividends receivable and due from related parties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1,345</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6,496</w:t>
            </w:r>
          </w:p>
        </w:tc>
        <w:tc>
          <w:tcPr>
            <w:tcW w:w="4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7,157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2,519</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6,000</w:t>
            </w:r>
          </w:p>
        </w:tc>
        <w:tc>
          <w:tcPr>
            <w:tcW w:w="440" w:type="dxa"/>
            <w:vAlign w:val="bottom"/>
            <w:shd w:val="clear" w:color="auto" w:fill="E5FFFF"/>
          </w:tcPr>
          <w:p>
            <w:pPr>
              <w:spacing w:after="0"/>
              <w:rPr>
                <w:sz w:val="18"/>
                <w:szCs w:val="18"/>
                <w:color w:val="auto"/>
              </w:rPr>
            </w:pPr>
          </w:p>
        </w:tc>
        <w:tc>
          <w:tcPr>
            <w:tcW w:w="17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62,718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302,988</w:t>
            </w:r>
          </w:p>
        </w:tc>
        <w:tc>
          <w:tcPr>
            <w:tcW w:w="4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244,656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68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398,145</w:t>
            </w:r>
          </w:p>
        </w:tc>
        <w:tc>
          <w:tcPr>
            <w:tcW w:w="44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268,979</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E5FFFF"/>
            </w:tcBorders>
            <w:shd w:val="clear" w:color="auto" w:fill="E5FFFF"/>
          </w:tcPr>
          <w:p>
            <w:pPr>
              <w:spacing w:after="0"/>
              <w:rPr>
                <w:sz w:val="19"/>
                <w:szCs w:val="19"/>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440" w:type="dxa"/>
            <w:vAlign w:val="bottom"/>
            <w:tcBorders>
              <w:bottom w:val="single" w:sz="8" w:color="E5FFFF"/>
            </w:tcBorders>
            <w:shd w:val="clear" w:color="auto" w:fill="E5FFFF"/>
          </w:tcPr>
          <w:p>
            <w:pPr>
              <w:spacing w:after="0"/>
              <w:rPr>
                <w:sz w:val="19"/>
                <w:szCs w:val="19"/>
                <w:color w:val="auto"/>
              </w:rPr>
            </w:pPr>
          </w:p>
        </w:tc>
        <w:tc>
          <w:tcPr>
            <w:tcW w:w="1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4,372,440</w:t>
            </w:r>
          </w:p>
        </w:tc>
        <w:tc>
          <w:tcPr>
            <w:tcW w:w="20" w:type="dxa"/>
            <w:vAlign w:val="bottom"/>
            <w:tcBorders>
              <w:bottom w:val="single" w:sz="8" w:color="E5FFFF"/>
            </w:tcBorders>
            <w:shd w:val="clear" w:color="auto" w:fill="E5FFFF"/>
          </w:tcPr>
          <w:p>
            <w:pPr>
              <w:spacing w:after="0"/>
              <w:rPr>
                <w:sz w:val="19"/>
                <w:szCs w:val="19"/>
                <w:color w:val="auto"/>
              </w:rPr>
            </w:pP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Preferred stock</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Share capital</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810</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Contributed surplus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1,020,292</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980,767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Reserves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(8,829)</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11,735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Treasury shares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rPr>
              <w:t>(12,491)</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30"/>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earnings/(accumulated deficit)</w:t>
            </w:r>
          </w:p>
        </w:tc>
        <w:tc>
          <w:tcPr>
            <w:tcW w:w="68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1,846</w:t>
            </w:r>
          </w:p>
        </w:tc>
        <w:tc>
          <w:tcPr>
            <w:tcW w:w="440" w:type="dxa"/>
            <w:vAlign w:val="bottom"/>
            <w:shd w:val="clear" w:color="auto" w:fill="E5FFFF"/>
          </w:tcPr>
          <w:p>
            <w:pPr>
              <w:spacing w:after="0"/>
              <w:rPr>
                <w:sz w:val="19"/>
                <w:szCs w:val="19"/>
                <w:color w:val="auto"/>
              </w:rPr>
            </w:pPr>
          </w:p>
        </w:tc>
        <w:tc>
          <w:tcPr>
            <w:tcW w:w="170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(52,808)</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1,001,674</w:t>
            </w:r>
          </w:p>
        </w:tc>
        <w:tc>
          <w:tcPr>
            <w:tcW w:w="4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929,485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506,246</w:t>
            </w:r>
          </w:p>
        </w:tc>
        <w:tc>
          <w:tcPr>
            <w:tcW w:w="4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560,603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equity</w:t>
            </w:r>
          </w:p>
        </w:tc>
        <w:tc>
          <w:tcPr>
            <w:tcW w:w="68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1,507,920</w:t>
            </w:r>
          </w:p>
        </w:tc>
        <w:tc>
          <w:tcPr>
            <w:tcW w:w="440" w:type="dxa"/>
            <w:vAlign w:val="bottom"/>
            <w:tcBorders>
              <w:bottom w:val="single" w:sz="8" w:color="E5FF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1,490,088</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12,391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6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3,524</w:t>
            </w:r>
          </w:p>
        </w:tc>
        <w:tc>
          <w:tcPr>
            <w:tcW w:w="4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40" w:type="dxa"/>
            <w:vAlign w:val="bottom"/>
          </w:tcPr>
          <w:p>
            <w:pPr>
              <w:spacing w:after="0"/>
              <w:rPr>
                <w:sz w:val="18"/>
                <w:szCs w:val="18"/>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163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14,243</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9,273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340" w:type="dxa"/>
            <w:vAlign w:val="bottom"/>
          </w:tcPr>
          <w:p>
            <w:pPr>
              <w:spacing w:after="0"/>
              <w:rPr>
                <w:sz w:val="18"/>
                <w:szCs w:val="18"/>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67,084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85,646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Borrowings, 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6</w:t>
            </w:r>
          </w:p>
        </w:tc>
        <w:tc>
          <w:tcPr>
            <w:tcW w:w="34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636,987</w:t>
            </w:r>
          </w:p>
        </w:tc>
        <w:tc>
          <w:tcPr>
            <w:tcW w:w="4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134,907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Finance lease liability, current portion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9"/>
                <w:szCs w:val="19"/>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5,859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liabilities</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734,392</w:t>
            </w:r>
          </w:p>
        </w:tc>
        <w:tc>
          <w:tcPr>
            <w:tcW w:w="4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246,737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58,531</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32,366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1,737,500</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2,385,873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non-current portion</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shd w:val="clear" w:color="auto" w:fill="E5FFFF"/>
          </w:tcPr>
          <w:p>
            <w:pPr>
              <w:spacing w:after="0"/>
              <w:rPr>
                <w:sz w:val="18"/>
                <w:szCs w:val="18"/>
                <w:color w:val="auto"/>
              </w:rPr>
            </w:pP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216,246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1,278</w:t>
            </w:r>
          </w:p>
        </w:tc>
        <w:tc>
          <w:tcPr>
            <w:tcW w:w="4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liabilities</w:t>
            </w:r>
          </w:p>
        </w:tc>
        <w:tc>
          <w:tcPr>
            <w:tcW w:w="68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1,797,309</w:t>
            </w:r>
          </w:p>
        </w:tc>
        <w:tc>
          <w:tcPr>
            <w:tcW w:w="4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2,635,615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4,039,621</w:t>
            </w:r>
          </w:p>
        </w:tc>
        <w:tc>
          <w:tcPr>
            <w:tcW w:w="4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4,372,440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For the three months ended</w:t>
            </w:r>
          </w:p>
        </w:tc>
        <w:tc>
          <w:tcPr>
            <w:tcW w:w="35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6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105,791</w:t>
            </w:r>
          </w:p>
        </w:tc>
        <w:tc>
          <w:tcPr>
            <w:tcW w:w="46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120,727</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307,557</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339,578</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Vessel operating and supervision</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costs</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(25,566)</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(26,821)</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(73,981)</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(83,242)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(4,042)</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(4,184)</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(10,197)</w:t>
            </w:r>
          </w:p>
        </w:tc>
        <w:tc>
          <w:tcPr>
            <w:tcW w:w="15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Depreciation</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(28,210)</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(31,373)</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(78,179)</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(89,021)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79"/>
              </w:rPr>
              <w:t>8</w:t>
            </w:r>
          </w:p>
        </w:tc>
        <w:tc>
          <w:tcPr>
            <w:tcW w:w="360" w:type="dxa"/>
            <w:vAlign w:val="bottom"/>
            <w:shd w:val="clear" w:color="auto" w:fill="E5FFFF"/>
          </w:tcPr>
          <w:p>
            <w:pPr>
              <w:spacing w:after="0"/>
              <w:rPr>
                <w:sz w:val="21"/>
                <w:szCs w:val="21"/>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(10,900)</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(9,273)</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(30,398)</w:t>
            </w:r>
          </w:p>
        </w:tc>
        <w:tc>
          <w:tcPr>
            <w:tcW w:w="15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37,073</w:t>
            </w:r>
          </w:p>
        </w:tc>
        <w:tc>
          <w:tcPr>
            <w:tcW w:w="4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49,076</w:t>
            </w:r>
          </w:p>
        </w:tc>
        <w:tc>
          <w:tcPr>
            <w:tcW w:w="4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114,802</w:t>
            </w:r>
          </w:p>
        </w:tc>
        <w:tc>
          <w:tcPr>
            <w:tcW w:w="4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(24,483)</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(46,094)</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(67,257)</w:t>
            </w:r>
          </w:p>
        </w:tc>
        <w:tc>
          <w:tcPr>
            <w:tcW w:w="15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(106,756)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Financial income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128</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193</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277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(8,228)</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(19,931)</w:t>
            </w:r>
          </w:p>
        </w:tc>
        <w:tc>
          <w:tcPr>
            <w:tcW w:w="192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(13,569)</w:t>
            </w:r>
          </w:p>
        </w:tc>
        <w:tc>
          <w:tcPr>
            <w:tcW w:w="15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(39,384)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390</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333</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1,180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6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(32,193</w:t>
            </w:r>
          </w:p>
        </w:tc>
        <w:tc>
          <w:tcPr>
            <w:tcW w:w="460" w:type="dxa"/>
            <w:vAlign w:val="bottom"/>
            <w:tcBorders>
              <w:top w:val="single" w:sz="8" w:color="E5FFFF"/>
            </w:tcBorders>
            <w:shd w:val="clear" w:color="auto" w:fill="E5FFFF"/>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(65,499</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(79,369</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(144,625</w:t>
            </w:r>
          </w:p>
        </w:tc>
        <w:tc>
          <w:tcPr>
            <w:tcW w:w="100" w:type="dxa"/>
            <w:vAlign w:val="bottom"/>
            <w:tcBorders>
              <w:top w:val="single" w:sz="8" w:color="E5FFFF"/>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680" w:type="dxa"/>
            <w:vAlign w:val="bottom"/>
            <w:tcBorders>
              <w:bottom w:val="single" w:sz="8" w:color="E5FFFF"/>
            </w:tcBorders>
          </w:tcPr>
          <w:p>
            <w:pPr>
              <w:spacing w:after="0"/>
              <w:rPr>
                <w:sz w:val="22"/>
                <w:szCs w:val="22"/>
                <w:color w:val="auto"/>
              </w:rPr>
            </w:pPr>
          </w:p>
        </w:tc>
        <w:tc>
          <w:tcPr>
            <w:tcW w:w="360" w:type="dxa"/>
            <w:vAlign w:val="bottom"/>
            <w:tcBorders>
              <w:bottom w:val="single" w:sz="8" w:color="E5FF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4,880</w:t>
            </w:r>
          </w:p>
        </w:tc>
        <w:tc>
          <w:tcPr>
            <w:tcW w:w="460" w:type="dxa"/>
            <w:vAlign w:val="bottom"/>
            <w:tcBorders>
              <w:bottom w:val="single" w:sz="8" w:color="E5FF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(16,423</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35,433</w:t>
            </w:r>
          </w:p>
        </w:tc>
        <w:tc>
          <w:tcPr>
            <w:tcW w:w="440" w:type="dxa"/>
            <w:vAlign w:val="bottom"/>
            <w:tcBorders>
              <w:bottom w:val="single" w:sz="8" w:color="E5FF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(18,375</w:t>
            </w:r>
          </w:p>
        </w:tc>
        <w:tc>
          <w:tcPr>
            <w:tcW w:w="100" w:type="dxa"/>
            <w:vAlign w:val="bottom"/>
            <w:tcBorders>
              <w:bottom w:val="single" w:sz="8" w:color="E5FF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Owners of the Group</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(7,279)</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(29,046)</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5,303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(52,808)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9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12,159</w:t>
            </w:r>
          </w:p>
        </w:tc>
        <w:tc>
          <w:tcPr>
            <w:tcW w:w="19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12,623</w:t>
            </w:r>
          </w:p>
        </w:tc>
        <w:tc>
          <w:tcPr>
            <w:tcW w:w="19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30,130</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34,433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4,880</w:t>
            </w:r>
          </w:p>
        </w:tc>
        <w:tc>
          <w:tcPr>
            <w:tcW w:w="46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(16,423</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35,433</w:t>
            </w:r>
          </w:p>
        </w:tc>
        <w:tc>
          <w:tcPr>
            <w:tcW w:w="44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(18,375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405" w:right="239" w:bottom="1440" w:gutter="0" w:footer="0" w:header="0"/>
        </w:sectPr>
      </w:pPr>
    </w:p>
    <w:p>
      <w:pPr>
        <w:ind w:left="180" w:hanging="179"/>
        <w:spacing w:after="0" w:line="282" w:lineRule="auto"/>
        <w:rPr>
          <w:sz w:val="20"/>
          <w:szCs w:val="20"/>
          <w:color w:val="auto"/>
        </w:rPr>
      </w:pPr>
      <w:r>
        <w:rPr>
          <w:rFonts w:ascii="Arial" w:cs="Arial" w:eastAsia="Arial" w:hAnsi="Arial"/>
          <w:sz w:val="18"/>
          <w:szCs w:val="18"/>
          <w:b w:val="1"/>
          <w:bCs w:val="1"/>
          <w:color w:val="auto"/>
        </w:rPr>
        <w:t>(Loss)/earnings per share – basic and 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900" w:val="left"/>
          <w:tab w:leader="none" w:pos="3840" w:val="left"/>
          <w:tab w:leader="none" w:pos="5820" w:val="left"/>
          <w:tab w:leader="none" w:pos="76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auto"/>
        </w:rPr>
        <w:t>(0.12)</w:t>
      </w:r>
      <w:r>
        <w:rPr>
          <w:sz w:val="20"/>
          <w:szCs w:val="20"/>
          <w:color w:val="auto"/>
        </w:rPr>
        <w:tab/>
      </w:r>
      <w:r>
        <w:rPr>
          <w:rFonts w:ascii="Arial" w:cs="Arial" w:eastAsia="Arial" w:hAnsi="Arial"/>
          <w:sz w:val="18"/>
          <w:szCs w:val="18"/>
          <w:b w:val="1"/>
          <w:bCs w:val="1"/>
          <w:color w:val="auto"/>
        </w:rPr>
        <w:t>(0.39)</w:t>
      </w:r>
      <w:r>
        <w:rPr>
          <w:sz w:val="20"/>
          <w:szCs w:val="20"/>
          <w:color w:val="auto"/>
        </w:rPr>
        <w:tab/>
      </w:r>
      <w:r>
        <w:rPr>
          <w:rFonts w:ascii="Arial" w:cs="Arial" w:eastAsia="Arial" w:hAnsi="Arial"/>
          <w:sz w:val="18"/>
          <w:szCs w:val="18"/>
          <w:b w:val="1"/>
          <w:bCs w:val="1"/>
          <w:color w:val="auto"/>
        </w:rPr>
        <w:t>0.01</w:t>
      </w:r>
      <w:r>
        <w:rPr>
          <w:sz w:val="20"/>
          <w:szCs w:val="20"/>
          <w:color w:val="auto"/>
        </w:rPr>
        <w:tab/>
      </w:r>
      <w:r>
        <w:rPr>
          <w:rFonts w:ascii="Arial" w:cs="Arial" w:eastAsia="Arial" w:hAnsi="Arial"/>
          <w:sz w:val="16"/>
          <w:szCs w:val="16"/>
          <w:b w:val="1"/>
          <w:bCs w:val="1"/>
          <w:color w:val="auto"/>
        </w:rPr>
        <w:t>(0.75)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-256540</wp:posOffset>
            </wp:positionV>
            <wp:extent cx="72466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2520" w:space="720"/>
            <w:col w:w="8180"/>
          </w:cols>
          <w:pgMar w:left="240" w:top="40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ind w:right="5360"/>
        <w:spacing w:after="0" w:line="266"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and nine months ended September 30, 2015 and 2016 (Amounts expressed in thousands of U.S.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8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For the three months ended</w:t>
            </w:r>
          </w:p>
        </w:tc>
        <w:tc>
          <w:tcPr>
            <w:tcW w:w="35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Note</w:t>
            </w: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6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4,880</w:t>
            </w:r>
          </w:p>
        </w:tc>
        <w:tc>
          <w:tcPr>
            <w:tcW w:w="46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(16,423)</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35,433</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(18,375)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Arial" w:cs="Arial" w:eastAsia="Arial" w:hAnsi="Arial"/>
                <w:sz w:val="18"/>
                <w:szCs w:val="18"/>
                <w:b w:val="1"/>
                <w:bCs w:val="1"/>
                <w:color w:val="auto"/>
              </w:rPr>
              <w:t>Other comprehensive</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(loss)/income:</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rPr>
              <w:t>Items that may be reclassified</w:t>
            </w: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subsequently to profit or loss:</w:t>
            </w:r>
          </w:p>
        </w:tc>
        <w:tc>
          <w:tcPr>
            <w:tcW w:w="68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150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Effective portion of changes in fair</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value of cash flow hedges, net of</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amounts recycled to profit or loss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3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(5,350)</w:t>
            </w:r>
          </w:p>
        </w:tc>
        <w:tc>
          <w:tcPr>
            <w:tcW w:w="1480" w:type="dxa"/>
            <w:vAlign w:val="bottom"/>
          </w:tcPr>
          <w:p>
            <w:pPr>
              <w:jc w:val="right"/>
              <w:spacing w:after="0"/>
              <w:rPr>
                <w:sz w:val="20"/>
                <w:szCs w:val="20"/>
                <w:color w:val="auto"/>
              </w:rPr>
            </w:pPr>
            <w:r>
              <w:rPr>
                <w:rFonts w:ascii="Arial" w:cs="Arial" w:eastAsia="Arial" w:hAnsi="Arial"/>
                <w:sz w:val="18"/>
                <w:szCs w:val="18"/>
                <w:color w:val="auto"/>
              </w:rPr>
              <w:t>5,436</w:t>
            </w:r>
          </w:p>
        </w:tc>
        <w:tc>
          <w:tcPr>
            <w:tcW w:w="44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(5,721)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02"/>
        </w:trPr>
        <w:tc>
          <w:tcPr>
            <w:tcW w:w="30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Recycled loss of cash flow hedges</w:t>
            </w:r>
          </w:p>
        </w:tc>
        <w:tc>
          <w:tcPr>
            <w:tcW w:w="6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reclassified to profit or loss in</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relation to derivatives no longer</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designated as hedges</w:t>
            </w:r>
          </w:p>
        </w:tc>
        <w:tc>
          <w:tcPr>
            <w:tcW w:w="6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13</w:t>
            </w:r>
          </w:p>
        </w:tc>
        <w:tc>
          <w:tcPr>
            <w:tcW w:w="360" w:type="dxa"/>
            <w:vAlign w:val="bottom"/>
            <w:shd w:val="clear" w:color="auto" w:fill="E5FFFF"/>
          </w:tcPr>
          <w:p>
            <w:pPr>
              <w:spacing w:after="0"/>
              <w:rPr>
                <w:sz w:val="21"/>
                <w:szCs w:val="21"/>
                <w:color w:val="auto"/>
              </w:rPr>
            </w:pPr>
          </w:p>
        </w:tc>
        <w:tc>
          <w:tcPr>
            <w:tcW w:w="19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364</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17,238</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931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178"/>
        </w:trPr>
        <w:tc>
          <w:tcPr>
            <w:tcW w:w="3000" w:type="dxa"/>
            <w:vAlign w:val="bottom"/>
          </w:tcPr>
          <w:p>
            <w:pPr>
              <w:spacing w:after="0" w:line="178" w:lineRule="exact"/>
              <w:rPr>
                <w:sz w:val="20"/>
                <w:szCs w:val="20"/>
                <w:color w:val="auto"/>
              </w:rPr>
            </w:pPr>
            <w:r>
              <w:rPr>
                <w:rFonts w:ascii="Arial" w:cs="Arial" w:eastAsia="Arial" w:hAnsi="Arial"/>
                <w:sz w:val="18"/>
                <w:szCs w:val="18"/>
                <w:b w:val="1"/>
                <w:bCs w:val="1"/>
                <w:color w:val="auto"/>
              </w:rPr>
              <w:t>Other comprehensive</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(loss)/income for the period</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(4,986)</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22,674</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(4,790)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19,401</w:t>
            </w:r>
          </w:p>
        </w:tc>
        <w:tc>
          <w:tcPr>
            <w:tcW w:w="0" w:type="dxa"/>
            <w:vAlign w:val="bottom"/>
          </w:tcPr>
          <w:p>
            <w:pPr>
              <w:spacing w:after="0"/>
              <w:rPr>
                <w:sz w:val="1"/>
                <w:szCs w:val="1"/>
                <w:color w:val="auto"/>
              </w:rPr>
            </w:pPr>
          </w:p>
        </w:tc>
      </w:tr>
      <w:tr>
        <w:trPr>
          <w:trHeight w:val="178"/>
        </w:trPr>
        <w:tc>
          <w:tcPr>
            <w:tcW w:w="300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8"/>
              </w:rPr>
              <w:t>Total comprehensive (loss)/income</w:t>
            </w:r>
          </w:p>
        </w:tc>
        <w:tc>
          <w:tcPr>
            <w:tcW w:w="680" w:type="dxa"/>
            <w:vAlign w:val="bottom"/>
            <w:tcBorders>
              <w:top w:val="single" w:sz="8" w:color="E5FFFF"/>
            </w:tcBorders>
            <w:shd w:val="clear" w:color="auto" w:fill="E5FFFF"/>
          </w:tcPr>
          <w:p>
            <w:pPr>
              <w:spacing w:after="0"/>
              <w:rPr>
                <w:sz w:val="15"/>
                <w:szCs w:val="15"/>
                <w:color w:val="auto"/>
              </w:rPr>
            </w:pPr>
          </w:p>
        </w:tc>
        <w:tc>
          <w:tcPr>
            <w:tcW w:w="360" w:type="dxa"/>
            <w:vAlign w:val="bottom"/>
            <w:tcBorders>
              <w:top w:val="single" w:sz="8" w:color="E5FFFF"/>
            </w:tcBorders>
            <w:shd w:val="clear" w:color="auto" w:fill="E5FFFF"/>
          </w:tcPr>
          <w:p>
            <w:pPr>
              <w:spacing w:after="0"/>
              <w:rPr>
                <w:sz w:val="15"/>
                <w:szCs w:val="15"/>
                <w:color w:val="auto"/>
              </w:rPr>
            </w:pPr>
          </w:p>
        </w:tc>
        <w:tc>
          <w:tcPr>
            <w:tcW w:w="1500" w:type="dxa"/>
            <w:vAlign w:val="bottom"/>
            <w:tcBorders>
              <w:top w:val="single" w:sz="8" w:color="auto"/>
            </w:tcBorders>
            <w:shd w:val="clear" w:color="auto" w:fill="E5FFFF"/>
          </w:tcPr>
          <w:p>
            <w:pPr>
              <w:spacing w:after="0"/>
              <w:rPr>
                <w:sz w:val="15"/>
                <w:szCs w:val="15"/>
                <w:color w:val="auto"/>
              </w:rPr>
            </w:pPr>
          </w:p>
        </w:tc>
        <w:tc>
          <w:tcPr>
            <w:tcW w:w="460" w:type="dxa"/>
            <w:vAlign w:val="bottom"/>
            <w:tcBorders>
              <w:top w:val="single" w:sz="8" w:color="E5FFFF"/>
            </w:tcBorders>
            <w:shd w:val="clear" w:color="auto" w:fill="E5FFFF"/>
          </w:tcPr>
          <w:p>
            <w:pPr>
              <w:spacing w:after="0"/>
              <w:rPr>
                <w:sz w:val="15"/>
                <w:szCs w:val="15"/>
                <w:color w:val="auto"/>
              </w:rPr>
            </w:pPr>
          </w:p>
        </w:tc>
        <w:tc>
          <w:tcPr>
            <w:tcW w:w="148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480" w:type="dxa"/>
            <w:vAlign w:val="bottom"/>
            <w:tcBorders>
              <w:top w:val="single" w:sz="8" w:color="auto"/>
            </w:tcBorders>
            <w:shd w:val="clear" w:color="auto" w:fill="E5FFFF"/>
          </w:tcPr>
          <w:p>
            <w:pPr>
              <w:spacing w:after="0"/>
              <w:rPr>
                <w:sz w:val="15"/>
                <w:szCs w:val="15"/>
                <w:color w:val="auto"/>
              </w:rPr>
            </w:pPr>
          </w:p>
        </w:tc>
        <w:tc>
          <w:tcPr>
            <w:tcW w:w="440" w:type="dxa"/>
            <w:vAlign w:val="bottom"/>
            <w:tcBorders>
              <w:top w:val="single" w:sz="8" w:color="E5FFFF"/>
            </w:tcBorders>
            <w:shd w:val="clear" w:color="auto" w:fill="E5FFFF"/>
          </w:tcPr>
          <w:p>
            <w:pPr>
              <w:spacing w:after="0"/>
              <w:rPr>
                <w:sz w:val="15"/>
                <w:szCs w:val="15"/>
                <w:color w:val="auto"/>
              </w:rPr>
            </w:pPr>
          </w:p>
        </w:tc>
        <w:tc>
          <w:tcPr>
            <w:tcW w:w="14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00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for the period</w:t>
            </w:r>
          </w:p>
        </w:tc>
        <w:tc>
          <w:tcPr>
            <w:tcW w:w="68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(106)</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6,251</w:t>
            </w:r>
          </w:p>
        </w:tc>
        <w:tc>
          <w:tcPr>
            <w:tcW w:w="44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30,643</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1,026</w:t>
            </w:r>
          </w:p>
        </w:tc>
        <w:tc>
          <w:tcPr>
            <w:tcW w:w="0" w:type="dxa"/>
            <w:vAlign w:val="bottom"/>
          </w:tcPr>
          <w:p>
            <w:pPr>
              <w:spacing w:after="0"/>
              <w:rPr>
                <w:sz w:val="1"/>
                <w:szCs w:val="1"/>
                <w:color w:val="auto"/>
              </w:rPr>
            </w:pPr>
          </w:p>
        </w:tc>
      </w:tr>
      <w:tr>
        <w:trPr>
          <w:trHeight w:val="20"/>
        </w:trPr>
        <w:tc>
          <w:tcPr>
            <w:tcW w:w="30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Attributable to:</w:t>
            </w:r>
          </w:p>
        </w:tc>
        <w:tc>
          <w:tcPr>
            <w:tcW w:w="6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E5FFFF"/>
          </w:tcPr>
          <w:p>
            <w:pPr>
              <w:spacing w:after="0"/>
              <w:rPr>
                <w:sz w:val="20"/>
                <w:szCs w:val="20"/>
                <w:color w:val="auto"/>
              </w:rPr>
            </w:pPr>
            <w:r>
              <w:rPr>
                <w:rFonts w:ascii="Arial" w:cs="Arial" w:eastAsia="Arial" w:hAnsi="Arial"/>
                <w:sz w:val="18"/>
                <w:szCs w:val="18"/>
                <w:color w:val="auto"/>
              </w:rPr>
              <w:t>Owners of the Group</w:t>
            </w:r>
          </w:p>
        </w:tc>
        <w:tc>
          <w:tcPr>
            <w:tcW w:w="6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(12,265)</w:t>
            </w:r>
          </w:p>
        </w:tc>
        <w:tc>
          <w:tcPr>
            <w:tcW w:w="19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(6,372)</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513</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(33,407)</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12,159</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12,623</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30,130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34,433</w:t>
            </w:r>
          </w:p>
        </w:tc>
        <w:tc>
          <w:tcPr>
            <w:tcW w:w="0" w:type="dxa"/>
            <w:vAlign w:val="bottom"/>
          </w:tcPr>
          <w:p>
            <w:pPr>
              <w:spacing w:after="0"/>
              <w:rPr>
                <w:sz w:val="1"/>
                <w:szCs w:val="1"/>
                <w:color w:val="auto"/>
              </w:rPr>
            </w:pPr>
          </w:p>
        </w:tc>
      </w:tr>
      <w:tr>
        <w:trPr>
          <w:trHeight w:val="223"/>
        </w:trPr>
        <w:tc>
          <w:tcPr>
            <w:tcW w:w="3000" w:type="dxa"/>
            <w:vAlign w:val="bottom"/>
            <w:tcBorders>
              <w:top w:val="single" w:sz="8" w:color="E5FFFF"/>
              <w:bottom w:val="single" w:sz="8" w:color="E5FFFF"/>
            </w:tcBorders>
            <w:shd w:val="clear" w:color="auto" w:fill="E5FFFF"/>
          </w:tcPr>
          <w:p>
            <w:pPr>
              <w:spacing w:after="0"/>
              <w:rPr>
                <w:sz w:val="19"/>
                <w:szCs w:val="19"/>
                <w:color w:val="auto"/>
              </w:rPr>
            </w:pPr>
          </w:p>
        </w:tc>
        <w:tc>
          <w:tcPr>
            <w:tcW w:w="680" w:type="dxa"/>
            <w:vAlign w:val="bottom"/>
            <w:tcBorders>
              <w:top w:val="single" w:sz="8" w:color="E5FFFF"/>
              <w:bottom w:val="single" w:sz="8" w:color="E5FFFF"/>
            </w:tcBorders>
            <w:shd w:val="clear" w:color="auto" w:fill="E5FFFF"/>
          </w:tcPr>
          <w:p>
            <w:pPr>
              <w:spacing w:after="0"/>
              <w:rPr>
                <w:sz w:val="19"/>
                <w:szCs w:val="19"/>
                <w:color w:val="auto"/>
              </w:rPr>
            </w:pP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(106</w:t>
            </w:r>
          </w:p>
        </w:tc>
        <w:tc>
          <w:tcPr>
            <w:tcW w:w="460" w:type="dxa"/>
            <w:vAlign w:val="bottom"/>
            <w:tcBorders>
              <w:top w:val="single" w:sz="8" w:color="E5FFFF"/>
              <w:bottom w:val="single" w:sz="8" w:color="E5FFFF"/>
            </w:tcBorders>
            <w:shd w:val="clear" w:color="auto" w:fill="E5FFFF"/>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6,251</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30,643</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1,026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Share</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Preferred</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Contributed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earnings/</w:t>
            </w: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5"/>
              </w:rPr>
              <w:t>Attributable</w:t>
            </w: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Non -</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surplus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shares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(accumulated</w:t>
            </w:r>
          </w:p>
        </w:tc>
        <w:tc>
          <w:tcPr>
            <w:tcW w:w="8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to owners of</w:t>
            </w: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controlling</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(Note 10)</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(Note 10)</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(Note 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2"/>
              </w:rPr>
              <w:t>Reserves</w:t>
            </w: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(Note 10)</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deficit)</w:t>
            </w:r>
          </w:p>
        </w:tc>
        <w:tc>
          <w:tcPr>
            <w:tcW w:w="8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the Group</w:t>
            </w:r>
          </w:p>
        </w:tc>
        <w:tc>
          <w:tcPr>
            <w:tcW w:w="8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178"/>
        </w:trPr>
        <w:tc>
          <w:tcPr>
            <w:tcW w:w="20" w:type="dxa"/>
            <w:vAlign w:val="bottom"/>
          </w:tcPr>
          <w:p>
            <w:pPr>
              <w:spacing w:after="0"/>
              <w:rPr>
                <w:sz w:val="15"/>
                <w:szCs w:val="15"/>
                <w:color w:val="auto"/>
              </w:rPr>
            </w:pPr>
          </w:p>
        </w:tc>
        <w:tc>
          <w:tcPr>
            <w:tcW w:w="216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Balance as of January 1,</w:t>
            </w: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48"/>
        </w:trPr>
        <w:tc>
          <w:tcPr>
            <w:tcW w:w="20" w:type="dxa"/>
            <w:vAlign w:val="bottom"/>
          </w:tcPr>
          <w:p>
            <w:pPr>
              <w:spacing w:after="0"/>
              <w:rPr>
                <w:sz w:val="21"/>
                <w:szCs w:val="21"/>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2015</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810</w:t>
            </w:r>
          </w:p>
        </w:tc>
        <w:tc>
          <w:tcPr>
            <w:tcW w:w="10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923,470</w:t>
            </w:r>
          </w:p>
        </w:tc>
        <w:tc>
          <w:tcPr>
            <w:tcW w:w="8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(12,002)</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(12,576)</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29,689</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929,391</w:t>
            </w:r>
          </w:p>
        </w:tc>
        <w:tc>
          <w:tcPr>
            <w:tcW w:w="114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b w:val="1"/>
                <w:bCs w:val="1"/>
                <w:color w:val="auto"/>
              </w:rPr>
              <w:t>323,646</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97"/>
              </w:rPr>
              <w:t>1,253,037</w:t>
            </w:r>
          </w:p>
        </w:tc>
        <w:tc>
          <w:tcPr>
            <w:tcW w:w="100" w:type="dxa"/>
            <w:vAlign w:val="bottom"/>
            <w:shd w:val="clear" w:color="auto" w:fill="E5FF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8"/>
                <w:szCs w:val="18"/>
                <w:color w:val="auto"/>
                <w:w w:val="95"/>
              </w:rPr>
              <w:t>Net proceeds from issuance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of preferred stock</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110,607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110,653</w:t>
            </w: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110,653</w:t>
            </w:r>
          </w:p>
        </w:tc>
      </w:tr>
      <w:tr>
        <w:trPr>
          <w:trHeight w:val="202"/>
        </w:trPr>
        <w:tc>
          <w:tcPr>
            <w:tcW w:w="20" w:type="dxa"/>
            <w:vAlign w:val="bottom"/>
          </w:tcPr>
          <w:p>
            <w:pPr>
              <w:spacing w:after="0"/>
              <w:rPr>
                <w:sz w:val="17"/>
                <w:szCs w:val="17"/>
                <w:color w:val="auto"/>
              </w:rPr>
            </w:pPr>
          </w:p>
        </w:tc>
        <w:tc>
          <w:tcPr>
            <w:tcW w:w="21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9"/>
              </w:rPr>
              <w:t>Net proceeds from GasLog</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Partners’ public offering</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20"/>
                <w:szCs w:val="20"/>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20"/>
                <w:szCs w:val="20"/>
                <w:color w:val="auto"/>
              </w:rPr>
            </w:pPr>
          </w:p>
        </w:tc>
        <w:tc>
          <w:tcPr>
            <w:tcW w:w="11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color w:val="auto"/>
              </w:rPr>
              <w:t>171,857</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171,857</w:t>
            </w:r>
          </w:p>
        </w:tc>
        <w:tc>
          <w:tcPr>
            <w:tcW w:w="100" w:type="dxa"/>
            <w:vAlign w:val="bottom"/>
            <w:shd w:val="clear" w:color="auto" w:fill="E5FF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Dividend paid (common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and preference shares)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(38,672)</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(38,672)</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(21,716)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(60,388)</w:t>
            </w:r>
          </w:p>
        </w:tc>
      </w:tr>
      <w:tr>
        <w:trPr>
          <w:trHeight w:val="202"/>
        </w:trPr>
        <w:tc>
          <w:tcPr>
            <w:tcW w:w="20" w:type="dxa"/>
            <w:vAlign w:val="bottom"/>
          </w:tcPr>
          <w:p>
            <w:pPr>
              <w:spacing w:after="0"/>
              <w:rPr>
                <w:sz w:val="17"/>
                <w:szCs w:val="17"/>
                <w:color w:val="auto"/>
              </w:rPr>
            </w:pPr>
          </w:p>
        </w:tc>
        <w:tc>
          <w:tcPr>
            <w:tcW w:w="21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5"/>
              </w:rPr>
              <w:t>Share-based compensation,</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net of accrued dividend</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(Note 15)</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E5FFFF"/>
          </w:tcPr>
          <w:p>
            <w:pPr>
              <w:spacing w:after="0"/>
              <w:rPr>
                <w:sz w:val="20"/>
                <w:szCs w:val="20"/>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E5FFFF"/>
          </w:tcPr>
          <w:p>
            <w:pPr>
              <w:spacing w:after="0"/>
              <w:rPr>
                <w:sz w:val="20"/>
                <w:szCs w:val="20"/>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E5FF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Settlement of share-based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60" w:type="dxa"/>
            <w:vAlign w:val="bottom"/>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5,303</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color w:val="auto"/>
              </w:rPr>
              <w:t>5,303</w:t>
            </w:r>
          </w:p>
        </w:tc>
        <w:tc>
          <w:tcPr>
            <w:tcW w:w="114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color w:val="auto"/>
              </w:rPr>
              <w:t>30,130</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35,433</w:t>
            </w: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for the period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(4,790)</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(4,790)</w:t>
            </w:r>
          </w:p>
        </w:tc>
      </w:tr>
      <w:tr>
        <w:trPr>
          <w:trHeight w:val="178"/>
        </w:trPr>
        <w:tc>
          <w:tcPr>
            <w:tcW w:w="20" w:type="dxa"/>
            <w:vAlign w:val="bottom"/>
          </w:tcPr>
          <w:p>
            <w:pPr>
              <w:spacing w:after="0"/>
              <w:rPr>
                <w:sz w:val="15"/>
                <w:szCs w:val="15"/>
                <w:color w:val="auto"/>
              </w:rPr>
            </w:pPr>
          </w:p>
        </w:tc>
        <w:tc>
          <w:tcPr>
            <w:tcW w:w="216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Total comprehensive</w:t>
            </w: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(loss)/ income for the</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period</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(4,790)</w:t>
            </w: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5,303</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513</w:t>
            </w:r>
          </w:p>
        </w:tc>
        <w:tc>
          <w:tcPr>
            <w:tcW w:w="114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b w:val="1"/>
                <w:bCs w:val="1"/>
                <w:color w:val="auto"/>
              </w:rPr>
              <w:t>30,130</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30,643</w:t>
            </w:r>
          </w:p>
        </w:tc>
      </w:tr>
      <w:tr>
        <w:trPr>
          <w:trHeight w:val="178"/>
        </w:trPr>
        <w:tc>
          <w:tcPr>
            <w:tcW w:w="20" w:type="dxa"/>
            <w:vAlign w:val="bottom"/>
          </w:tcPr>
          <w:p>
            <w:pPr>
              <w:spacing w:after="0"/>
              <w:rPr>
                <w:sz w:val="15"/>
                <w:szCs w:val="15"/>
                <w:color w:val="auto"/>
              </w:rPr>
            </w:pPr>
          </w:p>
        </w:tc>
        <w:tc>
          <w:tcPr>
            <w:tcW w:w="2160" w:type="dxa"/>
            <w:vAlign w:val="bottom"/>
          </w:tcPr>
          <w:p>
            <w:pPr>
              <w:spacing w:after="0" w:line="178" w:lineRule="exact"/>
              <w:rPr>
                <w:sz w:val="20"/>
                <w:szCs w:val="20"/>
                <w:color w:val="auto"/>
              </w:rPr>
            </w:pPr>
            <w:r>
              <w:rPr>
                <w:rFonts w:ascii="Arial" w:cs="Arial" w:eastAsia="Arial" w:hAnsi="Arial"/>
                <w:sz w:val="18"/>
                <w:szCs w:val="18"/>
                <w:b w:val="1"/>
                <w:bCs w:val="1"/>
                <w:color w:val="auto"/>
                <w:w w:val="99"/>
              </w:rPr>
              <w:t>Balance as of September</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2180" w:type="dxa"/>
            <w:vAlign w:val="bottom"/>
            <w:gridSpan w:val="2"/>
          </w:tcPr>
          <w:p>
            <w:pPr>
              <w:ind w:left="180"/>
              <w:spacing w:after="0"/>
              <w:rPr>
                <w:sz w:val="20"/>
                <w:szCs w:val="20"/>
                <w:color w:val="auto"/>
              </w:rPr>
            </w:pPr>
            <w:r>
              <w:rPr>
                <w:rFonts w:ascii="Arial" w:cs="Arial" w:eastAsia="Arial" w:hAnsi="Arial"/>
                <w:sz w:val="18"/>
                <w:szCs w:val="18"/>
                <w:b w:val="1"/>
                <w:bCs w:val="1"/>
                <w:color w:val="auto"/>
              </w:rPr>
              <w:t>30, 2015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1,034,077</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(14,872)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(12,491)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(3,680)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1,003,890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503,917</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1,507,807</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2160" w:type="dxa"/>
            <w:vAlign w:val="bottom"/>
            <w:tcBorders>
              <w:bottom w:val="single" w:sz="8" w:color="E5FF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2160" w:type="dxa"/>
            <w:vAlign w:val="bottom"/>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Balance as of January 1,</w:t>
            </w:r>
          </w:p>
        </w:tc>
        <w:tc>
          <w:tcPr>
            <w:tcW w:w="7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48"/>
        </w:trPr>
        <w:tc>
          <w:tcPr>
            <w:tcW w:w="20" w:type="dxa"/>
            <w:vAlign w:val="bottom"/>
          </w:tcPr>
          <w:p>
            <w:pPr>
              <w:spacing w:after="0"/>
              <w:rPr>
                <w:sz w:val="21"/>
                <w:szCs w:val="21"/>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2016</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810</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E5FFFF"/>
          </w:tcPr>
          <w:p>
            <w:pPr>
              <w:spacing w:after="0"/>
              <w:rPr>
                <w:sz w:val="21"/>
                <w:szCs w:val="21"/>
                <w:color w:val="auto"/>
              </w:rPr>
            </w:pP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1,020,292</w:t>
            </w:r>
          </w:p>
        </w:tc>
        <w:tc>
          <w:tcPr>
            <w:tcW w:w="8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(8,829)</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(12,491)</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1,846</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1,001,674</w:t>
            </w:r>
          </w:p>
        </w:tc>
        <w:tc>
          <w:tcPr>
            <w:tcW w:w="114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b w:val="1"/>
                <w:bCs w:val="1"/>
                <w:color w:val="auto"/>
              </w:rPr>
              <w:t>506,246</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97"/>
              </w:rPr>
              <w:t>1,507,920</w:t>
            </w:r>
          </w:p>
        </w:tc>
        <w:tc>
          <w:tcPr>
            <w:tcW w:w="100" w:type="dxa"/>
            <w:vAlign w:val="bottom"/>
            <w:shd w:val="clear" w:color="auto" w:fill="E5FF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8"/>
                <w:szCs w:val="18"/>
                <w:color w:val="auto"/>
                <w:w w:val="99"/>
              </w:rPr>
              <w:t>Net proceeds from GasLog</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Partners’ public offering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(Note 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52,299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52,299</w:t>
            </w:r>
          </w:p>
        </w:tc>
      </w:tr>
      <w:tr>
        <w:trPr>
          <w:trHeight w:val="202"/>
        </w:trPr>
        <w:tc>
          <w:tcPr>
            <w:tcW w:w="20" w:type="dxa"/>
            <w:vAlign w:val="bottom"/>
          </w:tcPr>
          <w:p>
            <w:pPr>
              <w:spacing w:after="0"/>
              <w:rPr>
                <w:sz w:val="17"/>
                <w:szCs w:val="17"/>
                <w:color w:val="auto"/>
              </w:rPr>
            </w:pPr>
          </w:p>
        </w:tc>
        <w:tc>
          <w:tcPr>
            <w:tcW w:w="21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Dividend paid (common</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and preference shares)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(Note 10)</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(39,525)</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5FFFF"/>
          </w:tcPr>
          <w:p>
            <w:pPr>
              <w:spacing w:after="0"/>
              <w:rPr>
                <w:sz w:val="20"/>
                <w:szCs w:val="20"/>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(1,846)</w:t>
            </w:r>
          </w:p>
        </w:tc>
        <w:tc>
          <w:tcPr>
            <w:tcW w:w="118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(41,371)</w:t>
            </w:r>
          </w:p>
        </w:tc>
        <w:tc>
          <w:tcPr>
            <w:tcW w:w="1140" w:type="dxa"/>
            <w:vAlign w:val="bottom"/>
            <w:gridSpan w:val="3"/>
            <w:shd w:val="clear" w:color="auto" w:fill="E5FFFF"/>
          </w:tcPr>
          <w:p>
            <w:pPr>
              <w:jc w:val="right"/>
              <w:ind w:right="180"/>
              <w:spacing w:after="0"/>
              <w:rPr>
                <w:sz w:val="20"/>
                <w:szCs w:val="20"/>
                <w:color w:val="auto"/>
              </w:rPr>
            </w:pPr>
            <w:r>
              <w:rPr>
                <w:rFonts w:ascii="Arial" w:cs="Arial" w:eastAsia="Arial" w:hAnsi="Arial"/>
                <w:sz w:val="18"/>
                <w:szCs w:val="18"/>
                <w:color w:val="auto"/>
              </w:rPr>
              <w:t>(32,375)</w:t>
            </w: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(73,746)</w:t>
            </w: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w w:val="95"/>
              </w:rPr>
              <w:t>Share-based compensation,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net of accrued dividend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(Note 15)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2,644</w:t>
            </w: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Settlement of share-based</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compensation</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(1,481)</w:t>
            </w:r>
          </w:p>
        </w:tc>
        <w:tc>
          <w:tcPr>
            <w:tcW w:w="100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1,426</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E5FFFF"/>
          </w:tcPr>
          <w:p>
            <w:pPr>
              <w:spacing w:after="0"/>
              <w:rPr>
                <w:sz w:val="20"/>
                <w:szCs w:val="20"/>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(Loss)/profit for the period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(52,808)</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(52,808)</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34,433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(18,375)</w:t>
            </w:r>
          </w:p>
        </w:tc>
      </w:tr>
      <w:tr>
        <w:trPr>
          <w:trHeight w:val="202"/>
        </w:trPr>
        <w:tc>
          <w:tcPr>
            <w:tcW w:w="20" w:type="dxa"/>
            <w:vAlign w:val="bottom"/>
          </w:tcPr>
          <w:p>
            <w:pPr>
              <w:spacing w:after="0"/>
              <w:rPr>
                <w:sz w:val="17"/>
                <w:szCs w:val="17"/>
                <w:color w:val="auto"/>
              </w:rPr>
            </w:pPr>
          </w:p>
        </w:tc>
        <w:tc>
          <w:tcPr>
            <w:tcW w:w="21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income for the period</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19,401</w:t>
            </w: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color w:val="auto"/>
              </w:rPr>
              <w:t>19,401</w:t>
            </w:r>
          </w:p>
        </w:tc>
        <w:tc>
          <w:tcPr>
            <w:tcW w:w="8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19,401</w:t>
            </w:r>
          </w:p>
        </w:tc>
      </w:tr>
      <w:tr>
        <w:trPr>
          <w:trHeight w:val="178"/>
        </w:trPr>
        <w:tc>
          <w:tcPr>
            <w:tcW w:w="20" w:type="dxa"/>
            <w:vAlign w:val="bottom"/>
          </w:tcPr>
          <w:p>
            <w:pPr>
              <w:spacing w:after="0"/>
              <w:rPr>
                <w:sz w:val="15"/>
                <w:szCs w:val="15"/>
                <w:color w:val="auto"/>
              </w:rPr>
            </w:pPr>
          </w:p>
        </w:tc>
        <w:tc>
          <w:tcPr>
            <w:tcW w:w="2160" w:type="dxa"/>
            <w:vAlign w:val="bottom"/>
          </w:tcPr>
          <w:p>
            <w:pPr>
              <w:spacing w:after="0" w:line="178" w:lineRule="exact"/>
              <w:rPr>
                <w:sz w:val="20"/>
                <w:szCs w:val="20"/>
                <w:color w:val="auto"/>
              </w:rPr>
            </w:pPr>
            <w:r>
              <w:rPr>
                <w:rFonts w:ascii="Arial" w:cs="Arial" w:eastAsia="Arial" w:hAnsi="Arial"/>
                <w:sz w:val="18"/>
                <w:szCs w:val="18"/>
                <w:b w:val="1"/>
                <w:bCs w:val="1"/>
                <w:color w:val="auto"/>
              </w:rPr>
              <w:t>Total comprehensive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b w:val="1"/>
                <w:bCs w:val="1"/>
                <w:color w:val="auto"/>
              </w:rPr>
              <w:t>income/(loss) for the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16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19,401</w:t>
            </w:r>
          </w:p>
        </w:tc>
        <w:tc>
          <w:tcPr>
            <w:tcW w:w="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(52,808)</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(33,407)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34,433</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c>
          <w:tcPr>
            <w:tcW w:w="100" w:type="dxa"/>
            <w:vAlign w:val="bottom"/>
          </w:tcPr>
          <w:p>
            <w:pPr>
              <w:spacing w:after="0"/>
              <w:rPr>
                <w:sz w:val="21"/>
                <w:szCs w:val="21"/>
                <w:color w:val="auto"/>
              </w:rPr>
            </w:pPr>
          </w:p>
        </w:tc>
      </w:tr>
      <w:tr>
        <w:trPr>
          <w:trHeight w:val="178"/>
        </w:trPr>
        <w:tc>
          <w:tcPr>
            <w:tcW w:w="20" w:type="dxa"/>
            <w:vAlign w:val="bottom"/>
          </w:tcPr>
          <w:p>
            <w:pPr>
              <w:spacing w:after="0"/>
              <w:rPr>
                <w:sz w:val="15"/>
                <w:szCs w:val="15"/>
                <w:color w:val="auto"/>
              </w:rPr>
            </w:pPr>
          </w:p>
        </w:tc>
        <w:tc>
          <w:tcPr>
            <w:tcW w:w="216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9"/>
              </w:rPr>
              <w:t>Balance as of September</w:t>
            </w: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61"/>
        </w:trPr>
        <w:tc>
          <w:tcPr>
            <w:tcW w:w="20" w:type="dxa"/>
            <w:vAlign w:val="bottom"/>
          </w:tcPr>
          <w:p>
            <w:pPr>
              <w:spacing w:after="0"/>
              <w:rPr>
                <w:sz w:val="22"/>
                <w:szCs w:val="22"/>
                <w:color w:val="auto"/>
              </w:rPr>
            </w:pPr>
          </w:p>
        </w:tc>
        <w:tc>
          <w:tcPr>
            <w:tcW w:w="21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30, 2016</w:t>
            </w:r>
          </w:p>
        </w:tc>
        <w:tc>
          <w:tcPr>
            <w:tcW w:w="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810</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E5FFFF"/>
          </w:tcPr>
          <w:p>
            <w:pPr>
              <w:spacing w:after="0"/>
              <w:rPr>
                <w:sz w:val="22"/>
                <w:szCs w:val="22"/>
                <w:color w:val="auto"/>
              </w:rPr>
            </w:pP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b w:val="1"/>
                <w:bCs w:val="1"/>
                <w:color w:val="auto"/>
              </w:rPr>
              <w:t>980,767</w:t>
            </w: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11,735</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b w:val="1"/>
                <w:bCs w:val="1"/>
                <w:color w:val="auto"/>
              </w:rPr>
              <w:t>(11,065)</w:t>
            </w:r>
          </w:p>
        </w:tc>
        <w:tc>
          <w:tcPr>
            <w:tcW w:w="11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(52,808)</w:t>
            </w:r>
          </w:p>
        </w:tc>
        <w:tc>
          <w:tcPr>
            <w:tcW w:w="118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929,485</w:t>
            </w:r>
          </w:p>
        </w:tc>
        <w:tc>
          <w:tcPr>
            <w:tcW w:w="1140" w:type="dxa"/>
            <w:vAlign w:val="bottom"/>
            <w:gridSpan w:val="3"/>
            <w:shd w:val="clear" w:color="auto" w:fill="E5FFFF"/>
          </w:tcPr>
          <w:p>
            <w:pPr>
              <w:jc w:val="right"/>
              <w:ind w:right="240"/>
              <w:spacing w:after="0"/>
              <w:rPr>
                <w:sz w:val="20"/>
                <w:szCs w:val="20"/>
                <w:color w:val="auto"/>
              </w:rPr>
            </w:pPr>
            <w:r>
              <w:rPr>
                <w:rFonts w:ascii="Arial" w:cs="Arial" w:eastAsia="Arial" w:hAnsi="Arial"/>
                <w:sz w:val="18"/>
                <w:szCs w:val="18"/>
                <w:b w:val="1"/>
                <w:bCs w:val="1"/>
                <w:color w:val="auto"/>
              </w:rPr>
              <w:t>560,603</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w w:val="97"/>
              </w:rPr>
              <w:t>1,490,088</w:t>
            </w:r>
          </w:p>
        </w:tc>
        <w:tc>
          <w:tcPr>
            <w:tcW w:w="100" w:type="dxa"/>
            <w:vAlign w:val="bottom"/>
            <w:shd w:val="clear" w:color="auto" w:fill="E5FF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2015 and 2016</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35,433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78,179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89,021</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(1,180)</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Financial income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(277)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67,257</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106,756</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6"/>
              </w:rPr>
              <w:t>Unrealized foreign exchange (gains)/losses on cash and cash equivalents and short-term</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6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Unrealized loss on interest rate swaps held for trading including ineffective portion of</w:t>
            </w:r>
          </w:p>
        </w:tc>
        <w:tc>
          <w:tcPr>
            <w:tcW w:w="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flow hedges</w:t>
            </w:r>
          </w:p>
        </w:tc>
        <w:tc>
          <w:tcPr>
            <w:tcW w:w="7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5,956</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931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7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2,059</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18"/>
                <w:szCs w:val="18"/>
                <w:color w:val="auto"/>
              </w:rPr>
            </w:pP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188,124</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212,057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(14,184</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28,792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173,940</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240,849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(56,426</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(58,296</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117,514</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182,553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(699,502)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(576,784)</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1,675</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Return of contributed capital from associate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(68,592)</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47,007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70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239</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(719,173</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(568,711</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606,000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2,113,621</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Bank loans and bonds repayments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(73,434)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(1,966,018)</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(6,779)</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(35,484)</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Proceeds from GasLog Partners’ public offerings (net of underwriting discounts and</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172,875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52,731</w:t>
            </w:r>
          </w:p>
        </w:tc>
        <w:tc>
          <w:tcPr>
            <w:tcW w:w="0" w:type="dxa"/>
            <w:vAlign w:val="bottom"/>
          </w:tcPr>
          <w:p>
            <w:pPr>
              <w:spacing w:after="0"/>
              <w:rPr>
                <w:sz w:val="1"/>
                <w:szCs w:val="1"/>
                <w:color w:val="auto"/>
              </w:rPr>
            </w:pPr>
          </w:p>
        </w:tc>
      </w:tr>
      <w:tr>
        <w:trPr>
          <w:trHeight w:val="202"/>
        </w:trPr>
        <w:tc>
          <w:tcPr>
            <w:tcW w:w="6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Proceeds from issuance of preferred stock (net of underwriting discounts and</w:t>
            </w:r>
          </w:p>
        </w:tc>
        <w:tc>
          <w:tcPr>
            <w:tcW w:w="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commissions)</w:t>
            </w:r>
          </w:p>
        </w:tc>
        <w:tc>
          <w:tcPr>
            <w:tcW w:w="7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111,378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(1,776)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termination/modification</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(31,986)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Payment for bond re-purchase at a premium</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Payment for interest rate swaps’ termination</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Proceeds from entering into interest rate swaps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(Increase)/decrease in restricted cash</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(39,174)</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61,213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Dividends paid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(60,388)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(73,746)</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 held under finance lease</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Payments for finance lease liability</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0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708,702</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327,954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106,965</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(58,332</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700" w:type="dxa"/>
            <w:vAlign w:val="bottom"/>
            <w:tcBorders>
              <w:bottom w:val="single" w:sz="8" w:color="E5FFFF"/>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211,974</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70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E5FFFF"/>
            </w:tcBorders>
            <w:shd w:val="clear" w:color="auto" w:fill="E5FFFF"/>
          </w:tcPr>
          <w:p>
            <w:pPr>
              <w:spacing w:after="0"/>
              <w:rPr>
                <w:sz w:val="19"/>
                <w:szCs w:val="19"/>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318,939</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244,656</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19,948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Equity raising costs included in liabilities at the end of the period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96</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Loan issuance costs included in liabilities at the end of the period</w:t>
            </w:r>
          </w:p>
        </w:tc>
        <w:tc>
          <w:tcPr>
            <w:tcW w:w="7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1,548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140" w:gutter="0" w:footer="0" w:header="0"/>
        </w:sectPr>
      </w:pPr>
    </w:p>
    <w:bookmarkStart w:id="31" w:name="page32"/>
    <w:bookmarkEnd w:id="31"/>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September 30, 2016, entities controlled by members of the Livanos family, including GasLog’s chairman, are deemed to beneficially own approximately 40.8% of GasLog’s issued and outstanding common shares. As a result of his ownership of GasLog’s common shares, Mr. Livanos can effectively control the outcome of most matters on which GasLog’s shareholders are entitled to vote.</w:t>
      </w:r>
    </w:p>
    <w:p>
      <w:pPr>
        <w:spacing w:after="0" w:line="18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September 30, 2016, GasLog holds a 30.45%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of GasLog and its subsidiaries. Unless indicated otherwise, the subsidiaries listed below are 100% held (either directly or indirectly) by GasLog. The Group structure as of September 30, 2016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Cargo</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Place of</w:t>
            </w: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Date of</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capacity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16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incorporation</w:t>
            </w: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incorporation</w:t>
            </w:r>
          </w:p>
        </w:tc>
        <w:tc>
          <w:tcPr>
            <w:tcW w:w="2360" w:type="dxa"/>
            <w:vAlign w:val="bottom"/>
          </w:tcPr>
          <w:p>
            <w:pPr>
              <w:ind w:left="460"/>
              <w:spacing w:after="0"/>
              <w:rPr>
                <w:sz w:val="20"/>
                <w:szCs w:val="20"/>
                <w:color w:val="auto"/>
              </w:rPr>
            </w:pPr>
            <w:r>
              <w:rPr>
                <w:rFonts w:ascii="Arial" w:cs="Arial" w:eastAsia="Arial" w:hAnsi="Arial"/>
                <w:sz w:val="18"/>
                <w:szCs w:val="18"/>
                <w:b w:val="1"/>
                <w:bCs w:val="1"/>
                <w:color w:val="auto"/>
              </w:rPr>
              <w:t>Principal activities</w:t>
            </w:r>
          </w:p>
        </w:tc>
        <w:tc>
          <w:tcPr>
            <w:tcW w:w="10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(cbm)</w:t>
            </w:r>
          </w:p>
        </w:tc>
        <w:tc>
          <w:tcPr>
            <w:tcW w:w="2140" w:type="dxa"/>
            <w:vAlign w:val="bottom"/>
            <w:gridSpan w:val="2"/>
          </w:tcPr>
          <w:p>
            <w:pPr>
              <w:ind w:left="780"/>
              <w:spacing w:after="0"/>
              <w:rPr>
                <w:sz w:val="20"/>
                <w:szCs w:val="20"/>
                <w:color w:val="auto"/>
              </w:rPr>
            </w:pPr>
            <w:r>
              <w:rPr>
                <w:rFonts w:ascii="Arial" w:cs="Arial" w:eastAsia="Arial" w:hAnsi="Arial"/>
                <w:sz w:val="18"/>
                <w:szCs w:val="18"/>
                <w:b w:val="1"/>
                <w:bCs w:val="1"/>
                <w:color w:val="auto"/>
              </w:rPr>
              <w:t>Vessel</w:t>
            </w:r>
          </w:p>
        </w:tc>
        <w:tc>
          <w:tcPr>
            <w:tcW w:w="1460" w:type="dxa"/>
            <w:vAlign w:val="bottom"/>
          </w:tcPr>
          <w:p>
            <w:pPr>
              <w:spacing w:after="0"/>
              <w:rPr>
                <w:sz w:val="20"/>
                <w:szCs w:val="20"/>
                <w:color w:val="auto"/>
              </w:rPr>
            </w:pPr>
            <w:r>
              <w:rPr>
                <w:rFonts w:ascii="Arial" w:cs="Arial" w:eastAsia="Arial" w:hAnsi="Arial"/>
                <w:sz w:val="18"/>
                <w:szCs w:val="18"/>
                <w:b w:val="1"/>
                <w:bCs w:val="1"/>
                <w:color w:val="auto"/>
              </w:rPr>
              <w:t>Delivery date</w:t>
            </w:r>
          </w:p>
        </w:tc>
      </w:tr>
      <w:tr>
        <w:trPr>
          <w:trHeight w:val="210"/>
        </w:trPr>
        <w:tc>
          <w:tcPr>
            <w:tcW w:w="16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Subsidiaries:</w:t>
            </w:r>
          </w:p>
        </w:tc>
        <w:tc>
          <w:tcPr>
            <w:tcW w:w="1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23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20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w w:val="99"/>
              </w:rPr>
              <w:t>GasLog Investments</w:t>
            </w:r>
          </w:p>
        </w:tc>
        <w:tc>
          <w:tcPr>
            <w:tcW w:w="13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BVI</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July 2003</w:t>
            </w: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2"/>
        </w:trPr>
        <w:tc>
          <w:tcPr>
            <w:tcW w:w="16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GasLog Carriers Ltd.</w:t>
            </w:r>
          </w:p>
        </w:tc>
        <w:tc>
          <w:tcPr>
            <w:tcW w:w="136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February 2008</w:t>
            </w:r>
          </w:p>
        </w:tc>
        <w:tc>
          <w:tcPr>
            <w:tcW w:w="2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shd w:val="clear" w:color="auto" w:fill="E5FFFF"/>
          </w:tcPr>
          <w:p>
            <w:pPr>
              <w:ind w:left="180"/>
              <w:spacing w:after="0"/>
              <w:rPr>
                <w:sz w:val="20"/>
                <w:szCs w:val="20"/>
                <w:color w:val="auto"/>
              </w:rPr>
            </w:pPr>
            <w:r>
              <w:rPr>
                <w:rFonts w:ascii="Arial" w:cs="Arial" w:eastAsia="Arial" w:hAnsi="Arial"/>
                <w:sz w:val="18"/>
                <w:szCs w:val="18"/>
                <w:color w:val="auto"/>
                <w:w w:val="93"/>
              </w:rPr>
              <w:t>(“GasLog Carriers”)</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GasLog Shipping</w:t>
            </w:r>
          </w:p>
        </w:tc>
        <w:tc>
          <w:tcPr>
            <w:tcW w:w="13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January 2006</w:t>
            </w: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Company Ltd.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2"/>
        </w:trPr>
        <w:tc>
          <w:tcPr>
            <w:tcW w:w="16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GasLog Partners GP</w:t>
            </w:r>
          </w:p>
        </w:tc>
        <w:tc>
          <w:tcPr>
            <w:tcW w:w="136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Marshall</w:t>
            </w:r>
          </w:p>
        </w:tc>
        <w:tc>
          <w:tcPr>
            <w:tcW w:w="15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January 2014</w:t>
            </w:r>
          </w:p>
        </w:tc>
        <w:tc>
          <w:tcPr>
            <w:tcW w:w="2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Islands</w:t>
            </w: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w w:val="98"/>
              </w:rPr>
              <w:t>GasLog Services UK</w:t>
            </w:r>
          </w:p>
        </w:tc>
        <w:tc>
          <w:tcPr>
            <w:tcW w:w="13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England and</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May 2014</w:t>
            </w: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Service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Wales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2"/>
        </w:trPr>
        <w:tc>
          <w:tcPr>
            <w:tcW w:w="16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GasLog Services US</w:t>
            </w:r>
          </w:p>
        </w:tc>
        <w:tc>
          <w:tcPr>
            <w:tcW w:w="136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Delaware</w:t>
            </w:r>
          </w:p>
        </w:tc>
        <w:tc>
          <w:tcPr>
            <w:tcW w:w="15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May 2014</w:t>
            </w:r>
          </w:p>
        </w:tc>
        <w:tc>
          <w:tcPr>
            <w:tcW w:w="2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Service company</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Inc.</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6"/>
              </w:rPr>
              <w:t>GasLog Asia Pte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Singapore</w:t>
            </w:r>
          </w:p>
        </w:tc>
        <w:tc>
          <w:tcPr>
            <w:tcW w:w="1560" w:type="dxa"/>
            <w:vAlign w:val="bottom"/>
            <w:gridSpan w:val="2"/>
          </w:tcPr>
          <w:p>
            <w:pPr>
              <w:spacing w:after="0"/>
              <w:rPr>
                <w:sz w:val="20"/>
                <w:szCs w:val="20"/>
                <w:color w:val="auto"/>
              </w:rPr>
            </w:pPr>
            <w:r>
              <w:rPr>
                <w:rFonts w:ascii="Arial" w:cs="Arial" w:eastAsia="Arial" w:hAnsi="Arial"/>
                <w:sz w:val="18"/>
                <w:szCs w:val="18"/>
                <w:color w:val="auto"/>
              </w:rPr>
              <w:t>May 2015</w:t>
            </w:r>
          </w:p>
        </w:tc>
        <w:tc>
          <w:tcPr>
            <w:tcW w:w="2360" w:type="dxa"/>
            <w:vAlign w:val="bottom"/>
          </w:tcPr>
          <w:p>
            <w:pPr>
              <w:spacing w:after="0"/>
              <w:rPr>
                <w:sz w:val="20"/>
                <w:szCs w:val="20"/>
                <w:color w:val="auto"/>
              </w:rPr>
            </w:pPr>
            <w:r>
              <w:rPr>
                <w:rFonts w:ascii="Arial" w:cs="Arial" w:eastAsia="Arial" w:hAnsi="Arial"/>
                <w:sz w:val="18"/>
                <w:szCs w:val="18"/>
                <w:color w:val="auto"/>
              </w:rPr>
              <w:t>Service company</w:t>
            </w: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1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16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1"/>
              </w:rPr>
              <w:t>GasLog LNG Services</w:t>
            </w:r>
          </w:p>
        </w:tc>
        <w:tc>
          <w:tcPr>
            <w:tcW w:w="136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August 2004</w:t>
            </w:r>
          </w:p>
        </w:tc>
        <w:tc>
          <w:tcPr>
            <w:tcW w:w="2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9"/>
              </w:rPr>
              <w:t>Vessel management services</w:t>
            </w:r>
          </w:p>
        </w:tc>
        <w:tc>
          <w:tcPr>
            <w:tcW w:w="880" w:type="dxa"/>
            <w:vAlign w:val="bottom"/>
            <w:gridSpan w:val="3"/>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Ltd.</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GasLog Monaco</w:t>
            </w:r>
          </w:p>
        </w:tc>
        <w:tc>
          <w:tcPr>
            <w:tcW w:w="13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Monaco</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February 2010</w:t>
            </w: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Service company</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S.A.M.</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GAS-one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February 2008</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Savannah</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May 2010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GAS-two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February 2008</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Singapore</w:t>
            </w:r>
          </w:p>
        </w:tc>
        <w:tc>
          <w:tcPr>
            <w:tcW w:w="1460" w:type="dxa"/>
            <w:vAlign w:val="bottom"/>
          </w:tcPr>
          <w:p>
            <w:pPr>
              <w:spacing w:after="0"/>
              <w:rPr>
                <w:sz w:val="20"/>
                <w:szCs w:val="20"/>
                <w:color w:val="auto"/>
              </w:rPr>
            </w:pPr>
            <w:r>
              <w:rPr>
                <w:rFonts w:ascii="Arial" w:cs="Arial" w:eastAsia="Arial" w:hAnsi="Arial"/>
                <w:sz w:val="18"/>
                <w:szCs w:val="18"/>
                <w:color w:val="auto"/>
              </w:rPr>
              <w:t>July 2010</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GAS-six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February 2011</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Skagen</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July 2013</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GAS-seven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March 2011</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1460" w:type="dxa"/>
            <w:vAlign w:val="bottom"/>
          </w:tcPr>
          <w:p>
            <w:pPr>
              <w:spacing w:after="0"/>
              <w:rPr>
                <w:sz w:val="20"/>
                <w:szCs w:val="20"/>
                <w:color w:val="auto"/>
              </w:rPr>
            </w:pPr>
            <w:r>
              <w:rPr>
                <w:rFonts w:ascii="Arial" w:cs="Arial" w:eastAsia="Arial" w:hAnsi="Arial"/>
                <w:sz w:val="18"/>
                <w:szCs w:val="18"/>
                <w:color w:val="auto"/>
              </w:rPr>
              <w:t>December 2013</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GAS-eight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March 2011</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Solaris</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June 2014</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GAS-nine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June 2011</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Saratoga</w:t>
            </w:r>
          </w:p>
        </w:tc>
        <w:tc>
          <w:tcPr>
            <w:tcW w:w="1460" w:type="dxa"/>
            <w:vAlign w:val="bottom"/>
          </w:tcPr>
          <w:p>
            <w:pPr>
              <w:spacing w:after="0"/>
              <w:rPr>
                <w:sz w:val="20"/>
                <w:szCs w:val="20"/>
                <w:color w:val="auto"/>
              </w:rPr>
            </w:pPr>
            <w:r>
              <w:rPr>
                <w:rFonts w:ascii="Arial" w:cs="Arial" w:eastAsia="Arial" w:hAnsi="Arial"/>
                <w:sz w:val="18"/>
                <w:szCs w:val="18"/>
                <w:color w:val="auto"/>
              </w:rPr>
              <w:t>December 2014</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GAS-ten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June 2011</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Salem</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April 2015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GAS-eleven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December 2012</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1460" w:type="dxa"/>
            <w:vAlign w:val="bottom"/>
          </w:tcPr>
          <w:p>
            <w:pPr>
              <w:spacing w:after="0"/>
              <w:rPr>
                <w:sz w:val="20"/>
                <w:szCs w:val="20"/>
                <w:color w:val="auto"/>
              </w:rPr>
            </w:pPr>
            <w:r>
              <w:rPr>
                <w:rFonts w:ascii="Arial" w:cs="Arial" w:eastAsia="Arial" w:hAnsi="Arial"/>
                <w:sz w:val="18"/>
                <w:szCs w:val="18"/>
                <w:color w:val="auto"/>
              </w:rPr>
              <w:t>March 2016</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GAS-twelve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December 2012</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Glasgow</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June 2016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GAS-thirteen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July 2013</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Geneva</w:t>
            </w:r>
          </w:p>
        </w:tc>
        <w:tc>
          <w:tcPr>
            <w:tcW w:w="1460" w:type="dxa"/>
            <w:vAlign w:val="bottom"/>
          </w:tcPr>
          <w:p>
            <w:pPr>
              <w:spacing w:after="0"/>
              <w:rPr>
                <w:sz w:val="20"/>
                <w:szCs w:val="20"/>
                <w:color w:val="auto"/>
              </w:rPr>
            </w:pPr>
            <w:r>
              <w:rPr>
                <w:rFonts w:ascii="Arial" w:cs="Arial" w:eastAsia="Arial" w:hAnsi="Arial"/>
                <w:sz w:val="18"/>
                <w:szCs w:val="18"/>
                <w:color w:val="auto"/>
              </w:rPr>
              <w:t>September 2016</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GAS-fourteen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July 2013</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Gibraltar</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October 2016</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GAS-fifteen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August 2013</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153,600</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GasLog Chelsea</w:t>
            </w:r>
          </w:p>
        </w:tc>
        <w:tc>
          <w:tcPr>
            <w:tcW w:w="1460" w:type="dxa"/>
            <w:vAlign w:val="bottom"/>
          </w:tcPr>
          <w:p>
            <w:pPr>
              <w:spacing w:after="0"/>
              <w:rPr>
                <w:sz w:val="20"/>
                <w:szCs w:val="20"/>
                <w:color w:val="auto"/>
              </w:rPr>
            </w:pPr>
            <w:r>
              <w:rPr>
                <w:rFonts w:ascii="Arial" w:cs="Arial" w:eastAsia="Arial" w:hAnsi="Arial"/>
                <w:sz w:val="18"/>
                <w:szCs w:val="18"/>
                <w:color w:val="auto"/>
              </w:rPr>
              <w:t>October 2013</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rPr>
              <w:t>GAS-eighteen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January 2014</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E5FFFF"/>
          </w:tcPr>
          <w:p>
            <w:pPr>
              <w:spacing w:after="0"/>
              <w:rPr>
                <w:sz w:val="18"/>
                <w:szCs w:val="18"/>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Methane Lydon Volney</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April 2014</w:t>
            </w:r>
          </w:p>
        </w:tc>
      </w:tr>
      <w:tr>
        <w:trPr>
          <w:trHeight w:val="257"/>
        </w:trPr>
        <w:tc>
          <w:tcPr>
            <w:tcW w:w="1660" w:type="dxa"/>
            <w:vAlign w:val="bottom"/>
          </w:tcPr>
          <w:p>
            <w:pPr>
              <w:spacing w:after="0"/>
              <w:rPr>
                <w:sz w:val="20"/>
                <w:szCs w:val="20"/>
                <w:color w:val="auto"/>
              </w:rPr>
            </w:pPr>
            <w:r>
              <w:rPr>
                <w:rFonts w:ascii="Arial" w:cs="Arial" w:eastAsia="Arial" w:hAnsi="Arial"/>
                <w:sz w:val="18"/>
                <w:szCs w:val="18"/>
                <w:color w:val="auto"/>
                <w:w w:val="99"/>
              </w:rPr>
              <w:t>GAS-twenty two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May 2014</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Hull No. 2130</w:t>
            </w:r>
          </w:p>
        </w:tc>
        <w:tc>
          <w:tcPr>
            <w:tcW w:w="146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w w:val="92"/>
              </w:rPr>
              <w:t>GAS-twenty three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May 2014</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22"/>
                <w:szCs w:val="22"/>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2131</w:t>
            </w:r>
          </w:p>
        </w:tc>
        <w:tc>
          <w:tcPr>
            <w:tcW w:w="14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2019</w:t>
            </w:r>
            <w:r>
              <w:rPr>
                <w:rFonts w:ascii="Arial" w:cs="Arial" w:eastAsia="Arial" w:hAnsi="Arial"/>
                <w:sz w:val="29"/>
                <w:szCs w:val="29"/>
                <w:color w:val="auto"/>
                <w:vertAlign w:val="superscript"/>
              </w:rPr>
              <w:t>(1)</w:t>
            </w:r>
          </w:p>
        </w:tc>
      </w:tr>
      <w:tr>
        <w:trPr>
          <w:trHeight w:val="257"/>
        </w:trPr>
        <w:tc>
          <w:tcPr>
            <w:tcW w:w="1660" w:type="dxa"/>
            <w:vAlign w:val="bottom"/>
          </w:tcPr>
          <w:p>
            <w:pPr>
              <w:spacing w:after="0"/>
              <w:rPr>
                <w:sz w:val="20"/>
                <w:szCs w:val="20"/>
                <w:color w:val="auto"/>
              </w:rPr>
            </w:pPr>
            <w:r>
              <w:rPr>
                <w:rFonts w:ascii="Arial" w:cs="Arial" w:eastAsia="Arial" w:hAnsi="Arial"/>
                <w:sz w:val="18"/>
                <w:szCs w:val="18"/>
                <w:color w:val="auto"/>
                <w:w w:val="98"/>
              </w:rPr>
              <w:t>GAS-twenty four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June 2014</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Hull No. 2800</w:t>
            </w:r>
          </w:p>
        </w:tc>
        <w:tc>
          <w:tcPr>
            <w:tcW w:w="146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w w:val="99"/>
              </w:rPr>
              <w:t>GAS-twenty five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June 2014</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E5FFFF"/>
          </w:tcPr>
          <w:p>
            <w:pPr>
              <w:spacing w:after="0"/>
              <w:rPr>
                <w:sz w:val="22"/>
                <w:szCs w:val="22"/>
                <w:color w:val="auto"/>
              </w:rPr>
            </w:pP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2801</w:t>
            </w:r>
          </w:p>
        </w:tc>
        <w:tc>
          <w:tcPr>
            <w:tcW w:w="146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1660" w:type="dxa"/>
            <w:vAlign w:val="bottom"/>
          </w:tcPr>
          <w:p>
            <w:pPr>
              <w:spacing w:after="0"/>
              <w:rPr>
                <w:sz w:val="20"/>
                <w:szCs w:val="20"/>
                <w:color w:val="auto"/>
              </w:rPr>
            </w:pPr>
            <w:r>
              <w:rPr>
                <w:rFonts w:ascii="Arial" w:cs="Arial" w:eastAsia="Arial" w:hAnsi="Arial"/>
                <w:sz w:val="18"/>
                <w:szCs w:val="18"/>
                <w:color w:val="auto"/>
              </w:rPr>
              <w:t>GAS-twenty six Ltd.</w:t>
            </w: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January 2015</w:t>
            </w:r>
          </w:p>
        </w:tc>
        <w:tc>
          <w:tcPr>
            <w:tcW w:w="2360" w:type="dxa"/>
            <w:vAlign w:val="bottom"/>
          </w:tcPr>
          <w:p>
            <w:pPr>
              <w:spacing w:after="0" w:line="256" w:lineRule="exact"/>
              <w:rPr>
                <w:sz w:val="20"/>
                <w:szCs w:val="20"/>
                <w:color w:val="auto"/>
              </w:rPr>
            </w:pPr>
            <w:r>
              <w:rPr>
                <w:rFonts w:ascii="Arial" w:cs="Arial" w:eastAsia="Arial" w:hAnsi="Arial"/>
                <w:sz w:val="18"/>
                <w:szCs w:val="18"/>
                <w:color w:val="auto"/>
                <w:w w:val="87"/>
              </w:rPr>
              <w:t xml:space="preserve">Finance lease asset company </w:t>
            </w:r>
            <w:r>
              <w:rPr>
                <w:rFonts w:ascii="Arial" w:cs="Arial" w:eastAsia="Arial" w:hAnsi="Arial"/>
                <w:sz w:val="29"/>
                <w:szCs w:val="29"/>
                <w:color w:val="auto"/>
                <w:w w:val="87"/>
                <w:vertAlign w:val="superscript"/>
              </w:rPr>
              <w:t>(2)</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Methane Julia Louise</w:t>
            </w:r>
          </w:p>
        </w:tc>
        <w:tc>
          <w:tcPr>
            <w:tcW w:w="1460" w:type="dxa"/>
            <w:vAlign w:val="bottom"/>
          </w:tcPr>
          <w:p>
            <w:pPr>
              <w:spacing w:after="0"/>
              <w:rPr>
                <w:sz w:val="20"/>
                <w:szCs w:val="20"/>
                <w:color w:val="auto"/>
              </w:rPr>
            </w:pPr>
            <w:r>
              <w:rPr>
                <w:rFonts w:ascii="Arial" w:cs="Arial" w:eastAsia="Arial" w:hAnsi="Arial"/>
                <w:sz w:val="18"/>
                <w:szCs w:val="18"/>
                <w:color w:val="auto"/>
              </w:rPr>
              <w:t>March 2015</w:t>
            </w:r>
          </w:p>
        </w:tc>
      </w:tr>
      <w:tr>
        <w:trPr>
          <w:trHeight w:val="202"/>
        </w:trPr>
        <w:tc>
          <w:tcPr>
            <w:tcW w:w="16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GAS-twenty seven</w:t>
            </w:r>
          </w:p>
        </w:tc>
        <w:tc>
          <w:tcPr>
            <w:tcW w:w="136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January 2015</w:t>
            </w:r>
          </w:p>
        </w:tc>
        <w:tc>
          <w:tcPr>
            <w:tcW w:w="2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Vessel-owning company</w:t>
            </w:r>
          </w:p>
        </w:tc>
        <w:tc>
          <w:tcPr>
            <w:tcW w:w="78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170,000</w:t>
            </w:r>
          </w:p>
        </w:tc>
        <w:tc>
          <w:tcPr>
            <w:tcW w:w="100" w:type="dxa"/>
            <w:vAlign w:val="bottom"/>
            <w:shd w:val="clear" w:color="auto" w:fill="E5FFFF"/>
          </w:tcPr>
          <w:p>
            <w:pPr>
              <w:spacing w:after="0"/>
              <w:rPr>
                <w:sz w:val="17"/>
                <w:szCs w:val="17"/>
                <w:color w:val="auto"/>
              </w:rPr>
            </w:pPr>
          </w:p>
        </w:tc>
        <w:tc>
          <w:tcPr>
            <w:tcW w:w="214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i w:val="1"/>
                <w:iCs w:val="1"/>
                <w:color w:val="auto"/>
              </w:rPr>
              <w:t>Methane Becki Anne</w:t>
            </w:r>
          </w:p>
        </w:tc>
        <w:tc>
          <w:tcPr>
            <w:tcW w:w="14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March 2015</w:t>
            </w:r>
          </w:p>
        </w:tc>
      </w:tr>
      <w:tr>
        <w:trPr>
          <w:trHeight w:val="230"/>
        </w:trPr>
        <w:tc>
          <w:tcPr>
            <w:tcW w:w="16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Ltd.</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r>
        <w:trPr>
          <w:trHeight w:val="257"/>
        </w:trPr>
        <w:tc>
          <w:tcPr>
            <w:tcW w:w="3020" w:type="dxa"/>
            <w:vAlign w:val="bottom"/>
            <w:gridSpan w:val="4"/>
          </w:tcPr>
          <w:p>
            <w:pPr>
              <w:spacing w:after="0"/>
              <w:rPr>
                <w:sz w:val="20"/>
                <w:szCs w:val="20"/>
                <w:color w:val="auto"/>
              </w:rPr>
            </w:pPr>
            <w:r>
              <w:rPr>
                <w:rFonts w:ascii="Arial" w:cs="Arial" w:eastAsia="Arial" w:hAnsi="Arial"/>
                <w:sz w:val="18"/>
                <w:szCs w:val="18"/>
                <w:color w:val="auto"/>
              </w:rPr>
              <w:t>GAS-twenty eight Ltd. Bermuda</w:t>
            </w:r>
          </w:p>
        </w:tc>
        <w:tc>
          <w:tcPr>
            <w:tcW w:w="1560" w:type="dxa"/>
            <w:vAlign w:val="bottom"/>
            <w:gridSpan w:val="2"/>
          </w:tcPr>
          <w:p>
            <w:pPr>
              <w:spacing w:after="0"/>
              <w:rPr>
                <w:sz w:val="20"/>
                <w:szCs w:val="20"/>
                <w:color w:val="auto"/>
              </w:rPr>
            </w:pPr>
            <w:r>
              <w:rPr>
                <w:rFonts w:ascii="Arial" w:cs="Arial" w:eastAsia="Arial" w:hAnsi="Arial"/>
                <w:sz w:val="18"/>
                <w:szCs w:val="18"/>
                <w:color w:val="auto"/>
              </w:rPr>
              <w:t>September 2016</w:t>
            </w:r>
          </w:p>
        </w:tc>
        <w:tc>
          <w:tcPr>
            <w:tcW w:w="2360" w:type="dxa"/>
            <w:vAlign w:val="bottom"/>
          </w:tcPr>
          <w:p>
            <w:pPr>
              <w:spacing w:after="0"/>
              <w:rPr>
                <w:sz w:val="20"/>
                <w:szCs w:val="20"/>
                <w:color w:val="auto"/>
              </w:rPr>
            </w:pPr>
            <w:r>
              <w:rPr>
                <w:rFonts w:ascii="Arial" w:cs="Arial" w:eastAsia="Arial" w:hAnsi="Arial"/>
                <w:sz w:val="18"/>
                <w:szCs w:val="18"/>
                <w:color w:val="auto"/>
              </w:rPr>
              <w:t>Vessel-owning company</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Hull No. 2212</w:t>
            </w:r>
          </w:p>
        </w:tc>
        <w:tc>
          <w:tcPr>
            <w:tcW w:w="1460" w:type="dxa"/>
            <w:vAlign w:val="bottom"/>
          </w:tcPr>
          <w:p>
            <w:pPr>
              <w:spacing w:after="0" w:line="256" w:lineRule="exact"/>
              <w:rPr>
                <w:sz w:val="20"/>
                <w:szCs w:val="20"/>
                <w:color w:val="auto"/>
              </w:rPr>
            </w:pPr>
            <w:r>
              <w:rPr>
                <w:rFonts w:ascii="Arial" w:cs="Arial" w:eastAsia="Arial" w:hAnsi="Arial"/>
                <w:sz w:val="18"/>
                <w:szCs w:val="18"/>
                <w:color w:val="auto"/>
              </w:rPr>
              <w:t>Q2 2019</w:t>
            </w:r>
            <w:r>
              <w:rPr>
                <w:rFonts w:ascii="Arial" w:cs="Arial" w:eastAsia="Arial" w:hAnsi="Arial"/>
                <w:sz w:val="29"/>
                <w:szCs w:val="29"/>
                <w:color w:val="auto"/>
                <w:vertAlign w:val="superscript"/>
              </w:rPr>
              <w:t>(1)</w:t>
            </w:r>
          </w:p>
        </w:tc>
      </w:tr>
      <w:tr>
        <w:trPr>
          <w:trHeight w:val="216"/>
        </w:trPr>
        <w:tc>
          <w:tcPr>
            <w:tcW w:w="1660" w:type="dxa"/>
            <w:vAlign w:val="bottom"/>
            <w:shd w:val="clear" w:color="auto" w:fill="E5FFFF"/>
          </w:tcPr>
          <w:p>
            <w:pPr>
              <w:spacing w:after="0"/>
              <w:rPr>
                <w:sz w:val="20"/>
                <w:szCs w:val="20"/>
                <w:color w:val="auto"/>
              </w:rPr>
            </w:pPr>
            <w:r>
              <w:rPr>
                <w:rFonts w:ascii="Arial" w:cs="Arial" w:eastAsia="Arial" w:hAnsi="Arial"/>
                <w:sz w:val="18"/>
                <w:szCs w:val="18"/>
                <w:color w:val="auto"/>
                <w:w w:val="96"/>
              </w:rPr>
              <w:t>GAS-twenty nine Ltd.</w:t>
            </w:r>
          </w:p>
        </w:tc>
        <w:tc>
          <w:tcPr>
            <w:tcW w:w="136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September 2016</w:t>
            </w:r>
          </w:p>
        </w:tc>
        <w:tc>
          <w:tcPr>
            <w:tcW w:w="2360" w:type="dxa"/>
            <w:vAlign w:val="bottom"/>
            <w:shd w:val="clear" w:color="auto" w:fill="E5FFFF"/>
          </w:tcPr>
          <w:p>
            <w:pPr>
              <w:spacing w:after="0"/>
              <w:rPr>
                <w:sz w:val="20"/>
                <w:szCs w:val="20"/>
                <w:color w:val="auto"/>
              </w:rPr>
            </w:pPr>
            <w:r>
              <w:rPr>
                <w:rFonts w:ascii="Arial" w:cs="Arial" w:eastAsia="Arial" w:hAnsi="Arial"/>
                <w:sz w:val="18"/>
                <w:szCs w:val="18"/>
                <w:color w:val="auto"/>
              </w:rPr>
              <w:t>Dormant</w:t>
            </w:r>
          </w:p>
        </w:tc>
        <w:tc>
          <w:tcPr>
            <w:tcW w:w="880" w:type="dxa"/>
            <w:vAlign w:val="bottom"/>
            <w:gridSpan w:val="3"/>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rPr>
              <w:t>GasLog Shipping</w:t>
            </w:r>
          </w:p>
        </w:tc>
        <w:tc>
          <w:tcPr>
            <w:tcW w:w="13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BVI</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July 2003</w:t>
            </w: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Dormant</w:t>
            </w:r>
          </w:p>
        </w:tc>
        <w:tc>
          <w:tcPr>
            <w:tcW w:w="8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t>
            </w:r>
          </w:p>
        </w:tc>
        <w:tc>
          <w:tcPr>
            <w:tcW w:w="2140" w:type="dxa"/>
            <w:vAlign w:val="bottom"/>
            <w:gridSpan w:val="2"/>
          </w:tcPr>
          <w:p>
            <w:pPr>
              <w:spacing w:after="0" w:line="201" w:lineRule="exact"/>
              <w:rPr>
                <w:sz w:val="20"/>
                <w:szCs w:val="20"/>
                <w:color w:val="auto"/>
              </w:rPr>
            </w:pPr>
            <w:r>
              <w:rPr>
                <w:rFonts w:ascii="Arial" w:cs="Arial" w:eastAsia="Arial" w:hAnsi="Arial"/>
                <w:sz w:val="18"/>
                <w:szCs w:val="18"/>
                <w:color w:val="auto"/>
              </w:rPr>
              <w:t>—</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8"/>
        </w:trPr>
        <w:tc>
          <w:tcPr>
            <w:tcW w:w="1660" w:type="dxa"/>
            <w:vAlign w:val="bottom"/>
            <w:shd w:val="clear" w:color="auto" w:fill="E5FFFF"/>
          </w:tcPr>
          <w:p>
            <w:pPr>
              <w:spacing w:after="0" w:line="198" w:lineRule="exact"/>
              <w:rPr>
                <w:sz w:val="20"/>
                <w:szCs w:val="20"/>
                <w:color w:val="auto"/>
              </w:rPr>
            </w:pPr>
            <w:r>
              <w:rPr>
                <w:rFonts w:ascii="Arial" w:cs="Arial" w:eastAsia="Arial" w:hAnsi="Arial"/>
                <w:sz w:val="18"/>
                <w:szCs w:val="18"/>
                <w:b w:val="1"/>
                <w:bCs w:val="1"/>
                <w:color w:val="auto"/>
              </w:rPr>
              <w:t>30.45% interest</w:t>
            </w:r>
          </w:p>
        </w:tc>
        <w:tc>
          <w:tcPr>
            <w:tcW w:w="1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3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60" w:type="dxa"/>
            <w:vAlign w:val="bottom"/>
            <w:shd w:val="clear" w:color="auto" w:fill="E5FFFF"/>
          </w:tcPr>
          <w:p>
            <w:pPr>
              <w:spacing w:after="0"/>
              <w:rPr>
                <w:sz w:val="17"/>
                <w:szCs w:val="17"/>
                <w:color w:val="auto"/>
              </w:rPr>
            </w:pPr>
          </w:p>
        </w:tc>
      </w:tr>
      <w:tr>
        <w:trPr>
          <w:trHeight w:val="234"/>
        </w:trPr>
        <w:tc>
          <w:tcPr>
            <w:tcW w:w="166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subsidiaries:</w:t>
            </w:r>
          </w:p>
        </w:tc>
        <w:tc>
          <w:tcPr>
            <w:tcW w:w="12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bl>
    <w:p>
      <w:pPr>
        <w:sectPr>
          <w:pgSz w:w="11900" w:h="16870" w:orient="portrait"/>
          <w:cols w:equalWidth="0" w:num="1">
            <w:col w:w="11420"/>
          </w:cols>
          <w:pgMar w:left="240" w:top="405"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8"/>
              </w:rPr>
              <w:t>GasLog Partners LP</w:t>
            </w:r>
          </w:p>
        </w:tc>
        <w:tc>
          <w:tcPr>
            <w:tcW w:w="1100" w:type="dxa"/>
            <w:vAlign w:val="bottom"/>
          </w:tcPr>
          <w:p>
            <w:pPr>
              <w:ind w:left="160"/>
              <w:spacing w:after="0"/>
              <w:rPr>
                <w:sz w:val="20"/>
                <w:szCs w:val="20"/>
                <w:color w:val="auto"/>
              </w:rPr>
            </w:pPr>
            <w:r>
              <w:rPr>
                <w:rFonts w:ascii="Arial" w:cs="Arial" w:eastAsia="Arial" w:hAnsi="Arial"/>
                <w:sz w:val="18"/>
                <w:szCs w:val="18"/>
                <w:color w:val="auto"/>
              </w:rPr>
              <w:t>Marshall</w:t>
            </w:r>
          </w:p>
        </w:tc>
        <w:tc>
          <w:tcPr>
            <w:tcW w:w="1560" w:type="dxa"/>
            <w:vAlign w:val="bottom"/>
          </w:tcPr>
          <w:p>
            <w:pPr>
              <w:ind w:left="300"/>
              <w:spacing w:after="0"/>
              <w:rPr>
                <w:sz w:val="20"/>
                <w:szCs w:val="20"/>
                <w:color w:val="auto"/>
              </w:rPr>
            </w:pPr>
            <w:r>
              <w:rPr>
                <w:rFonts w:ascii="Arial" w:cs="Arial" w:eastAsia="Arial" w:hAnsi="Arial"/>
                <w:sz w:val="18"/>
                <w:szCs w:val="18"/>
                <w:color w:val="auto"/>
              </w:rPr>
              <w:t>January 2014</w:t>
            </w:r>
          </w:p>
        </w:tc>
        <w:tc>
          <w:tcPr>
            <w:tcW w:w="2180" w:type="dxa"/>
            <w:vAlign w:val="bottom"/>
          </w:tcPr>
          <w:p>
            <w:pPr>
              <w:ind w:left="300"/>
              <w:spacing w:after="0"/>
              <w:rPr>
                <w:sz w:val="20"/>
                <w:szCs w:val="20"/>
                <w:color w:val="auto"/>
              </w:rPr>
            </w:pPr>
            <w:r>
              <w:rPr>
                <w:rFonts w:ascii="Arial" w:cs="Arial" w:eastAsia="Arial" w:hAnsi="Arial"/>
                <w:sz w:val="18"/>
                <w:szCs w:val="18"/>
                <w:color w:val="auto"/>
              </w:rPr>
              <w:t>Holding company</w:t>
            </w:r>
          </w:p>
        </w:tc>
        <w:tc>
          <w:tcPr>
            <w:tcW w:w="1060" w:type="dxa"/>
            <w:vAlign w:val="bottom"/>
          </w:tcPr>
          <w:p>
            <w:pPr>
              <w:ind w:left="580"/>
              <w:spacing w:after="0"/>
              <w:rPr>
                <w:sz w:val="20"/>
                <w:szCs w:val="20"/>
                <w:color w:val="auto"/>
              </w:rPr>
            </w:pPr>
            <w:r>
              <w:rPr>
                <w:rFonts w:ascii="Arial" w:cs="Arial" w:eastAsia="Arial" w:hAnsi="Arial"/>
                <w:sz w:val="18"/>
                <w:szCs w:val="18"/>
                <w:color w:val="auto"/>
              </w:rPr>
              <w:t>—</w:t>
            </w:r>
          </w:p>
        </w:tc>
        <w:tc>
          <w:tcPr>
            <w:tcW w:w="1460" w:type="dxa"/>
            <w:vAlign w:val="bottom"/>
          </w:tcPr>
          <w:p>
            <w:pPr>
              <w:ind w:left="300"/>
              <w:spacing w:after="0"/>
              <w:rPr>
                <w:sz w:val="20"/>
                <w:szCs w:val="20"/>
                <w:color w:val="auto"/>
              </w:rPr>
            </w:pPr>
            <w:r>
              <w:rPr>
                <w:rFonts w:ascii="Arial" w:cs="Arial" w:eastAsia="Arial" w:hAnsi="Arial"/>
                <w:sz w:val="18"/>
                <w:szCs w:val="18"/>
                <w:color w:val="auto"/>
              </w:rPr>
              <w:t>—</w:t>
            </w:r>
          </w:p>
        </w:tc>
        <w:tc>
          <w:tcPr>
            <w:tcW w:w="24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1620" w:type="dxa"/>
            <w:vAlign w:val="bottom"/>
          </w:tcPr>
          <w:p>
            <w:pPr>
              <w:spacing w:after="0"/>
              <w:rPr>
                <w:sz w:val="20"/>
                <w:szCs w:val="20"/>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Islands</w:t>
            </w:r>
          </w:p>
        </w:tc>
        <w:tc>
          <w:tcPr>
            <w:tcW w:w="1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5"/>
        </w:trPr>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ind w:left="1300"/>
              <w:spacing w:after="0"/>
              <w:rPr>
                <w:sz w:val="20"/>
                <w:szCs w:val="20"/>
                <w:color w:val="auto"/>
              </w:rPr>
            </w:pPr>
            <w:r>
              <w:rPr>
                <w:rFonts w:ascii="Arial" w:cs="Arial" w:eastAsia="Arial" w:hAnsi="Arial"/>
                <w:sz w:val="18"/>
                <w:szCs w:val="18"/>
                <w:color w:val="auto"/>
              </w:rPr>
              <w:t>F-7</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50"/>
        </w:trPr>
        <w:tc>
          <w:tcPr>
            <w:tcW w:w="162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1560" w:type="dxa"/>
            <w:vAlign w:val="bottom"/>
            <w:tcBorders>
              <w:bottom w:val="single" w:sz="8" w:color="C0C0C0"/>
            </w:tcBorders>
          </w:tcPr>
          <w:p>
            <w:pPr>
              <w:spacing w:after="0"/>
              <w:rPr>
                <w:sz w:val="21"/>
                <w:szCs w:val="21"/>
                <w:color w:val="auto"/>
              </w:rPr>
            </w:pPr>
          </w:p>
        </w:tc>
        <w:tc>
          <w:tcPr>
            <w:tcW w:w="2180" w:type="dxa"/>
            <w:vAlign w:val="bottom"/>
            <w:tcBorders>
              <w:bottom w:val="single" w:sz="8" w:color="C0C0C0"/>
            </w:tcBorders>
          </w:tcPr>
          <w:p>
            <w:pPr>
              <w:spacing w:after="0"/>
              <w:rPr>
                <w:sz w:val="21"/>
                <w:szCs w:val="21"/>
                <w:color w:val="auto"/>
              </w:rPr>
            </w:pPr>
          </w:p>
        </w:tc>
        <w:tc>
          <w:tcPr>
            <w:tcW w:w="1060" w:type="dxa"/>
            <w:vAlign w:val="bottom"/>
            <w:tcBorders>
              <w:bottom w:val="single" w:sz="8" w:color="C0C0C0"/>
            </w:tcBorders>
          </w:tcPr>
          <w:p>
            <w:pPr>
              <w:spacing w:after="0"/>
              <w:rPr>
                <w:sz w:val="21"/>
                <w:szCs w:val="21"/>
                <w:color w:val="auto"/>
              </w:rPr>
            </w:pPr>
          </w:p>
        </w:tc>
        <w:tc>
          <w:tcPr>
            <w:tcW w:w="1460" w:type="dxa"/>
            <w:vAlign w:val="bottom"/>
            <w:tcBorders>
              <w:bottom w:val="single" w:sz="8" w:color="C0C0C0"/>
            </w:tcBorders>
          </w:tcPr>
          <w:p>
            <w:pPr>
              <w:spacing w:after="0"/>
              <w:rPr>
                <w:sz w:val="21"/>
                <w:szCs w:val="21"/>
                <w:color w:val="auto"/>
              </w:rPr>
            </w:pPr>
          </w:p>
        </w:tc>
        <w:tc>
          <w:tcPr>
            <w:tcW w:w="24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 Partners Holdings</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Marshall</w:t>
            </w:r>
          </w:p>
        </w:tc>
        <w:tc>
          <w:tcPr>
            <w:tcW w:w="1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April 2014</w:t>
            </w:r>
          </w:p>
        </w:tc>
        <w:tc>
          <w:tcPr>
            <w:tcW w:w="21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Holding company</w:t>
            </w:r>
          </w:p>
        </w:tc>
        <w:tc>
          <w:tcPr>
            <w:tcW w:w="1000" w:type="dxa"/>
            <w:vAlign w:val="bottom"/>
            <w:shd w:val="clear" w:color="auto" w:fill="E5FFFF"/>
          </w:tcPr>
          <w:p>
            <w:pPr>
              <w:ind w:left="320"/>
              <w:spacing w:after="0"/>
              <w:rPr>
                <w:sz w:val="20"/>
                <w:szCs w:val="20"/>
                <w:color w:val="auto"/>
              </w:rPr>
            </w:pPr>
            <w:r>
              <w:rPr>
                <w:rFonts w:ascii="Arial" w:cs="Arial" w:eastAsia="Arial" w:hAnsi="Arial"/>
                <w:sz w:val="18"/>
                <w:szCs w:val="18"/>
                <w:color w:val="auto"/>
              </w:rPr>
              <w:t>—</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w:t>
            </w:r>
          </w:p>
        </w:tc>
      </w:tr>
      <w:tr>
        <w:trPr>
          <w:trHeight w:val="230"/>
        </w:trPr>
        <w:tc>
          <w:tcPr>
            <w:tcW w:w="214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Islands</w:t>
            </w:r>
          </w:p>
        </w:tc>
        <w:tc>
          <w:tcPr>
            <w:tcW w:w="1460" w:type="dxa"/>
            <w:vAlign w:val="bottom"/>
            <w:shd w:val="clear" w:color="auto" w:fill="E5FFFF"/>
          </w:tcPr>
          <w:p>
            <w:pPr>
              <w:spacing w:after="0"/>
              <w:rPr>
                <w:sz w:val="20"/>
                <w:szCs w:val="20"/>
                <w:color w:val="auto"/>
              </w:rPr>
            </w:pPr>
          </w:p>
        </w:tc>
        <w:tc>
          <w:tcPr>
            <w:tcW w:w="2180" w:type="dxa"/>
            <w:vAlign w:val="bottom"/>
            <w:shd w:val="clear" w:color="auto" w:fill="E5FFFF"/>
          </w:tcPr>
          <w:p>
            <w:pPr>
              <w:spacing w:after="0"/>
              <w:rPr>
                <w:sz w:val="20"/>
                <w:szCs w:val="20"/>
                <w:color w:val="auto"/>
              </w:rPr>
            </w:pPr>
          </w:p>
        </w:tc>
        <w:tc>
          <w:tcPr>
            <w:tcW w:w="1000" w:type="dxa"/>
            <w:vAlign w:val="bottom"/>
            <w:shd w:val="clear" w:color="auto" w:fill="E5FFFF"/>
          </w:tcPr>
          <w:p>
            <w:pPr>
              <w:spacing w:after="0"/>
              <w:rPr>
                <w:sz w:val="20"/>
                <w:szCs w:val="20"/>
                <w:color w:val="auto"/>
              </w:rPr>
            </w:pPr>
          </w:p>
        </w:tc>
        <w:tc>
          <w:tcPr>
            <w:tcW w:w="2140" w:type="dxa"/>
            <w:vAlign w:val="bottom"/>
            <w:shd w:val="clear" w:color="auto" w:fill="E5FFFF"/>
          </w:tcPr>
          <w:p>
            <w:pPr>
              <w:spacing w:after="0"/>
              <w:rPr>
                <w:sz w:val="20"/>
                <w:szCs w:val="20"/>
                <w:color w:val="auto"/>
              </w:rPr>
            </w:pPr>
          </w:p>
        </w:tc>
        <w:tc>
          <w:tcPr>
            <w:tcW w:w="1480" w:type="dxa"/>
            <w:vAlign w:val="bottom"/>
            <w:shd w:val="clear" w:color="auto" w:fill="E5FFFF"/>
          </w:tcPr>
          <w:p>
            <w:pPr>
              <w:spacing w:after="0"/>
              <w:rPr>
                <w:sz w:val="20"/>
                <w:szCs w:val="20"/>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GAS-three Ltd.</w:t>
            </w:r>
          </w:p>
        </w:tc>
        <w:tc>
          <w:tcPr>
            <w:tcW w:w="1020" w:type="dxa"/>
            <w:vAlign w:val="bottom"/>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tcPr>
          <w:p>
            <w:pPr>
              <w:ind w:left="180"/>
              <w:spacing w:after="0"/>
              <w:rPr>
                <w:sz w:val="20"/>
                <w:szCs w:val="20"/>
                <w:color w:val="auto"/>
              </w:rPr>
            </w:pPr>
            <w:r>
              <w:rPr>
                <w:rFonts w:ascii="Arial" w:cs="Arial" w:eastAsia="Arial" w:hAnsi="Arial"/>
                <w:sz w:val="18"/>
                <w:szCs w:val="18"/>
                <w:color w:val="auto"/>
              </w:rPr>
              <w:t>April 2010</w:t>
            </w:r>
          </w:p>
        </w:tc>
        <w:tc>
          <w:tcPr>
            <w:tcW w:w="218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tcPr>
          <w:p>
            <w:pPr>
              <w:ind w:left="320"/>
              <w:spacing w:after="0"/>
              <w:rPr>
                <w:sz w:val="20"/>
                <w:szCs w:val="20"/>
                <w:color w:val="auto"/>
              </w:rPr>
            </w:pPr>
            <w:r>
              <w:rPr>
                <w:rFonts w:ascii="Arial" w:cs="Arial" w:eastAsia="Arial" w:hAnsi="Arial"/>
                <w:sz w:val="18"/>
                <w:szCs w:val="18"/>
                <w:color w:val="auto"/>
              </w:rPr>
              <w:t>155,000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GasLog Shanghai</w:t>
            </w:r>
          </w:p>
        </w:tc>
        <w:tc>
          <w:tcPr>
            <w:tcW w:w="1480" w:type="dxa"/>
            <w:vAlign w:val="bottom"/>
          </w:tcPr>
          <w:p>
            <w:pPr>
              <w:ind w:left="120"/>
              <w:spacing w:after="0"/>
              <w:rPr>
                <w:sz w:val="20"/>
                <w:szCs w:val="20"/>
                <w:color w:val="auto"/>
              </w:rPr>
            </w:pPr>
            <w:r>
              <w:rPr>
                <w:rFonts w:ascii="Arial" w:cs="Arial" w:eastAsia="Arial" w:hAnsi="Arial"/>
                <w:sz w:val="18"/>
                <w:szCs w:val="18"/>
                <w:color w:val="auto"/>
              </w:rPr>
              <w:t>January 2013</w:t>
            </w:r>
          </w:p>
        </w:tc>
      </w:tr>
      <w:tr>
        <w:trPr>
          <w:trHeight w:val="216"/>
        </w:trPr>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GAS-four Ltd.</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April 2010</w:t>
            </w:r>
          </w:p>
        </w:tc>
        <w:tc>
          <w:tcPr>
            <w:tcW w:w="21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shd w:val="clear" w:color="auto" w:fill="E5FFFF"/>
          </w:tcPr>
          <w:p>
            <w:pPr>
              <w:ind w:left="320"/>
              <w:spacing w:after="0"/>
              <w:rPr>
                <w:sz w:val="20"/>
                <w:szCs w:val="20"/>
                <w:color w:val="auto"/>
              </w:rPr>
            </w:pPr>
            <w:r>
              <w:rPr>
                <w:rFonts w:ascii="Arial" w:cs="Arial" w:eastAsia="Arial" w:hAnsi="Arial"/>
                <w:sz w:val="18"/>
                <w:szCs w:val="18"/>
                <w:color w:val="auto"/>
              </w:rPr>
              <w:t>155,000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GasLog Santiago</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March 2013</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GAS-five Ltd.</w:t>
            </w:r>
          </w:p>
        </w:tc>
        <w:tc>
          <w:tcPr>
            <w:tcW w:w="1020" w:type="dxa"/>
            <w:vAlign w:val="bottom"/>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tcPr>
          <w:p>
            <w:pPr>
              <w:ind w:left="180"/>
              <w:spacing w:after="0"/>
              <w:rPr>
                <w:sz w:val="20"/>
                <w:szCs w:val="20"/>
                <w:color w:val="auto"/>
              </w:rPr>
            </w:pPr>
            <w:r>
              <w:rPr>
                <w:rFonts w:ascii="Arial" w:cs="Arial" w:eastAsia="Arial" w:hAnsi="Arial"/>
                <w:sz w:val="18"/>
                <w:szCs w:val="18"/>
                <w:color w:val="auto"/>
              </w:rPr>
              <w:t>February 2011</w:t>
            </w:r>
          </w:p>
        </w:tc>
        <w:tc>
          <w:tcPr>
            <w:tcW w:w="218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tcPr>
          <w:p>
            <w:pPr>
              <w:ind w:left="320"/>
              <w:spacing w:after="0"/>
              <w:rPr>
                <w:sz w:val="20"/>
                <w:szCs w:val="20"/>
                <w:color w:val="auto"/>
              </w:rPr>
            </w:pPr>
            <w:r>
              <w:rPr>
                <w:rFonts w:ascii="Arial" w:cs="Arial" w:eastAsia="Arial" w:hAnsi="Arial"/>
                <w:sz w:val="18"/>
                <w:szCs w:val="18"/>
                <w:color w:val="auto"/>
              </w:rPr>
              <w:t>155,000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GasLog Sydney</w:t>
            </w:r>
          </w:p>
        </w:tc>
        <w:tc>
          <w:tcPr>
            <w:tcW w:w="1480" w:type="dxa"/>
            <w:vAlign w:val="bottom"/>
          </w:tcPr>
          <w:p>
            <w:pPr>
              <w:ind w:left="120"/>
              <w:spacing w:after="0"/>
              <w:rPr>
                <w:sz w:val="20"/>
                <w:szCs w:val="20"/>
                <w:color w:val="auto"/>
              </w:rPr>
            </w:pPr>
            <w:r>
              <w:rPr>
                <w:rFonts w:ascii="Arial" w:cs="Arial" w:eastAsia="Arial" w:hAnsi="Arial"/>
                <w:sz w:val="18"/>
                <w:szCs w:val="18"/>
                <w:color w:val="auto"/>
              </w:rPr>
              <w:t>May 2013</w:t>
            </w:r>
          </w:p>
        </w:tc>
      </w:tr>
      <w:tr>
        <w:trPr>
          <w:trHeight w:val="216"/>
        </w:trPr>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GAS-sixteen Ltd.</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January 2014</w:t>
            </w:r>
          </w:p>
        </w:tc>
        <w:tc>
          <w:tcPr>
            <w:tcW w:w="21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shd w:val="clear" w:color="auto" w:fill="E5FFFF"/>
          </w:tcPr>
          <w:p>
            <w:pPr>
              <w:ind w:left="32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April 2014</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GAS-seventeen Ltd.</w:t>
            </w:r>
          </w:p>
        </w:tc>
        <w:tc>
          <w:tcPr>
            <w:tcW w:w="1020" w:type="dxa"/>
            <w:vAlign w:val="bottom"/>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tcPr>
          <w:p>
            <w:pPr>
              <w:ind w:left="180"/>
              <w:spacing w:after="0"/>
              <w:rPr>
                <w:sz w:val="20"/>
                <w:szCs w:val="20"/>
                <w:color w:val="auto"/>
              </w:rPr>
            </w:pPr>
            <w:r>
              <w:rPr>
                <w:rFonts w:ascii="Arial" w:cs="Arial" w:eastAsia="Arial" w:hAnsi="Arial"/>
                <w:sz w:val="18"/>
                <w:szCs w:val="18"/>
                <w:color w:val="auto"/>
              </w:rPr>
              <w:t>January 2014</w:t>
            </w:r>
          </w:p>
        </w:tc>
        <w:tc>
          <w:tcPr>
            <w:tcW w:w="218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tcPr>
          <w:p>
            <w:pPr>
              <w:ind w:left="320"/>
              <w:spacing w:after="0"/>
              <w:rPr>
                <w:sz w:val="20"/>
                <w:szCs w:val="20"/>
                <w:color w:val="auto"/>
              </w:rPr>
            </w:pPr>
            <w:r>
              <w:rPr>
                <w:rFonts w:ascii="Arial" w:cs="Arial" w:eastAsia="Arial" w:hAnsi="Arial"/>
                <w:sz w:val="18"/>
                <w:szCs w:val="18"/>
                <w:color w:val="auto"/>
              </w:rPr>
              <w:t>145,000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1480" w:type="dxa"/>
            <w:vAlign w:val="bottom"/>
          </w:tcPr>
          <w:p>
            <w:pPr>
              <w:ind w:left="120"/>
              <w:spacing w:after="0"/>
              <w:rPr>
                <w:sz w:val="20"/>
                <w:szCs w:val="20"/>
                <w:color w:val="auto"/>
              </w:rPr>
            </w:pPr>
            <w:r>
              <w:rPr>
                <w:rFonts w:ascii="Arial" w:cs="Arial" w:eastAsia="Arial" w:hAnsi="Arial"/>
                <w:sz w:val="18"/>
                <w:szCs w:val="18"/>
                <w:color w:val="auto"/>
              </w:rPr>
              <w:t>April 2014</w:t>
            </w:r>
          </w:p>
        </w:tc>
      </w:tr>
      <w:tr>
        <w:trPr>
          <w:trHeight w:val="216"/>
        </w:trPr>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GAS-nineteen Ltd.</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April 2014</w:t>
            </w:r>
          </w:p>
        </w:tc>
        <w:tc>
          <w:tcPr>
            <w:tcW w:w="21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shd w:val="clear" w:color="auto" w:fill="E5FFFF"/>
          </w:tcPr>
          <w:p>
            <w:pPr>
              <w:ind w:left="32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June 2014</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GAS-twenty Ltd.</w:t>
            </w:r>
          </w:p>
        </w:tc>
        <w:tc>
          <w:tcPr>
            <w:tcW w:w="1020" w:type="dxa"/>
            <w:vAlign w:val="bottom"/>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tcPr>
          <w:p>
            <w:pPr>
              <w:ind w:left="180"/>
              <w:spacing w:after="0"/>
              <w:rPr>
                <w:sz w:val="20"/>
                <w:szCs w:val="20"/>
                <w:color w:val="auto"/>
              </w:rPr>
            </w:pPr>
            <w:r>
              <w:rPr>
                <w:rFonts w:ascii="Arial" w:cs="Arial" w:eastAsia="Arial" w:hAnsi="Arial"/>
                <w:sz w:val="18"/>
                <w:szCs w:val="18"/>
                <w:color w:val="auto"/>
              </w:rPr>
              <w:t>April 2014</w:t>
            </w:r>
          </w:p>
        </w:tc>
        <w:tc>
          <w:tcPr>
            <w:tcW w:w="2180" w:type="dxa"/>
            <w:vAlign w:val="bottom"/>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tcPr>
          <w:p>
            <w:pPr>
              <w:ind w:left="320"/>
              <w:spacing w:after="0"/>
              <w:rPr>
                <w:sz w:val="20"/>
                <w:szCs w:val="20"/>
                <w:color w:val="auto"/>
              </w:rPr>
            </w:pPr>
            <w:r>
              <w:rPr>
                <w:rFonts w:ascii="Arial" w:cs="Arial" w:eastAsia="Arial" w:hAnsi="Arial"/>
                <w:sz w:val="18"/>
                <w:szCs w:val="18"/>
                <w:color w:val="auto"/>
              </w:rPr>
              <w:t>145,000</w:t>
            </w:r>
          </w:p>
        </w:tc>
        <w:tc>
          <w:tcPr>
            <w:tcW w:w="2140" w:type="dxa"/>
            <w:vAlign w:val="bottom"/>
          </w:tcPr>
          <w:p>
            <w:pPr>
              <w:ind w:left="100"/>
              <w:spacing w:after="0"/>
              <w:rPr>
                <w:sz w:val="20"/>
                <w:szCs w:val="20"/>
                <w:color w:val="auto"/>
              </w:rPr>
            </w:pPr>
            <w:r>
              <w:rPr>
                <w:rFonts w:ascii="Arial" w:cs="Arial" w:eastAsia="Arial" w:hAnsi="Arial"/>
                <w:sz w:val="18"/>
                <w:szCs w:val="18"/>
                <w:i w:val="1"/>
                <w:iCs w:val="1"/>
                <w:color w:val="auto"/>
                <w:w w:val="96"/>
              </w:rPr>
              <w:t>Methane Shirley Elisabeth</w:t>
            </w:r>
          </w:p>
        </w:tc>
        <w:tc>
          <w:tcPr>
            <w:tcW w:w="1480" w:type="dxa"/>
            <w:vAlign w:val="bottom"/>
          </w:tcPr>
          <w:p>
            <w:pPr>
              <w:ind w:left="120"/>
              <w:spacing w:after="0"/>
              <w:rPr>
                <w:sz w:val="20"/>
                <w:szCs w:val="20"/>
                <w:color w:val="auto"/>
              </w:rPr>
            </w:pPr>
            <w:r>
              <w:rPr>
                <w:rFonts w:ascii="Arial" w:cs="Arial" w:eastAsia="Arial" w:hAnsi="Arial"/>
                <w:sz w:val="18"/>
                <w:szCs w:val="18"/>
                <w:color w:val="auto"/>
              </w:rPr>
              <w:t>June 2014</w:t>
            </w:r>
          </w:p>
        </w:tc>
      </w:tr>
      <w:tr>
        <w:trPr>
          <w:trHeight w:val="216"/>
        </w:trPr>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GAS-twenty one Ltd.</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April 2014</w:t>
            </w:r>
          </w:p>
        </w:tc>
        <w:tc>
          <w:tcPr>
            <w:tcW w:w="21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shd w:val="clear" w:color="auto" w:fill="E5FFFF"/>
          </w:tcPr>
          <w:p>
            <w:pPr>
              <w:ind w:left="32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June 2014</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25% interest associates:</w:t>
            </w: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1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Egypt LNG Shipping Ltd.</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Bermuda</w:t>
            </w:r>
          </w:p>
        </w:tc>
        <w:tc>
          <w:tcPr>
            <w:tcW w:w="14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May 2010</w:t>
            </w:r>
          </w:p>
        </w:tc>
        <w:tc>
          <w:tcPr>
            <w:tcW w:w="21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Vessel-owning company</w:t>
            </w:r>
          </w:p>
        </w:tc>
        <w:tc>
          <w:tcPr>
            <w:tcW w:w="1000" w:type="dxa"/>
            <w:vAlign w:val="bottom"/>
            <w:shd w:val="clear" w:color="auto" w:fill="E5FFFF"/>
          </w:tcPr>
          <w:p>
            <w:pPr>
              <w:ind w:left="320"/>
              <w:spacing w:after="0"/>
              <w:rPr>
                <w:sz w:val="20"/>
                <w:szCs w:val="20"/>
                <w:color w:val="auto"/>
              </w:rPr>
            </w:pPr>
            <w:r>
              <w:rPr>
                <w:rFonts w:ascii="Arial" w:cs="Arial" w:eastAsia="Arial" w:hAnsi="Arial"/>
                <w:sz w:val="18"/>
                <w:szCs w:val="18"/>
                <w:color w:val="auto"/>
              </w:rPr>
              <w:t>145,000</w:t>
            </w:r>
          </w:p>
        </w:tc>
        <w:tc>
          <w:tcPr>
            <w:tcW w:w="2140" w:type="dxa"/>
            <w:vAlign w:val="bottom"/>
            <w:shd w:val="clear" w:color="auto" w:fill="E5FFFF"/>
          </w:tcPr>
          <w:p>
            <w:pPr>
              <w:ind w:left="100"/>
              <w:spacing w:after="0"/>
              <w:rPr>
                <w:sz w:val="20"/>
                <w:szCs w:val="20"/>
                <w:color w:val="auto"/>
              </w:rPr>
            </w:pPr>
            <w:r>
              <w:rPr>
                <w:rFonts w:ascii="Arial" w:cs="Arial" w:eastAsia="Arial" w:hAnsi="Arial"/>
                <w:sz w:val="18"/>
                <w:szCs w:val="18"/>
                <w:i w:val="1"/>
                <w:iCs w:val="1"/>
                <w:color w:val="auto"/>
              </w:rPr>
              <w:t>Methane Nile Eagle</w:t>
            </w:r>
          </w:p>
        </w:tc>
        <w:tc>
          <w:tcPr>
            <w:tcW w:w="14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December 2007</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33.33% joint venture:</w:t>
            </w: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214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w w:val="99"/>
              </w:rPr>
              <w:t>The Cool Pool Limited (the</w:t>
            </w:r>
          </w:p>
        </w:tc>
        <w:tc>
          <w:tcPr>
            <w:tcW w:w="10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Marshall</w:t>
            </w:r>
          </w:p>
        </w:tc>
        <w:tc>
          <w:tcPr>
            <w:tcW w:w="14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w w:val="94"/>
              </w:rPr>
              <w:t>September 2015</w:t>
            </w:r>
          </w:p>
        </w:tc>
        <w:tc>
          <w:tcPr>
            <w:tcW w:w="2180" w:type="dxa"/>
            <w:vAlign w:val="bottom"/>
            <w:shd w:val="clear" w:color="auto" w:fill="E5FFFF"/>
          </w:tcPr>
          <w:p>
            <w:pPr>
              <w:ind w:left="100"/>
              <w:spacing w:after="0" w:line="202" w:lineRule="exact"/>
              <w:rPr>
                <w:sz w:val="20"/>
                <w:szCs w:val="20"/>
                <w:color w:val="auto"/>
              </w:rPr>
            </w:pPr>
            <w:r>
              <w:rPr>
                <w:rFonts w:ascii="Arial" w:cs="Arial" w:eastAsia="Arial" w:hAnsi="Arial"/>
                <w:sz w:val="18"/>
                <w:szCs w:val="18"/>
                <w:color w:val="auto"/>
              </w:rPr>
              <w:t>Service company</w:t>
            </w:r>
          </w:p>
        </w:tc>
        <w:tc>
          <w:tcPr>
            <w:tcW w:w="1000" w:type="dxa"/>
            <w:vAlign w:val="bottom"/>
            <w:shd w:val="clear" w:color="auto" w:fill="E5FFFF"/>
          </w:tcPr>
          <w:p>
            <w:pPr>
              <w:ind w:left="320"/>
              <w:spacing w:after="0" w:line="202" w:lineRule="exact"/>
              <w:rPr>
                <w:sz w:val="20"/>
                <w:szCs w:val="20"/>
                <w:color w:val="auto"/>
              </w:rPr>
            </w:pPr>
            <w:r>
              <w:rPr>
                <w:rFonts w:ascii="Arial" w:cs="Arial" w:eastAsia="Arial" w:hAnsi="Arial"/>
                <w:sz w:val="18"/>
                <w:szCs w:val="18"/>
                <w:color w:val="auto"/>
              </w:rPr>
              <w:t>—</w:t>
            </w:r>
          </w:p>
        </w:tc>
        <w:tc>
          <w:tcPr>
            <w:tcW w:w="2140" w:type="dxa"/>
            <w:vAlign w:val="bottom"/>
            <w:shd w:val="clear" w:color="auto" w:fill="E5FFFF"/>
          </w:tcPr>
          <w:p>
            <w:pPr>
              <w:ind w:left="10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E5FFFF"/>
          </w:tcPr>
          <w:p>
            <w:pPr>
              <w:ind w:left="120"/>
              <w:spacing w:after="0" w:line="202" w:lineRule="exact"/>
              <w:rPr>
                <w:sz w:val="20"/>
                <w:szCs w:val="20"/>
                <w:color w:val="auto"/>
              </w:rPr>
            </w:pPr>
            <w:r>
              <w:rPr>
                <w:rFonts w:ascii="Arial" w:cs="Arial" w:eastAsia="Arial" w:hAnsi="Arial"/>
                <w:sz w:val="18"/>
                <w:szCs w:val="18"/>
                <w:color w:val="auto"/>
              </w:rPr>
              <w:t>—</w:t>
            </w:r>
          </w:p>
        </w:tc>
      </w:tr>
      <w:tr>
        <w:trPr>
          <w:trHeight w:val="270"/>
        </w:trPr>
        <w:tc>
          <w:tcPr>
            <w:tcW w:w="214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“Cool Pool”)</w:t>
            </w:r>
          </w:p>
        </w:tc>
        <w:tc>
          <w:tcPr>
            <w:tcW w:w="10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Islands</w:t>
            </w:r>
          </w:p>
        </w:tc>
        <w:tc>
          <w:tcPr>
            <w:tcW w:w="1460" w:type="dxa"/>
            <w:vAlign w:val="bottom"/>
            <w:shd w:val="clear" w:color="auto" w:fill="E5FFFF"/>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2140" w:type="dxa"/>
            <w:vAlign w:val="bottom"/>
            <w:shd w:val="clear" w:color="auto" w:fill="E5FFFF"/>
          </w:tcPr>
          <w:p>
            <w:pPr>
              <w:spacing w:after="0"/>
              <w:rPr>
                <w:sz w:val="23"/>
                <w:szCs w:val="23"/>
                <w:color w:val="auto"/>
              </w:rPr>
            </w:pPr>
          </w:p>
        </w:tc>
        <w:tc>
          <w:tcPr>
            <w:tcW w:w="1480" w:type="dxa"/>
            <w:vAlign w:val="bottom"/>
            <w:shd w:val="clear" w:color="auto" w:fill="E5FFFF"/>
          </w:tcPr>
          <w:p>
            <w:pPr>
              <w:spacing w:after="0"/>
              <w:rPr>
                <w:sz w:val="23"/>
                <w:szCs w:val="23"/>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07" w:lineRule="exact"/>
        <w:rPr>
          <w:sz w:val="20"/>
          <w:szCs w:val="20"/>
          <w:color w:val="auto"/>
        </w:rPr>
      </w:pPr>
    </w:p>
    <w:p>
      <w:pPr>
        <w:ind w:left="240" w:hanging="191"/>
        <w:spacing w:after="0"/>
        <w:tabs>
          <w:tab w:leader="none" w:pos="240" w:val="left"/>
        </w:tabs>
        <w:numPr>
          <w:ilvl w:val="1"/>
          <w:numId w:val="11"/>
        </w:numPr>
        <w:rPr>
          <w:rFonts w:ascii="Arial" w:cs="Arial" w:eastAsia="Arial" w:hAnsi="Arial"/>
          <w:sz w:val="23"/>
          <w:szCs w:val="23"/>
          <w:color w:val="auto"/>
          <w:vertAlign w:val="superscript"/>
        </w:rPr>
      </w:pPr>
      <w:r>
        <w:rPr>
          <w:rFonts w:ascii="Arial" w:cs="Arial" w:eastAsia="Arial" w:hAnsi="Arial"/>
          <w:sz w:val="14"/>
          <w:szCs w:val="14"/>
          <w:color w:val="auto"/>
        </w:rPr>
        <w:t>For newbuildings, expected delivery quarters as of September 30, 2016 are presented.</w:t>
      </w:r>
    </w:p>
    <w:p>
      <w:pPr>
        <w:ind w:left="240" w:hanging="191"/>
        <w:spacing w:after="0" w:line="197" w:lineRule="auto"/>
        <w:tabs>
          <w:tab w:leader="none" w:pos="240" w:val="left"/>
        </w:tabs>
        <w:numPr>
          <w:ilvl w:val="1"/>
          <w:numId w:val="11"/>
        </w:numPr>
        <w:rPr>
          <w:rFonts w:ascii="Arial" w:cs="Arial" w:eastAsia="Arial" w:hAnsi="Arial"/>
          <w:sz w:val="18"/>
          <w:szCs w:val="18"/>
          <w:color w:val="auto"/>
          <w:vertAlign w:val="superscript"/>
        </w:rPr>
      </w:pPr>
      <w:r>
        <w:rPr>
          <w:rFonts w:ascii="Arial" w:cs="Arial" w:eastAsia="Arial" w:hAnsi="Arial"/>
          <w:sz w:val="12"/>
          <w:szCs w:val="12"/>
          <w:color w:val="auto"/>
        </w:rPr>
        <w:t xml:space="preserve">On February 24, 2016,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a subsidiary of Mitsui Co. Ltd. (“Mitsui”). Refer to Note 5.</w:t>
      </w:r>
    </w:p>
    <w:p>
      <w:pPr>
        <w:spacing w:after="0" w:line="183"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 xml:space="preserve">Interim Financial Reporting </w:t>
      </w:r>
      <w:r>
        <w:rPr>
          <w:rFonts w:ascii="Arial" w:cs="Arial" w:eastAsia="Arial" w:hAnsi="Arial"/>
          <w:sz w:val="18"/>
          <w:szCs w:val="18"/>
          <w:color w:val="auto"/>
        </w:rPr>
        <w:t>as issued by the International Accounting Standards Board (“IASB”). Certain information and footnote disclosures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Financial Reporting 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2015 filed with the SEC on March 14, 2016. On November 2, 2016 GasLog’s board of directors authorized the unaudited condensed consolidated financial statements for issuance.</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2015.</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considering going concern, management has reviewed the Group’s future cash requirements, covenant compliance and earnings projections. Management anticipates that the Group’s primary sources of funds will be available cash, cash from operations and borrowings under existing and new loan agreements. The Group may also seek to raise additional equity. Management believes that these 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were in issue but not yet effective:</w:t>
      </w:r>
    </w:p>
    <w:p>
      <w:pPr>
        <w:spacing w:after="0" w:line="21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 xml:space="preserve">In May 2014, the IASB issued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IAS 11 </w:t>
      </w:r>
      <w:r>
        <w:rPr>
          <w:rFonts w:ascii="Arial" w:cs="Arial" w:eastAsia="Arial" w:hAnsi="Arial"/>
          <w:sz w:val="17"/>
          <w:szCs w:val="17"/>
          <w:i w:val="1"/>
          <w:iCs w:val="1"/>
          <w:color w:val="auto"/>
        </w:rPr>
        <w:t>Construction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t>
      </w:r>
      <w:r>
        <w:rPr>
          <w:rFonts w:ascii="Arial" w:cs="Arial" w:eastAsia="Arial" w:hAnsi="Arial"/>
          <w:sz w:val="17"/>
          <w:szCs w:val="17"/>
          <w:color w:val="auto"/>
        </w:rPr>
        <w:t>and a number of revenue-related interpretations. The standard was amended in September 2015 to delay the effective date to annual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or after January 1, 2018 but early adoption is permitted. In addition, the standard was further amended in April 2016 to clarify the guidance on identifying performance obligations, accounting for licences of intellectual property and the principal versus agent assessment (gross versus net revenue presentation), as well as to give new and amended illustrative examples and practical expedients. Management is currently evaluating the impact of this standard on the Group’s consolidated financial statements.</w:t>
      </w:r>
    </w:p>
    <w:p>
      <w:pPr>
        <w:spacing w:after="0" w:line="1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Group’s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34" w:name="page35"/>
    <w:bookmarkEnd w:id="34"/>
    <w:p>
      <w:pPr>
        <w:ind w:right="40" w:firstLine="324"/>
        <w:spacing w:after="0" w:line="271"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is currently evaluating the impact of this standard on the Group’s financial statements.</w:t>
      </w:r>
    </w:p>
    <w:p>
      <w:pPr>
        <w:spacing w:after="0" w:line="1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In January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are effective for annual periods beginning on or after January 1, 2017, with earlier application being permitted. Entities are not required to present comparative information for preceding periods. Management anticipates that these amendments will only have a disclosure impact on the Group’s financial statements.</w:t>
      </w:r>
    </w:p>
    <w:p>
      <w:pPr>
        <w:spacing w:after="0" w:line="17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In June 2016, the IASB issued amendments to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clarifying how to account for certain types of share-based payment transactions. The amendments clarify the measurement basis for cash-settled, share-based payments and the accounting for modifications that change an award from cash-settled to equity-settled. An exception to the principles in IFRS 2 is also introduced that will require an award to be treated as if it was wholly equity-settled, where an employer is obliged to withhold an amount for the employee’s tax obligation associated with a share-based payment and pay that amount to the tax authority. The amendments are effective for annual periods beginning on or after January 1, 2018, with early adoption permitted. Management is currently evaluating the impact of these amendments on the Group’s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all other IFRS standards and amendments issued but not yet adopted is not expected to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 in GasLog Partners</w:t>
      </w:r>
    </w:p>
    <w:p>
      <w:pPr>
        <w:spacing w:after="0" w:line="229"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On August 5, 2016, GasLog Partners completed an equity offering of 2,750,000 common units at a public offering price of $19.50 per unit. The net proceeds from this offering after deducting underwriting discounts and other offering expenses were $52,299 and have been allocated to non-controlling interest. In connection with this offering, the Partnership issued 56,122 general partner units to its general partner in order for GasLog to retain its 2.0% general partner interest.</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profit allocation to non-controlling interest is based on the distribution policy for available cash stated in the Partnership Agreement and is illustrated in the table below:</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11"/>
          </w:tcPr>
          <w:p>
            <w:pPr>
              <w:ind w:left="680"/>
              <w:spacing w:after="0"/>
              <w:rPr>
                <w:sz w:val="20"/>
                <w:szCs w:val="20"/>
                <w:color w:val="auto"/>
              </w:rPr>
            </w:pPr>
            <w:r>
              <w:rPr>
                <w:rFonts w:ascii="Arial" w:cs="Arial" w:eastAsia="Arial" w:hAnsi="Arial"/>
                <w:sz w:val="18"/>
                <w:szCs w:val="18"/>
                <w:b w:val="1"/>
                <w:bCs w:val="1"/>
                <w:color w:val="auto"/>
                <w:w w:val="98"/>
              </w:rPr>
              <w:t>Marginal Percentage Interest in Distributions</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191"/>
        </w:trPr>
        <w:tc>
          <w:tcPr>
            <w:tcW w:w="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4"/>
          </w:tcPr>
          <w:p>
            <w:pPr>
              <w:jc w:val="center"/>
              <w:ind w:right="400"/>
              <w:spacing w:after="0" w:line="191" w:lineRule="exact"/>
              <w:rPr>
                <w:sz w:val="20"/>
                <w:szCs w:val="20"/>
                <w:color w:val="auto"/>
              </w:rPr>
            </w:pPr>
            <w:r>
              <w:rPr>
                <w:rFonts w:ascii="Arial" w:cs="Arial" w:eastAsia="Arial" w:hAnsi="Arial"/>
                <w:sz w:val="18"/>
                <w:szCs w:val="18"/>
                <w:b w:val="1"/>
                <w:bCs w:val="1"/>
                <w:color w:val="auto"/>
                <w:w w:val="95"/>
              </w:rPr>
              <w:t>Total Quarterly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Distribution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ind w:left="180"/>
              <w:spacing w:after="0"/>
              <w:rPr>
                <w:sz w:val="20"/>
                <w:szCs w:val="20"/>
                <w:color w:val="auto"/>
              </w:rPr>
            </w:pPr>
            <w:r>
              <w:rPr>
                <w:rFonts w:ascii="Arial" w:cs="Arial" w:eastAsia="Arial" w:hAnsi="Arial"/>
                <w:sz w:val="18"/>
                <w:szCs w:val="18"/>
                <w:b w:val="1"/>
                <w:bCs w:val="1"/>
                <w:color w:val="auto"/>
              </w:rPr>
              <w:t>General</w:t>
            </w:r>
          </w:p>
        </w:tc>
        <w:tc>
          <w:tcPr>
            <w:tcW w:w="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Holders of</w:t>
            </w:r>
          </w:p>
        </w:tc>
      </w:tr>
      <w:tr>
        <w:trPr>
          <w:trHeight w:val="234"/>
        </w:trPr>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Target Amount</w:t>
            </w:r>
          </w:p>
        </w:tc>
        <w:tc>
          <w:tcPr>
            <w:tcW w:w="1660" w:type="dxa"/>
            <w:vAlign w:val="bottom"/>
            <w:gridSpan w:val="4"/>
          </w:tcPr>
          <w:p>
            <w:pPr>
              <w:ind w:left="200"/>
              <w:spacing w:after="0"/>
              <w:rPr>
                <w:sz w:val="20"/>
                <w:szCs w:val="20"/>
                <w:color w:val="auto"/>
              </w:rPr>
            </w:pPr>
            <w:r>
              <w:rPr>
                <w:rFonts w:ascii="Arial" w:cs="Arial" w:eastAsia="Arial" w:hAnsi="Arial"/>
                <w:sz w:val="18"/>
                <w:szCs w:val="18"/>
                <w:b w:val="1"/>
                <w:bCs w:val="1"/>
                <w:color w:val="auto"/>
              </w:rPr>
              <w:t>Unitholders</w:t>
            </w:r>
          </w:p>
        </w:tc>
        <w:tc>
          <w:tcPr>
            <w:tcW w:w="160" w:type="dxa"/>
            <w:vAlign w:val="bottom"/>
          </w:tcPr>
          <w:p>
            <w:pPr>
              <w:spacing w:after="0"/>
              <w:rPr>
                <w:sz w:val="20"/>
                <w:szCs w:val="20"/>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Partner</w:t>
            </w:r>
          </w:p>
        </w:tc>
        <w:tc>
          <w:tcPr>
            <w:tcW w:w="8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IDRs</w:t>
            </w:r>
          </w:p>
        </w:tc>
      </w:tr>
      <w:tr>
        <w:trPr>
          <w:trHeight w:val="210"/>
        </w:trPr>
        <w:tc>
          <w:tcPr>
            <w:tcW w:w="398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8"/>
                <w:szCs w:val="18"/>
                <w:color w:val="auto"/>
              </w:rPr>
              <w:t>Minimum Quarterly Distribution</w:t>
            </w:r>
          </w:p>
        </w:tc>
        <w:tc>
          <w:tcPr>
            <w:tcW w:w="40" w:type="dxa"/>
            <w:vAlign w:val="bottom"/>
            <w:tcBorders>
              <w:top w:val="single" w:sz="8" w:color="auto"/>
            </w:tcBorders>
            <w:shd w:val="clear" w:color="auto" w:fill="E5FFFF"/>
          </w:tcPr>
          <w:p>
            <w:pPr>
              <w:spacing w:after="0"/>
              <w:rPr>
                <w:sz w:val="18"/>
                <w:szCs w:val="18"/>
                <w:color w:val="auto"/>
              </w:rPr>
            </w:pPr>
          </w:p>
        </w:tc>
        <w:tc>
          <w:tcPr>
            <w:tcW w:w="18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$0.375</w:t>
            </w:r>
          </w:p>
        </w:tc>
        <w:tc>
          <w:tcPr>
            <w:tcW w:w="300" w:type="dxa"/>
            <w:vAlign w:val="bottom"/>
            <w:tcBorders>
              <w:top w:val="single" w:sz="8" w:color="E5FFFF"/>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1360" w:type="dxa"/>
            <w:vAlign w:val="bottom"/>
            <w:tcBorders>
              <w:top w:val="single" w:sz="8" w:color="auto"/>
            </w:tcBorders>
            <w:gridSpan w:val="2"/>
            <w:shd w:val="clear" w:color="auto" w:fill="E5FFFF"/>
          </w:tcPr>
          <w:p>
            <w:pPr>
              <w:jc w:val="right"/>
              <w:ind w:right="410"/>
              <w:spacing w:after="0"/>
              <w:rPr>
                <w:sz w:val="20"/>
                <w:szCs w:val="20"/>
                <w:color w:val="auto"/>
              </w:rPr>
            </w:pPr>
            <w:r>
              <w:rPr>
                <w:rFonts w:ascii="Arial" w:cs="Arial" w:eastAsia="Arial" w:hAnsi="Arial"/>
                <w:sz w:val="18"/>
                <w:szCs w:val="18"/>
                <w:color w:val="auto"/>
              </w:rPr>
              <w:t>98.0%</w:t>
            </w:r>
          </w:p>
        </w:tc>
        <w:tc>
          <w:tcPr>
            <w:tcW w:w="1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gridSpan w:val="2"/>
            <w:shd w:val="clear" w:color="auto" w:fill="E5FFFF"/>
          </w:tcPr>
          <w:p>
            <w:pPr>
              <w:jc w:val="right"/>
              <w:ind w:right="390"/>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gridSpan w:val="2"/>
            <w:shd w:val="clear" w:color="auto" w:fill="E5FFFF"/>
          </w:tcPr>
          <w:p>
            <w:pPr>
              <w:jc w:val="right"/>
              <w:ind w:right="27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auto"/>
            </w:tcBorders>
            <w:shd w:val="clear" w:color="auto" w:fill="E5FF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First Target Distribution</w:t>
            </w:r>
          </w:p>
        </w:tc>
        <w:tc>
          <w:tcPr>
            <w:tcW w:w="2180" w:type="dxa"/>
            <w:vAlign w:val="bottom"/>
            <w:gridSpan w:val="4"/>
          </w:tcPr>
          <w:p>
            <w:pPr>
              <w:jc w:val="right"/>
              <w:ind w:right="360"/>
              <w:spacing w:after="0"/>
              <w:rPr>
                <w:sz w:val="20"/>
                <w:szCs w:val="20"/>
                <w:color w:val="auto"/>
              </w:rPr>
            </w:pPr>
            <w:r>
              <w:rPr>
                <w:rFonts w:ascii="Arial" w:cs="Arial" w:eastAsia="Arial" w:hAnsi="Arial"/>
                <w:sz w:val="18"/>
                <w:szCs w:val="18"/>
                <w:color w:val="auto"/>
                <w:w w:val="99"/>
              </w:rPr>
              <w:t>$0.375 up to $0.43125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40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Second Target Distribution</w:t>
            </w:r>
          </w:p>
        </w:tc>
        <w:tc>
          <w:tcPr>
            <w:tcW w:w="218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w w:val="89"/>
              </w:rPr>
              <w:t>$0.43125 up to $0.46875</w:t>
            </w:r>
          </w:p>
        </w:tc>
        <w:tc>
          <w:tcPr>
            <w:tcW w:w="1360" w:type="dxa"/>
            <w:vAlign w:val="bottom"/>
            <w:gridSpan w:val="2"/>
            <w:shd w:val="clear" w:color="auto" w:fill="E5FFFF"/>
          </w:tcPr>
          <w:p>
            <w:pPr>
              <w:jc w:val="right"/>
              <w:ind w:right="41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390"/>
              <w:spacing w:after="0"/>
              <w:rPr>
                <w:sz w:val="20"/>
                <w:szCs w:val="20"/>
                <w:color w:val="auto"/>
              </w:rPr>
            </w:pPr>
            <w:r>
              <w:rPr>
                <w:rFonts w:ascii="Arial" w:cs="Arial" w:eastAsia="Arial" w:hAnsi="Arial"/>
                <w:sz w:val="18"/>
                <w:szCs w:val="18"/>
                <w:color w:val="auto"/>
              </w:rPr>
              <w:t>2.0%</w:t>
            </w:r>
          </w:p>
        </w:tc>
        <w:tc>
          <w:tcPr>
            <w:tcW w:w="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7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E5FF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Third Target Distribution</w:t>
            </w:r>
          </w:p>
        </w:tc>
        <w:tc>
          <w:tcPr>
            <w:tcW w:w="2180" w:type="dxa"/>
            <w:vAlign w:val="bottom"/>
            <w:gridSpan w:val="4"/>
          </w:tcPr>
          <w:p>
            <w:pPr>
              <w:jc w:val="right"/>
              <w:ind w:right="360"/>
              <w:spacing w:after="0"/>
              <w:rPr>
                <w:sz w:val="20"/>
                <w:szCs w:val="20"/>
                <w:color w:val="auto"/>
              </w:rPr>
            </w:pPr>
            <w:r>
              <w:rPr>
                <w:rFonts w:ascii="Arial" w:cs="Arial" w:eastAsia="Arial" w:hAnsi="Arial"/>
                <w:sz w:val="18"/>
                <w:szCs w:val="18"/>
                <w:color w:val="auto"/>
                <w:w w:val="94"/>
              </w:rPr>
              <w:t>$0.46875 up to $0.5625</w:t>
            </w:r>
          </w:p>
        </w:tc>
        <w:tc>
          <w:tcPr>
            <w:tcW w:w="1360" w:type="dxa"/>
            <w:vAlign w:val="bottom"/>
            <w:gridSpan w:val="2"/>
          </w:tcPr>
          <w:p>
            <w:pPr>
              <w:jc w:val="right"/>
              <w:ind w:right="41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7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40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Thereafter</w:t>
            </w:r>
          </w:p>
        </w:tc>
        <w:tc>
          <w:tcPr>
            <w:tcW w:w="2180" w:type="dxa"/>
            <w:vAlign w:val="bottom"/>
            <w:gridSpan w:val="4"/>
            <w:shd w:val="clear" w:color="auto" w:fill="E5FFFF"/>
          </w:tcPr>
          <w:p>
            <w:pPr>
              <w:jc w:val="right"/>
              <w:ind w:right="360"/>
              <w:spacing w:after="0"/>
              <w:rPr>
                <w:sz w:val="20"/>
                <w:szCs w:val="20"/>
                <w:color w:val="auto"/>
              </w:rPr>
            </w:pPr>
            <w:r>
              <w:rPr>
                <w:rFonts w:ascii="Arial" w:cs="Arial" w:eastAsia="Arial" w:hAnsi="Arial"/>
                <w:sz w:val="18"/>
                <w:szCs w:val="18"/>
                <w:color w:val="auto"/>
              </w:rPr>
              <w:t>Above $0.5625</w:t>
            </w:r>
          </w:p>
        </w:tc>
        <w:tc>
          <w:tcPr>
            <w:tcW w:w="1360" w:type="dxa"/>
            <w:vAlign w:val="bottom"/>
            <w:gridSpan w:val="2"/>
            <w:shd w:val="clear" w:color="auto" w:fill="E5FFFF"/>
          </w:tcPr>
          <w:p>
            <w:pPr>
              <w:jc w:val="right"/>
              <w:ind w:right="41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390"/>
              <w:spacing w:after="0"/>
              <w:rPr>
                <w:sz w:val="20"/>
                <w:szCs w:val="20"/>
                <w:color w:val="auto"/>
              </w:rPr>
            </w:pPr>
            <w:r>
              <w:rPr>
                <w:rFonts w:ascii="Arial" w:cs="Arial" w:eastAsia="Arial" w:hAnsi="Arial"/>
                <w:sz w:val="18"/>
                <w:szCs w:val="18"/>
                <w:color w:val="auto"/>
              </w:rPr>
              <w:t>2.0%</w:t>
            </w:r>
          </w:p>
        </w:tc>
        <w:tc>
          <w:tcPr>
            <w:tcW w:w="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7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E5FFFF"/>
          </w:tcPr>
          <w:p>
            <w:pPr>
              <w:spacing w:after="0"/>
              <w:rPr>
                <w:sz w:val="18"/>
                <w:szCs w:val="18"/>
                <w:color w:val="auto"/>
              </w:rPr>
            </w:pPr>
          </w:p>
        </w:tc>
      </w:tr>
      <w:tr>
        <w:trPr>
          <w:trHeight w:val="446"/>
        </w:trPr>
        <w:tc>
          <w:tcPr>
            <w:tcW w:w="4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Allocation of GasLog Partners’ profit</w:t>
            </w:r>
            <w:r>
              <w:rPr>
                <w:rFonts w:ascii="Arial" w:cs="Arial" w:eastAsia="Arial" w:hAnsi="Arial"/>
                <w:sz w:val="30"/>
                <w:szCs w:val="30"/>
                <w:b w:val="1"/>
                <w:bCs w:val="1"/>
                <w:i w:val="1"/>
                <w:iCs w:val="1"/>
                <w:color w:val="auto"/>
                <w:vertAlign w:val="superscript"/>
              </w:rPr>
              <w:t>(*)</w:t>
            </w:r>
          </w:p>
        </w:tc>
        <w:tc>
          <w:tcPr>
            <w:tcW w:w="960" w:type="dxa"/>
            <w:vAlign w:val="bottom"/>
          </w:tcPr>
          <w:p>
            <w:pPr>
              <w:spacing w:after="0"/>
              <w:rPr>
                <w:sz w:val="24"/>
                <w:szCs w:val="24"/>
                <w:color w:val="auto"/>
              </w:rPr>
            </w:pPr>
          </w:p>
        </w:tc>
        <w:tc>
          <w:tcPr>
            <w:tcW w:w="2880" w:type="dxa"/>
            <w:vAlign w:val="bottom"/>
            <w:gridSpan w:val="7"/>
          </w:tcPr>
          <w:p>
            <w:pPr>
              <w:ind w:left="300"/>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24"/>
                <w:szCs w:val="24"/>
                <w:color w:val="auto"/>
              </w:rPr>
            </w:pPr>
          </w:p>
        </w:tc>
        <w:tc>
          <w:tcPr>
            <w:tcW w:w="2820" w:type="dxa"/>
            <w:vAlign w:val="bottom"/>
            <w:gridSpan w:val="6"/>
          </w:tcPr>
          <w:p>
            <w:pPr>
              <w:ind w:left="320"/>
              <w:spacing w:after="0"/>
              <w:rPr>
                <w:sz w:val="20"/>
                <w:szCs w:val="20"/>
                <w:color w:val="auto"/>
              </w:rPr>
            </w:pPr>
            <w:r>
              <w:rPr>
                <w:rFonts w:ascii="Arial" w:cs="Arial" w:eastAsia="Arial" w:hAnsi="Arial"/>
                <w:sz w:val="18"/>
                <w:szCs w:val="18"/>
                <w:b w:val="1"/>
                <w:bCs w:val="1"/>
                <w:color w:val="auto"/>
              </w:rPr>
              <w:t>For the nine months ended</w:t>
            </w:r>
          </w:p>
        </w:tc>
      </w:tr>
      <w:tr>
        <w:trPr>
          <w:trHeight w:val="218"/>
        </w:trPr>
        <w:tc>
          <w:tcPr>
            <w:tcW w:w="4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2"/>
              </w:rPr>
              <w:t>September 30,</w:t>
            </w:r>
          </w:p>
        </w:tc>
        <w:tc>
          <w:tcPr>
            <w:tcW w:w="3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r>
      <w:tr>
        <w:trPr>
          <w:trHeight w:val="210"/>
        </w:trPr>
        <w:tc>
          <w:tcPr>
            <w:tcW w:w="402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Partnership’s profit attributable to:</w:t>
            </w:r>
          </w:p>
        </w:tc>
        <w:tc>
          <w:tcPr>
            <w:tcW w:w="960" w:type="dxa"/>
            <w:vAlign w:val="bottom"/>
            <w:tcBorders>
              <w:top w:val="single" w:sz="8" w:color="E5FFFF"/>
            </w:tcBorders>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Common unitholders</w:t>
            </w: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12,251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12,707</w:t>
            </w:r>
          </w:p>
        </w:tc>
        <w:tc>
          <w:tcPr>
            <w:tcW w:w="1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30,394</w:t>
            </w:r>
          </w:p>
        </w:tc>
        <w:tc>
          <w:tcPr>
            <w:tcW w:w="2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34,680</w:t>
            </w:r>
          </w:p>
        </w:tc>
        <w:tc>
          <w:tcPr>
            <w:tcW w:w="120" w:type="dxa"/>
            <w:vAlign w:val="bottom"/>
          </w:tcPr>
          <w:p>
            <w:pPr>
              <w:spacing w:after="0"/>
              <w:rPr>
                <w:sz w:val="18"/>
                <w:szCs w:val="18"/>
                <w:color w:val="auto"/>
              </w:rPr>
            </w:pPr>
          </w:p>
        </w:tc>
      </w:tr>
      <w:tr>
        <w:trPr>
          <w:trHeight w:val="216"/>
        </w:trPr>
        <w:tc>
          <w:tcPr>
            <w:tcW w:w="40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Subordinated unitholders</w:t>
            </w:r>
          </w:p>
        </w:tc>
        <w:tc>
          <w:tcPr>
            <w:tcW w:w="21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5,514</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5,079</w:t>
            </w:r>
          </w:p>
        </w:tc>
        <w:tc>
          <w:tcPr>
            <w:tcW w:w="160" w:type="dxa"/>
            <w:vAlign w:val="bottom"/>
            <w:shd w:val="clear" w:color="auto" w:fill="E5FFFF"/>
          </w:tcPr>
          <w:p>
            <w:pPr>
              <w:spacing w:after="0"/>
              <w:rPr>
                <w:sz w:val="18"/>
                <w:szCs w:val="18"/>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12,372</w:t>
            </w:r>
          </w:p>
        </w:tc>
        <w:tc>
          <w:tcPr>
            <w:tcW w:w="24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14,970</w:t>
            </w:r>
          </w:p>
        </w:tc>
        <w:tc>
          <w:tcPr>
            <w:tcW w:w="120" w:type="dxa"/>
            <w:vAlign w:val="bottom"/>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General partner</w:t>
            </w: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385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r>
      <w:tr>
        <w:trPr>
          <w:trHeight w:val="230"/>
        </w:trPr>
        <w:tc>
          <w:tcPr>
            <w:tcW w:w="402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Incentive distribution rights (“IDRs”)</w:t>
            </w:r>
          </w:p>
        </w:tc>
        <w:tc>
          <w:tcPr>
            <w:tcW w:w="21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1,080</w:t>
            </w:r>
          </w:p>
        </w:tc>
        <w:tc>
          <w:tcPr>
            <w:tcW w:w="15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E5FFFF"/>
          </w:tcPr>
          <w:p>
            <w:pPr>
              <w:spacing w:after="0"/>
              <w:rPr>
                <w:sz w:val="19"/>
                <w:szCs w:val="19"/>
                <w:color w:val="auto"/>
              </w:rPr>
            </w:pPr>
          </w:p>
        </w:tc>
        <w:tc>
          <w:tcPr>
            <w:tcW w:w="136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r>
      <w:tr>
        <w:trPr>
          <w:trHeight w:val="263"/>
        </w:trPr>
        <w:tc>
          <w:tcPr>
            <w:tcW w:w="402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E5FFFF"/>
            </w:tcBorders>
          </w:tcPr>
          <w:p>
            <w:pPr>
              <w:spacing w:after="0"/>
              <w:rPr>
                <w:sz w:val="22"/>
                <w:szCs w:val="22"/>
                <w:color w:val="auto"/>
              </w:rPr>
            </w:pP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19,230</w:t>
            </w:r>
          </w:p>
        </w:tc>
        <w:tc>
          <w:tcPr>
            <w:tcW w:w="320" w:type="dxa"/>
            <w:vAlign w:val="bottom"/>
            <w:tcBorders>
              <w:bottom w:val="single" w:sz="8" w:color="E5FFFF"/>
            </w:tcBorders>
          </w:tcPr>
          <w:p>
            <w:pPr>
              <w:spacing w:after="0"/>
              <w:rPr>
                <w:sz w:val="22"/>
                <w:szCs w:val="22"/>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18,871</w:t>
            </w:r>
          </w:p>
        </w:tc>
        <w:tc>
          <w:tcPr>
            <w:tcW w:w="160" w:type="dxa"/>
            <w:vAlign w:val="bottom"/>
            <w:tcBorders>
              <w:bottom w:val="single" w:sz="8" w:color="E5FFFF"/>
            </w:tcBorders>
          </w:tcPr>
          <w:p>
            <w:pPr>
              <w:spacing w:after="0"/>
              <w:rPr>
                <w:sz w:val="22"/>
                <w:szCs w:val="22"/>
                <w:color w:val="auto"/>
              </w:rPr>
            </w:pPr>
          </w:p>
        </w:tc>
        <w:tc>
          <w:tcPr>
            <w:tcW w:w="160" w:type="dxa"/>
            <w:vAlign w:val="bottom"/>
            <w:tcBorders>
              <w:bottom w:val="single" w:sz="8" w:color="E5FFFF"/>
            </w:tcBorders>
          </w:tcPr>
          <w:p>
            <w:pPr>
              <w:spacing w:after="0"/>
              <w:rPr>
                <w:sz w:val="22"/>
                <w:szCs w:val="22"/>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44,741</w:t>
            </w:r>
          </w:p>
        </w:tc>
        <w:tc>
          <w:tcPr>
            <w:tcW w:w="240" w:type="dxa"/>
            <w:vAlign w:val="bottom"/>
            <w:tcBorders>
              <w:bottom w:val="single" w:sz="8" w:color="E5FFFF"/>
            </w:tcBorders>
          </w:tcPr>
          <w:p>
            <w:pPr>
              <w:spacing w:after="0"/>
              <w:rPr>
                <w:sz w:val="22"/>
                <w:szCs w:val="22"/>
                <w:color w:val="auto"/>
              </w:rPr>
            </w:pPr>
          </w:p>
        </w:tc>
        <w:tc>
          <w:tcPr>
            <w:tcW w:w="80" w:type="dxa"/>
            <w:vAlign w:val="bottom"/>
            <w:tcBorders>
              <w:bottom w:val="single" w:sz="8" w:color="E5FF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52,443</w:t>
            </w:r>
          </w:p>
        </w:tc>
        <w:tc>
          <w:tcPr>
            <w:tcW w:w="120" w:type="dxa"/>
            <w:vAlign w:val="bottom"/>
          </w:tcPr>
          <w:p>
            <w:pPr>
              <w:spacing w:after="0"/>
              <w:rPr>
                <w:sz w:val="22"/>
                <w:szCs w:val="22"/>
                <w:color w:val="auto"/>
              </w:rPr>
            </w:pPr>
          </w:p>
        </w:tc>
      </w:tr>
      <w:tr>
        <w:trPr>
          <w:trHeight w:val="197"/>
        </w:trPr>
        <w:tc>
          <w:tcPr>
            <w:tcW w:w="402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Partnership’s profit allocated to GasLog</w:t>
            </w:r>
          </w:p>
        </w:tc>
        <w:tc>
          <w:tcPr>
            <w:tcW w:w="960" w:type="dxa"/>
            <w:vAlign w:val="bottom"/>
            <w:shd w:val="clear" w:color="auto" w:fill="E5FFFF"/>
          </w:tcPr>
          <w:p>
            <w:pPr>
              <w:spacing w:after="0"/>
              <w:rPr>
                <w:sz w:val="17"/>
                <w:szCs w:val="17"/>
                <w:color w:val="auto"/>
              </w:rPr>
            </w:pPr>
          </w:p>
        </w:tc>
        <w:tc>
          <w:tcPr>
            <w:tcW w:w="1220" w:type="dxa"/>
            <w:vAlign w:val="bottom"/>
            <w:gridSpan w:val="3"/>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7,071</w:t>
            </w:r>
          </w:p>
        </w:tc>
        <w:tc>
          <w:tcPr>
            <w:tcW w:w="320" w:type="dxa"/>
            <w:vAlign w:val="bottom"/>
            <w:shd w:val="clear" w:color="auto" w:fill="E5FFFF"/>
          </w:tcPr>
          <w:p>
            <w:pPr>
              <w:spacing w:after="0"/>
              <w:rPr>
                <w:sz w:val="17"/>
                <w:szCs w:val="17"/>
                <w:color w:val="auto"/>
              </w:rPr>
            </w:pPr>
          </w:p>
        </w:tc>
        <w:tc>
          <w:tcPr>
            <w:tcW w:w="11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6,248</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14,611</w:t>
            </w:r>
          </w:p>
        </w:tc>
        <w:tc>
          <w:tcPr>
            <w:tcW w:w="2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18,010</w:t>
            </w:r>
          </w:p>
        </w:tc>
        <w:tc>
          <w:tcPr>
            <w:tcW w:w="120" w:type="dxa"/>
            <w:vAlign w:val="bottom"/>
          </w:tcPr>
          <w:p>
            <w:pPr>
              <w:spacing w:after="0"/>
              <w:rPr>
                <w:sz w:val="17"/>
                <w:szCs w:val="17"/>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w w:val="92"/>
              </w:rPr>
              <w:t>Partnership’s profit allocated to non-controlling interest</w:t>
            </w:r>
          </w:p>
        </w:tc>
        <w:tc>
          <w:tcPr>
            <w:tcW w:w="2180" w:type="dxa"/>
            <w:vAlign w:val="bottom"/>
            <w:gridSpan w:val="4"/>
          </w:tcPr>
          <w:p>
            <w:pPr>
              <w:jc w:val="right"/>
              <w:ind w:right="20"/>
              <w:spacing w:after="0"/>
              <w:rPr>
                <w:sz w:val="20"/>
                <w:szCs w:val="20"/>
                <w:color w:val="auto"/>
              </w:rPr>
            </w:pPr>
            <w:r>
              <w:rPr>
                <w:rFonts w:ascii="Arial" w:cs="Arial" w:eastAsia="Arial" w:hAnsi="Arial"/>
                <w:sz w:val="18"/>
                <w:szCs w:val="18"/>
                <w:color w:val="auto"/>
              </w:rPr>
              <w:t>12,159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12,623</w:t>
            </w:r>
          </w:p>
        </w:tc>
        <w:tc>
          <w:tcPr>
            <w:tcW w:w="1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30,130</w:t>
            </w:r>
          </w:p>
        </w:tc>
        <w:tc>
          <w:tcPr>
            <w:tcW w:w="2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34,433</w:t>
            </w:r>
          </w:p>
        </w:tc>
        <w:tc>
          <w:tcPr>
            <w:tcW w:w="120" w:type="dxa"/>
            <w:vAlign w:val="bottom"/>
          </w:tcPr>
          <w:p>
            <w:pPr>
              <w:spacing w:after="0"/>
              <w:rPr>
                <w:sz w:val="19"/>
                <w:szCs w:val="19"/>
                <w:color w:val="auto"/>
              </w:rPr>
            </w:pPr>
          </w:p>
        </w:tc>
      </w:tr>
      <w:tr>
        <w:trPr>
          <w:trHeight w:val="223"/>
        </w:trPr>
        <w:tc>
          <w:tcPr>
            <w:tcW w:w="402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E5FFFF"/>
              <w:bottom w:val="single" w:sz="8" w:color="E5FFFF"/>
            </w:tcBorders>
            <w:shd w:val="clear" w:color="auto" w:fill="E5FFFF"/>
          </w:tcPr>
          <w:p>
            <w:pPr>
              <w:spacing w:after="0"/>
              <w:rPr>
                <w:sz w:val="19"/>
                <w:szCs w:val="19"/>
                <w:color w:val="auto"/>
              </w:rPr>
            </w:pPr>
          </w:p>
        </w:tc>
        <w:tc>
          <w:tcPr>
            <w:tcW w:w="1220" w:type="dxa"/>
            <w:vAlign w:val="bottom"/>
            <w:tcBorders>
              <w:top w:val="single" w:sz="8" w:color="auto"/>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19,230</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18,871</w:t>
            </w: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E5FFFF"/>
              <w:bottom w:val="single" w:sz="8" w:color="E5FFFF"/>
            </w:tcBorders>
            <w:shd w:val="clear" w:color="auto" w:fill="E5FF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44,741</w:t>
            </w: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52,443</w:t>
            </w:r>
          </w:p>
        </w:tc>
        <w:tc>
          <w:tcPr>
            <w:tcW w:w="1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profits of GAS-nineteen Ltd., GAS-twenty Ltd. and GAS-twenty one Ltd. for the period after their transfer to the Partnership on July 1, 2015.</w:t>
      </w:r>
    </w:p>
    <w:p>
      <w:pPr>
        <w:spacing w:after="0" w:line="20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4. Tangible Fixed Assets, Vessels Under Construction and Vessel Held Under Finance Lease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tangible fixed assets, vessels under construction and vessel held under finance lease are reported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Office</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property</w:t>
            </w: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Total</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4"/>
              </w:rPr>
              <w:t>Vessel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and other</w:t>
            </w: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tangible fixed</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1"/>
              </w:rPr>
              <w:t>Vessels under</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under finance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Vessels</w:t>
            </w: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tangible assets</w:t>
            </w: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78"/>
              </w:rPr>
              <w:t>assets</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construction</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79"/>
              </w:rPr>
              <w:t>lease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3420" w:type="dxa"/>
            <w:vAlign w:val="bottom"/>
            <w:tcBorders>
              <w:top w:val="single" w:sz="8" w:color="E5FFFF"/>
              <w:bottom w:val="single" w:sz="8" w:color="E5FFFF"/>
            </w:tcBorders>
            <w:gridSpan w:val="3"/>
            <w:shd w:val="clear" w:color="auto" w:fill="E5FFFF"/>
          </w:tcPr>
          <w:p>
            <w:pPr>
              <w:spacing w:after="0"/>
              <w:rPr>
                <w:sz w:val="16"/>
                <w:szCs w:val="16"/>
                <w:color w:val="auto"/>
              </w:rPr>
            </w:pPr>
          </w:p>
        </w:tc>
        <w:tc>
          <w:tcPr>
            <w:tcW w:w="1040" w:type="dxa"/>
            <w:vAlign w:val="bottom"/>
            <w:tcBorders>
              <w:top w:val="single" w:sz="8" w:color="auto"/>
              <w:bottom w:val="single" w:sz="8" w:color="E5FFFF"/>
            </w:tcBorders>
            <w:shd w:val="clear" w:color="auto" w:fill="E5FFFF"/>
          </w:tcPr>
          <w:p>
            <w:pPr>
              <w:spacing w:after="0"/>
              <w:rPr>
                <w:sz w:val="16"/>
                <w:szCs w:val="16"/>
                <w:color w:val="auto"/>
              </w:rPr>
            </w:pPr>
          </w:p>
        </w:tc>
        <w:tc>
          <w:tcPr>
            <w:tcW w:w="480" w:type="dxa"/>
            <w:vAlign w:val="bottom"/>
            <w:tcBorders>
              <w:top w:val="single" w:sz="8" w:color="E5FFFF"/>
              <w:bottom w:val="single" w:sz="8" w:color="E5FFFF"/>
            </w:tcBorders>
            <w:shd w:val="clear" w:color="auto" w:fill="E5FFFF"/>
          </w:tcPr>
          <w:p>
            <w:pPr>
              <w:spacing w:after="0"/>
              <w:rPr>
                <w:sz w:val="16"/>
                <w:szCs w:val="16"/>
                <w:color w:val="auto"/>
              </w:rPr>
            </w:pPr>
          </w:p>
        </w:tc>
        <w:tc>
          <w:tcPr>
            <w:tcW w:w="1160" w:type="dxa"/>
            <w:vAlign w:val="bottom"/>
            <w:tcBorders>
              <w:top w:val="single" w:sz="8" w:color="auto"/>
              <w:bottom w:val="single" w:sz="8" w:color="E5FFFF"/>
            </w:tcBorders>
            <w:shd w:val="clear" w:color="auto" w:fill="E5FFFF"/>
          </w:tcPr>
          <w:p>
            <w:pPr>
              <w:spacing w:after="0"/>
              <w:rPr>
                <w:sz w:val="16"/>
                <w:szCs w:val="16"/>
                <w:color w:val="auto"/>
              </w:rPr>
            </w:pPr>
          </w:p>
        </w:tc>
        <w:tc>
          <w:tcPr>
            <w:tcW w:w="44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440" w:type="dxa"/>
            <w:vAlign w:val="bottom"/>
            <w:tcBorders>
              <w:top w:val="single" w:sz="8" w:color="E5FFFF"/>
              <w:bottom w:val="single" w:sz="8" w:color="E5FFFF"/>
            </w:tcBorders>
            <w:shd w:val="clear" w:color="auto" w:fill="E5FFFF"/>
          </w:tcPr>
          <w:p>
            <w:pPr>
              <w:spacing w:after="0"/>
              <w:rPr>
                <w:sz w:val="16"/>
                <w:szCs w:val="16"/>
                <w:color w:val="auto"/>
              </w:rPr>
            </w:pPr>
          </w:p>
        </w:tc>
        <w:tc>
          <w:tcPr>
            <w:tcW w:w="1260" w:type="dxa"/>
            <w:vAlign w:val="bottom"/>
            <w:tcBorders>
              <w:top w:val="single" w:sz="8" w:color="auto"/>
              <w:bottom w:val="single" w:sz="8" w:color="E5FFFF"/>
            </w:tcBorders>
            <w:shd w:val="clear" w:color="auto" w:fill="E5FFFF"/>
          </w:tcPr>
          <w:p>
            <w:pPr>
              <w:spacing w:after="0"/>
              <w:rPr>
                <w:sz w:val="16"/>
                <w:szCs w:val="16"/>
                <w:color w:val="auto"/>
              </w:rPr>
            </w:pPr>
          </w:p>
        </w:tc>
        <w:tc>
          <w:tcPr>
            <w:tcW w:w="44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As of January 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3,619,255</w:t>
            </w:r>
          </w:p>
        </w:tc>
        <w:tc>
          <w:tcPr>
            <w:tcW w:w="48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12,315</w:t>
            </w:r>
          </w:p>
        </w:tc>
        <w:tc>
          <w:tcPr>
            <w:tcW w:w="1140" w:type="dxa"/>
            <w:vAlign w:val="bottom"/>
          </w:tcPr>
          <w:p>
            <w:pPr>
              <w:jc w:val="right"/>
              <w:spacing w:after="0"/>
              <w:rPr>
                <w:sz w:val="20"/>
                <w:szCs w:val="20"/>
                <w:color w:val="auto"/>
              </w:rPr>
            </w:pPr>
            <w:r>
              <w:rPr>
                <w:rFonts w:ascii="Arial" w:cs="Arial" w:eastAsia="Arial" w:hAnsi="Arial"/>
                <w:sz w:val="18"/>
                <w:szCs w:val="18"/>
                <w:color w:val="auto"/>
              </w:rPr>
              <w:t>3,631,570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178,405</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Sale and leaseback (Note 5)</w:t>
            </w:r>
          </w:p>
        </w:tc>
        <w:tc>
          <w:tcPr>
            <w:tcW w:w="15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(234,650)</w:t>
            </w:r>
          </w:p>
        </w:tc>
        <w:tc>
          <w:tcPr>
            <w:tcW w:w="16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(234,650)</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227,809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5,636</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1,317</w:t>
            </w:r>
          </w:p>
        </w:tc>
        <w:tc>
          <w:tcPr>
            <w:tcW w:w="4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6,953</w:t>
            </w:r>
          </w:p>
        </w:tc>
        <w:tc>
          <w:tcPr>
            <w:tcW w:w="1260" w:type="dxa"/>
            <w:vAlign w:val="bottom"/>
          </w:tcPr>
          <w:p>
            <w:pPr>
              <w:jc w:val="right"/>
              <w:spacing w:after="0"/>
              <w:rPr>
                <w:sz w:val="20"/>
                <w:szCs w:val="20"/>
                <w:color w:val="auto"/>
              </w:rPr>
            </w:pPr>
            <w:r>
              <w:rPr>
                <w:rFonts w:ascii="Arial" w:cs="Arial" w:eastAsia="Arial" w:hAnsi="Arial"/>
                <w:sz w:val="18"/>
                <w:szCs w:val="18"/>
                <w:color w:val="auto"/>
              </w:rPr>
              <w:t>568,563</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Transfer from vessels under construction</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621,537</w:t>
            </w:r>
          </w:p>
        </w:tc>
        <w:tc>
          <w:tcPr>
            <w:tcW w:w="48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621,537</w:t>
            </w:r>
          </w:p>
        </w:tc>
        <w:tc>
          <w:tcPr>
            <w:tcW w:w="17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(621,537)</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(2,520)</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(2,520)</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8"/>
                <w:szCs w:val="18"/>
                <w:b w:val="1"/>
                <w:bCs w:val="1"/>
                <w:color w:val="auto"/>
              </w:rPr>
              <w:t>As of September 30, 2016</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4,009,258</w:t>
            </w:r>
          </w:p>
        </w:tc>
        <w:tc>
          <w:tcPr>
            <w:tcW w:w="48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13,632</w:t>
            </w:r>
          </w:p>
        </w:tc>
        <w:tc>
          <w:tcPr>
            <w:tcW w:w="44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4,022,890</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125,431</w:t>
            </w:r>
          </w:p>
        </w:tc>
        <w:tc>
          <w:tcPr>
            <w:tcW w:w="44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228,523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104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As of January 1, 2016</w:t>
            </w:r>
          </w:p>
        </w:tc>
        <w:tc>
          <w:tcPr>
            <w:tcW w:w="1760" w:type="dxa"/>
            <w:vAlign w:val="bottom"/>
            <w:tcBorders>
              <w:top w:val="single" w:sz="8" w:color="E5FFFF"/>
            </w:tcBorders>
          </w:tcPr>
          <w:p>
            <w:pPr>
              <w:spacing w:after="0"/>
              <w:rPr>
                <w:sz w:val="18"/>
                <w:szCs w:val="18"/>
                <w:color w:val="auto"/>
              </w:rPr>
            </w:pPr>
          </w:p>
        </w:tc>
        <w:tc>
          <w:tcPr>
            <w:tcW w:w="1040" w:type="dxa"/>
            <w:vAlign w:val="bottom"/>
            <w:tcBorders>
              <w:top w:val="single" w:sz="8" w:color="E5FFFF"/>
            </w:tcBorders>
          </w:tcPr>
          <w:p>
            <w:pPr>
              <w:jc w:val="right"/>
              <w:spacing w:after="0"/>
              <w:rPr>
                <w:sz w:val="20"/>
                <w:szCs w:val="20"/>
                <w:color w:val="auto"/>
              </w:rPr>
            </w:pPr>
            <w:r>
              <w:rPr>
                <w:rFonts w:ascii="Arial" w:cs="Arial" w:eastAsia="Arial" w:hAnsi="Arial"/>
                <w:sz w:val="18"/>
                <w:szCs w:val="18"/>
                <w:color w:val="auto"/>
              </w:rPr>
              <w:t>228,531</w:t>
            </w:r>
          </w:p>
        </w:tc>
        <w:tc>
          <w:tcPr>
            <w:tcW w:w="480" w:type="dxa"/>
            <w:vAlign w:val="bottom"/>
            <w:tcBorders>
              <w:top w:val="single" w:sz="8" w:color="E5FFFF"/>
            </w:tcBorders>
          </w:tcPr>
          <w:p>
            <w:pPr>
              <w:spacing w:after="0"/>
              <w:rPr>
                <w:sz w:val="18"/>
                <w:szCs w:val="18"/>
                <w:color w:val="auto"/>
              </w:rPr>
            </w:pPr>
          </w:p>
        </w:tc>
        <w:tc>
          <w:tcPr>
            <w:tcW w:w="1160" w:type="dxa"/>
            <w:vAlign w:val="bottom"/>
            <w:tcBorders>
              <w:top w:val="single" w:sz="8" w:color="E5FFFF"/>
            </w:tcBorders>
          </w:tcPr>
          <w:p>
            <w:pPr>
              <w:jc w:val="right"/>
              <w:spacing w:after="0"/>
              <w:rPr>
                <w:sz w:val="20"/>
                <w:szCs w:val="20"/>
                <w:color w:val="auto"/>
              </w:rPr>
            </w:pPr>
            <w:r>
              <w:rPr>
                <w:rFonts w:ascii="Arial" w:cs="Arial" w:eastAsia="Arial" w:hAnsi="Arial"/>
                <w:sz w:val="18"/>
                <w:szCs w:val="18"/>
                <w:color w:val="auto"/>
              </w:rPr>
              <w:t>2,769</w:t>
            </w:r>
          </w:p>
        </w:tc>
        <w:tc>
          <w:tcPr>
            <w:tcW w:w="440" w:type="dxa"/>
            <w:vAlign w:val="bottom"/>
            <w:tcBorders>
              <w:top w:val="single" w:sz="8" w:color="E5FFFF"/>
            </w:tcBorders>
          </w:tcPr>
          <w:p>
            <w:pPr>
              <w:spacing w:after="0"/>
              <w:rPr>
                <w:sz w:val="18"/>
                <w:szCs w:val="18"/>
                <w:color w:val="auto"/>
              </w:rPr>
            </w:pPr>
          </w:p>
        </w:tc>
        <w:tc>
          <w:tcPr>
            <w:tcW w:w="1580" w:type="dxa"/>
            <w:vAlign w:val="bottom"/>
            <w:tcBorders>
              <w:top w:val="single" w:sz="8" w:color="E5FFFF"/>
            </w:tcBorders>
            <w:gridSpan w:val="2"/>
          </w:tcPr>
          <w:p>
            <w:pPr>
              <w:jc w:val="right"/>
              <w:ind w:right="440"/>
              <w:spacing w:after="0"/>
              <w:rPr>
                <w:sz w:val="20"/>
                <w:szCs w:val="20"/>
                <w:color w:val="auto"/>
              </w:rPr>
            </w:pPr>
            <w:r>
              <w:rPr>
                <w:rFonts w:ascii="Arial" w:cs="Arial" w:eastAsia="Arial" w:hAnsi="Arial"/>
                <w:sz w:val="18"/>
                <w:szCs w:val="18"/>
                <w:color w:val="auto"/>
              </w:rPr>
              <w:t>231,300</w:t>
            </w:r>
          </w:p>
        </w:tc>
        <w:tc>
          <w:tcPr>
            <w:tcW w:w="1700" w:type="dxa"/>
            <w:vAlign w:val="bottom"/>
            <w:tcBorders>
              <w:top w:val="single" w:sz="8" w:color="E5FFFF"/>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E5FF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Depreciation expense</w:t>
            </w:r>
          </w:p>
        </w:tc>
        <w:tc>
          <w:tcPr>
            <w:tcW w:w="152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83,962</w:t>
            </w:r>
          </w:p>
        </w:tc>
        <w:tc>
          <w:tcPr>
            <w:tcW w:w="16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468</w:t>
            </w:r>
          </w:p>
        </w:tc>
        <w:tc>
          <w:tcPr>
            <w:tcW w:w="15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84,430</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Sale and leaseback (Note 5)</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(6,841)</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(6,841)</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Fully amortized drydocking component</w:t>
            </w:r>
          </w:p>
        </w:tc>
        <w:tc>
          <w:tcPr>
            <w:tcW w:w="152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(2,520)</w:t>
            </w:r>
          </w:p>
        </w:tc>
        <w:tc>
          <w:tcPr>
            <w:tcW w:w="16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(2,520)</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b w:val="1"/>
                <w:bCs w:val="1"/>
                <w:color w:val="auto"/>
              </w:rPr>
              <w:t>As of September 30,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303,132</w:t>
            </w:r>
          </w:p>
        </w:tc>
        <w:tc>
          <w:tcPr>
            <w:tcW w:w="480" w:type="dxa"/>
            <w:vAlign w:val="bottom"/>
            <w:tcBorders>
              <w:bottom w:val="single" w:sz="8" w:color="E5FF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w:t>
            </w:r>
          </w:p>
        </w:tc>
        <w:tc>
          <w:tcPr>
            <w:tcW w:w="44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306,369</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176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Net book value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gridSpan w:val="4"/>
            <w:shd w:val="clear" w:color="auto" w:fill="E5FFFF"/>
          </w:tcPr>
          <w:p>
            <w:pPr>
              <w:spacing w:after="0"/>
              <w:rPr>
                <w:sz w:val="20"/>
                <w:szCs w:val="20"/>
                <w:color w:val="auto"/>
              </w:rPr>
            </w:pPr>
            <w:r>
              <w:rPr>
                <w:rFonts w:ascii="Arial" w:cs="Arial" w:eastAsia="Arial" w:hAnsi="Arial"/>
                <w:sz w:val="18"/>
                <w:szCs w:val="18"/>
                <w:b w:val="1"/>
                <w:bCs w:val="1"/>
                <w:color w:val="auto"/>
              </w:rPr>
              <w:t>As of December 31, 2015</w:t>
            </w: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3,390,724</w:t>
            </w:r>
          </w:p>
        </w:tc>
        <w:tc>
          <w:tcPr>
            <w:tcW w:w="480" w:type="dxa"/>
            <w:vAlign w:val="bottom"/>
            <w:shd w:val="clear" w:color="auto" w:fill="E5FFFF"/>
          </w:tcPr>
          <w:p>
            <w:pPr>
              <w:spacing w:after="0"/>
              <w:rPr>
                <w:sz w:val="19"/>
                <w:szCs w:val="19"/>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9,546</w:t>
            </w:r>
          </w:p>
        </w:tc>
        <w:tc>
          <w:tcPr>
            <w:tcW w:w="440" w:type="dxa"/>
            <w:vAlign w:val="bottom"/>
            <w:shd w:val="clear" w:color="auto" w:fill="E5FFFF"/>
          </w:tcPr>
          <w:p>
            <w:pPr>
              <w:spacing w:after="0"/>
              <w:rPr>
                <w:sz w:val="19"/>
                <w:szCs w:val="19"/>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3,400,270</w:t>
            </w:r>
          </w:p>
        </w:tc>
        <w:tc>
          <w:tcPr>
            <w:tcW w:w="440" w:type="dxa"/>
            <w:vAlign w:val="bottom"/>
            <w:shd w:val="clear" w:color="auto" w:fill="E5FFFF"/>
          </w:tcPr>
          <w:p>
            <w:pPr>
              <w:spacing w:after="0"/>
              <w:rPr>
                <w:sz w:val="19"/>
                <w:szCs w:val="19"/>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178,405</w:t>
            </w:r>
          </w:p>
        </w:tc>
        <w:tc>
          <w:tcPr>
            <w:tcW w:w="440" w:type="dxa"/>
            <w:vAlign w:val="bottom"/>
            <w:shd w:val="clear" w:color="auto" w:fill="E5FFFF"/>
          </w:tcPr>
          <w:p>
            <w:pPr>
              <w:spacing w:after="0"/>
              <w:rPr>
                <w:sz w:val="19"/>
                <w:szCs w:val="19"/>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As of September 30, 2016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3,706,126</w:t>
            </w:r>
          </w:p>
        </w:tc>
        <w:tc>
          <w:tcPr>
            <w:tcW w:w="4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10,395</w:t>
            </w:r>
          </w:p>
        </w:tc>
        <w:tc>
          <w:tcPr>
            <w:tcW w:w="4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3,716,521</w:t>
            </w:r>
          </w:p>
        </w:tc>
        <w:tc>
          <w:tcPr>
            <w:tcW w:w="4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125,431</w:t>
            </w:r>
          </w:p>
        </w:tc>
        <w:tc>
          <w:tcPr>
            <w:tcW w:w="4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223,932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Vessels with an aggregate carrying amount of $3,706,126 as of September 30, 2016 (December 31, 2015: $3,390,724) have been pledged as collateral under the terms of the Group’s loan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January 2013, GAS-eleven Ltd. and GAS-twelve Ltd. entered into shipbuilding contracts with Samsung Heavy Industries Co. Ltd. (“Samsung”) for the construction of two LNG carriers (174,000 cubic meters each). The first vessel,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was delivered on March 29, 2016, while the second vessel, the </w:t>
      </w:r>
      <w:r>
        <w:rPr>
          <w:rFonts w:ascii="Arial" w:cs="Arial" w:eastAsia="Arial" w:hAnsi="Arial"/>
          <w:sz w:val="18"/>
          <w:szCs w:val="18"/>
          <w:i w:val="1"/>
          <w:iCs w:val="1"/>
          <w:color w:val="auto"/>
        </w:rPr>
        <w:t>GasLog Glasgow</w:t>
      </w:r>
      <w:r>
        <w:rPr>
          <w:rFonts w:ascii="Arial" w:cs="Arial" w:eastAsia="Arial" w:hAnsi="Arial"/>
          <w:sz w:val="18"/>
          <w:szCs w:val="18"/>
          <w:color w:val="auto"/>
        </w:rPr>
        <w:t>, was delivered on June 30, 2016.</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August 2013, GAS-thirteen Ltd. and GAS-fourteen Ltd. entered into shipbuilding contracts with Samsung for the construction of two LNG carriers (174,000 cubic meters each). The first vessel,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was delivered on September 30, 2016, while the second vessel, the </w:t>
      </w:r>
      <w:r>
        <w:rPr>
          <w:rFonts w:ascii="Arial" w:cs="Arial" w:eastAsia="Arial" w:hAnsi="Arial"/>
          <w:sz w:val="18"/>
          <w:szCs w:val="18"/>
          <w:i w:val="1"/>
          <w:iCs w:val="1"/>
          <w:color w:val="auto"/>
        </w:rPr>
        <w:t>GasLog Gibraltar</w:t>
      </w:r>
      <w:r>
        <w:rPr>
          <w:rFonts w:ascii="Arial" w:cs="Arial" w:eastAsia="Arial" w:hAnsi="Arial"/>
          <w:sz w:val="18"/>
          <w:szCs w:val="18"/>
          <w:color w:val="auto"/>
        </w:rPr>
        <w:t>, was delivered on October 31, 2016.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for the construction of two LNG carriers (174,000 cubic meters each). The vessels are expected to be delivered in the first quarter of 2018 and 2019, respectively.</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June 2014, GAS-twenty four Ltd. and GAS-twenty five Ltd. entered into shipbuilding contracts with Hyundai Heavy Industries Co., Ltd. (“Hyundai”) for the construction of two LNG carriers (174,000 cubic meters each). The vessels are expected to be delivered in the first quarter of 2018.</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2016, GAS-twenty eight Ltd. entered into a shipbuilding contract with Samsung for the construction of one LNG carrier (180,000 cubic meters). The vessel is expected to be delivered in the second quarter of 2019.</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September 30, 2016, the Group has paid to the shipyard $111,323 for the vessels that are under construction, has outstanding liabilities of $9,350 and expects to pay the remaining installments as they come due upon each vessel’s keel laying, launching and delivery (Note 11).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vessels under construction costs as of December 31, 2015 and September 30,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2015</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r>
      <w:tr>
        <w:trPr>
          <w:trHeight w:val="210"/>
        </w:trPr>
        <w:tc>
          <w:tcPr>
            <w:tcW w:w="7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Progress shipyard installments</w:t>
            </w:r>
          </w:p>
        </w:tc>
        <w:tc>
          <w:tcPr>
            <w:tcW w:w="15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170,634</w:t>
            </w:r>
          </w:p>
        </w:tc>
        <w:tc>
          <w:tcPr>
            <w:tcW w:w="4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120,673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4,289</w:t>
            </w:r>
          </w:p>
        </w:tc>
        <w:tc>
          <w:tcPr>
            <w:tcW w:w="4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18"/>
                <w:szCs w:val="18"/>
                <w:color w:val="auto"/>
              </w:rPr>
            </w:pPr>
          </w:p>
        </w:tc>
      </w:tr>
      <w:tr>
        <w:trPr>
          <w:trHeight w:val="230"/>
        </w:trPr>
        <w:tc>
          <w:tcPr>
            <w:tcW w:w="7740" w:type="dxa"/>
            <w:vAlign w:val="bottom"/>
            <w:shd w:val="clear" w:color="auto" w:fill="E5FF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3,482</w:t>
            </w:r>
          </w:p>
        </w:tc>
        <w:tc>
          <w:tcPr>
            <w:tcW w:w="440" w:type="dxa"/>
            <w:vAlign w:val="bottom"/>
            <w:shd w:val="clear" w:color="auto" w:fill="E5FFFF"/>
          </w:tcPr>
          <w:p>
            <w:pPr>
              <w:spacing w:after="0"/>
              <w:rPr>
                <w:sz w:val="19"/>
                <w:szCs w:val="19"/>
                <w:color w:val="auto"/>
              </w:rPr>
            </w:pP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E5FFFF"/>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178,405</w:t>
            </w:r>
          </w:p>
        </w:tc>
        <w:tc>
          <w:tcPr>
            <w:tcW w:w="44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Sale and Leaseback</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On February 24, 2016, GasLog’s subsidiary, GAS-twenty six Ltd., completed the ship sale and leaseback transaction with a subsidiary of Mitsui, for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Mitsui has the right to on-sell and lease back the vessel. The vessel was sold to Mitsui for a cash consideration of $217,000.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IFRS.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275" w:gutter="0" w:footer="0" w:header="0"/>
        </w:sectPr>
      </w:pPr>
    </w:p>
    <w:bookmarkStart w:id="36" w:name="page37"/>
    <w:bookmarkEnd w:id="36"/>
    <w:p>
      <w:pPr>
        <w:ind w:left="340"/>
        <w:spacing w:after="0"/>
        <w:rPr>
          <w:sz w:val="20"/>
          <w:szCs w:val="20"/>
          <w:color w:val="auto"/>
        </w:rPr>
      </w:pPr>
      <w:r>
        <w:rPr>
          <w:rFonts w:ascii="Arial" w:cs="Arial" w:eastAsia="Arial" w:hAnsi="Arial"/>
          <w:sz w:val="16"/>
          <w:szCs w:val="16"/>
          <w:color w:val="auto"/>
        </w:rPr>
        <w:t>The movements in finance lease liabilities are reported in the following table: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charge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liability, current portion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Finance lease liability,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Amounts 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deferred loan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Amounts due after one year</w:t>
      </w:r>
    </w:p>
    <w:p>
      <w:pPr>
        <w:spacing w:after="0" w:line="195" w:lineRule="auto"/>
        <w:rPr>
          <w:sz w:val="20"/>
          <w:szCs w:val="20"/>
          <w:color w:val="auto"/>
        </w:rPr>
      </w:pPr>
      <w:r>
        <w:rPr>
          <w:rFonts w:ascii="Arial" w:cs="Arial" w:eastAsia="Arial" w:hAnsi="Arial"/>
          <w:sz w:val="18"/>
          <w:szCs w:val="18"/>
          <w:color w:val="auto"/>
        </w:rPr>
        <w:t>Plus: unamortized premium</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unamortized deferred loan issuance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217,000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6,572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222,105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5,859</w:t>
            </w:r>
          </w:p>
        </w:tc>
        <w:tc>
          <w:tcPr>
            <w:tcW w:w="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216,246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222,105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December 31, 2015</w:t>
            </w:r>
          </w:p>
        </w:tc>
        <w:tc>
          <w:tcPr>
            <w:tcW w:w="16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195"/>
        </w:trPr>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645,193</w:t>
            </w:r>
          </w:p>
        </w:tc>
        <w:tc>
          <w:tcPr>
            <w:tcW w:w="440" w:type="dxa"/>
            <w:vAlign w:val="bottom"/>
          </w:tcPr>
          <w:p>
            <w:pPr>
              <w:spacing w:after="0"/>
              <w:rPr>
                <w:sz w:val="16"/>
                <w:szCs w:val="16"/>
                <w:color w:val="auto"/>
              </w:rPr>
            </w:pPr>
          </w:p>
        </w:tc>
        <w:tc>
          <w:tcPr>
            <w:tcW w:w="16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143,491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rPr>
              <w:t>(8,206)</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0"/>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636,987</w:t>
            </w:r>
          </w:p>
        </w:tc>
        <w:tc>
          <w:tcPr>
            <w:tcW w:w="440" w:type="dxa"/>
            <w:vAlign w:val="bottom"/>
          </w:tcPr>
          <w:p>
            <w:pPr>
              <w:spacing w:after="0"/>
              <w:rPr>
                <w:sz w:val="18"/>
                <w:szCs w:val="18"/>
                <w:color w:val="auto"/>
              </w:rPr>
            </w:pP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134,907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40" w:type="dxa"/>
            <w:vAlign w:val="bottom"/>
          </w:tcPr>
          <w:p>
            <w:pPr>
              <w:jc w:val="right"/>
              <w:spacing w:after="0"/>
              <w:rPr>
                <w:sz w:val="20"/>
                <w:szCs w:val="20"/>
                <w:color w:val="auto"/>
              </w:rPr>
            </w:pPr>
            <w:r>
              <w:rPr>
                <w:rFonts w:ascii="Arial" w:cs="Arial" w:eastAsia="Arial" w:hAnsi="Arial"/>
                <w:sz w:val="18"/>
                <w:szCs w:val="18"/>
                <w:color w:val="auto"/>
              </w:rPr>
              <w:t>1,762,580</w:t>
            </w:r>
          </w:p>
        </w:tc>
        <w:tc>
          <w:tcPr>
            <w:tcW w:w="44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2,423,032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40" w:type="dxa"/>
            <w:vAlign w:val="bottom"/>
          </w:tcPr>
          <w:p>
            <w:pPr>
              <w:jc w:val="right"/>
              <w:spacing w:after="0"/>
              <w:rPr>
                <w:sz w:val="20"/>
                <w:szCs w:val="20"/>
                <w:color w:val="auto"/>
              </w:rPr>
            </w:pPr>
            <w:r>
              <w:rPr>
                <w:rFonts w:ascii="Arial" w:cs="Arial" w:eastAsia="Arial" w:hAnsi="Arial"/>
                <w:sz w:val="18"/>
                <w:szCs w:val="18"/>
                <w:color w:val="auto"/>
              </w:rPr>
              <w:t>2,573</w:t>
            </w:r>
          </w:p>
        </w:tc>
        <w:tc>
          <w:tcPr>
            <w:tcW w:w="44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1,514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980" w:type="dxa"/>
            <w:vAlign w:val="bottom"/>
            <w:gridSpan w:val="2"/>
          </w:tcPr>
          <w:p>
            <w:pPr>
              <w:jc w:val="right"/>
              <w:ind w:right="380"/>
              <w:spacing w:after="0"/>
              <w:rPr>
                <w:sz w:val="20"/>
                <w:szCs w:val="20"/>
                <w:color w:val="auto"/>
              </w:rPr>
            </w:pPr>
            <w:r>
              <w:rPr>
                <w:rFonts w:ascii="Arial" w:cs="Arial" w:eastAsia="Arial" w:hAnsi="Arial"/>
                <w:sz w:val="18"/>
                <w:szCs w:val="18"/>
                <w:color w:val="auto"/>
              </w:rPr>
              <w:t>(27,653)</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(38,673)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020" w:space="720"/>
            <w:col w:w="3680"/>
          </w:cols>
          <w:pgMar w:left="240" w:top="409" w:right="239" w:bottom="0" w:gutter="0" w:footer="0" w:header="0"/>
        </w:sectPr>
      </w:pPr>
    </w:p>
    <w:tbl>
      <w:tblPr>
        <w:tblLayout w:type="fixed"/>
        <w:tblInd w:w="0" w:type="dxa"/>
        <w:tblCellMar>
          <w:top w:w="0" w:type="dxa"/>
          <w:left w:w="0" w:type="dxa"/>
          <w:bottom w:w="0" w:type="dxa"/>
          <w:right w:w="0" w:type="dxa"/>
        </w:tblCellMar>
      </w:tblPr>
      <w:tr>
        <w:trPr>
          <w:trHeight w:val="212"/>
        </w:trPr>
        <w:tc>
          <w:tcPr>
            <w:tcW w:w="7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non-current portion</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1,737,500</w:t>
            </w:r>
          </w:p>
        </w:tc>
        <w:tc>
          <w:tcPr>
            <w:tcW w:w="44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2,385,873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2,374,487</w:t>
            </w:r>
          </w:p>
        </w:tc>
        <w:tc>
          <w:tcPr>
            <w:tcW w:w="4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2,520,780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540" w:hanging="208"/>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Refer to “Senior Unsecured Notes” disclosed below for the premium.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The main terms of the Group’s loan facilities in existence as of December 31, 2015 have been disclosed in the annual audited consolidated financial statements for the year ended December 31, 2015. Refer to Note 12 “Borrowings”. During the nine months ended September 30, 2016, in addition to the new transactions described below, GasLog drew down $486,630 to partially finance the deliveries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(nine months ended September 30, 2015: $606,000) and repaid $61,442 in accordance with the repayment terms under its loan facilities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$73,434).</w:t>
      </w:r>
    </w:p>
    <w:p>
      <w:pPr>
        <w:spacing w:after="0" w:line="188" w:lineRule="exact"/>
        <w:rPr>
          <w:sz w:val="20"/>
          <w:szCs w:val="20"/>
          <w:color w:val="auto"/>
        </w:rPr>
      </w:pPr>
    </w:p>
    <w:p>
      <w:pPr>
        <w:ind w:left="660" w:right="10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On February 18, 2016, subsidiaries of GasLog and GasLog Partners entered into credit agreements (the “Credit Agreements”) to refinance the debt maturities that were scheduled to become due in 2016 and 2017. The Credit Agreements are comprised of a five-year senior tranche facility of up to $396,500 and a two-year bullet junior tranche of up to $180,000. The vessels covered by the Credit Agreements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w:t>
      </w:r>
      <w:r>
        <w:rPr>
          <w:rFonts w:ascii="Arial" w:cs="Arial" w:eastAsia="Arial" w:hAnsi="Arial"/>
          <w:sz w:val="18"/>
          <w:szCs w:val="18"/>
          <w:i w:val="1"/>
          <w:iCs w:val="1"/>
          <w:color w:val="auto"/>
        </w:rPr>
        <w:t xml:space="preserve"> Methane 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and the GasLog-owned</w:t>
      </w:r>
      <w:r>
        <w:rPr>
          <w:rFonts w:ascii="Arial" w:cs="Arial" w:eastAsia="Arial" w:hAnsi="Arial"/>
          <w:sz w:val="18"/>
          <w:szCs w:val="18"/>
          <w:i w:val="1"/>
          <w:iCs w:val="1"/>
          <w:color w:val="auto"/>
        </w:rPr>
        <w:t xml:space="preserve"> Methane Lydon Volney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w:t>
      </w:r>
      <w:r>
        <w:rPr>
          <w:rFonts w:ascii="Arial" w:cs="Arial" w:eastAsia="Arial" w:hAnsi="Arial"/>
          <w:sz w:val="18"/>
          <w:szCs w:val="18"/>
          <w:color w:val="auto"/>
        </w:rPr>
        <w:t>. ABN AMRO Bank N.V. and DNB (UK) Ltd. were mandated lead arrangers to the transaction. The other banks in the syndicate are: DVB</w:t>
      </w:r>
      <w:r>
        <w:rPr>
          <w:rFonts w:ascii="Arial" w:cs="Arial" w:eastAsia="Arial" w:hAnsi="Arial"/>
          <w:sz w:val="18"/>
          <w:szCs w:val="18"/>
          <w:i w:val="1"/>
          <w:iCs w:val="1"/>
          <w:color w:val="auto"/>
        </w:rPr>
        <w:t xml:space="preserve"> </w:t>
      </w:r>
      <w:r>
        <w:rPr>
          <w:rFonts w:ascii="Arial" w:cs="Arial" w:eastAsia="Arial" w:hAnsi="Arial"/>
          <w:sz w:val="18"/>
          <w:szCs w:val="18"/>
          <w:color w:val="auto"/>
        </w:rPr>
        <w:t>Bank America N.V., Commonwealth Bank of Australia, ING Bank N.V., London Branch, Credit Agricole Corporate and Investment Bank and National Australia Bank Limited.</w:t>
      </w:r>
    </w:p>
    <w:p>
      <w:pPr>
        <w:spacing w:after="0" w:line="189" w:lineRule="exact"/>
        <w:rPr>
          <w:rFonts w:ascii="Arial" w:cs="Arial" w:eastAsia="Arial" w:hAnsi="Arial"/>
          <w:sz w:val="18"/>
          <w:szCs w:val="18"/>
          <w:color w:val="auto"/>
        </w:rPr>
      </w:pPr>
    </w:p>
    <w:p>
      <w:pPr>
        <w:ind w:left="660" w:right="40"/>
        <w:spacing w:after="0" w:line="290" w:lineRule="auto"/>
        <w:rPr>
          <w:rFonts w:ascii="Arial" w:cs="Arial" w:eastAsia="Arial" w:hAnsi="Arial"/>
          <w:sz w:val="18"/>
          <w:szCs w:val="18"/>
          <w:color w:val="auto"/>
        </w:rPr>
      </w:pPr>
      <w:r>
        <w:rPr>
          <w:rFonts w:ascii="Arial" w:cs="Arial" w:eastAsia="Arial" w:hAnsi="Arial"/>
          <w:sz w:val="16"/>
          <w:szCs w:val="16"/>
          <w:color w:val="auto"/>
        </w:rPr>
        <w:t>On April 5, 2016, $395,450 and $179,750 under the senior and junior tranche, respectively, of the Credit Agreements were drawn to partially refinance $644,000 of the outstanding debt of GAS-eighteen Ltd., GAS-nineteen Ltd., GAS-twenty Ltd., GAS-twenty one Ltd. and GAS-twenty seven Ltd. The balance of $68,800 was paid from available cash. Following the decrease in the aggregate available amount by $1,300, the senior tranche facility provides for four advances of $72,288 each and a fifth advance of $106,298.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$29,958 each and a fifth advance of $59,918. Each advance under the junior tranche shall be repaid in full 24 months after the relevant drawdown dates. Amounts drawn will bear interest at LIBOR plus a margin (variable margin for the junior tranche).</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Credit Agreements are secured as follows:</w:t>
      </w:r>
    </w:p>
    <w:p>
      <w:pPr>
        <w:spacing w:after="0" w:line="225" w:lineRule="exact"/>
        <w:rPr>
          <w:rFonts w:ascii="Arial" w:cs="Arial" w:eastAsia="Arial" w:hAnsi="Arial"/>
          <w:sz w:val="18"/>
          <w:szCs w:val="18"/>
          <w:color w:val="auto"/>
        </w:rPr>
      </w:pPr>
    </w:p>
    <w:p>
      <w:pPr>
        <w:ind w:left="1340" w:hanging="441"/>
        <w:spacing w:after="0"/>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first and second priority mortgages over the ships owned by the respective borrowers;</w:t>
      </w:r>
    </w:p>
    <w:p>
      <w:pPr>
        <w:spacing w:after="0" w:line="23" w:lineRule="exact"/>
        <w:rPr>
          <w:rFonts w:ascii="Arial" w:cs="Arial" w:eastAsia="Arial" w:hAnsi="Arial"/>
          <w:sz w:val="18"/>
          <w:szCs w:val="18"/>
          <w:color w:val="auto"/>
        </w:rPr>
      </w:pPr>
    </w:p>
    <w:p>
      <w:pPr>
        <w:ind w:left="1340" w:hanging="441"/>
        <w:spacing w:after="0"/>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guarantees from GasLog, GasLog Partners, GasLog Carriers and GasLog Partners Holdings LLC;</w:t>
      </w:r>
    </w:p>
    <w:p>
      <w:pPr>
        <w:spacing w:after="0" w:line="9" w:lineRule="exact"/>
        <w:rPr>
          <w:rFonts w:ascii="Arial" w:cs="Arial" w:eastAsia="Arial" w:hAnsi="Arial"/>
          <w:sz w:val="18"/>
          <w:szCs w:val="18"/>
          <w:color w:val="auto"/>
        </w:rPr>
      </w:pPr>
    </w:p>
    <w:p>
      <w:pPr>
        <w:ind w:left="1340" w:hanging="441"/>
        <w:spacing w:after="0"/>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 and</w:t>
      </w:r>
    </w:p>
    <w:p>
      <w:pPr>
        <w:spacing w:after="0" w:line="9" w:lineRule="exact"/>
        <w:rPr>
          <w:rFonts w:ascii="Arial" w:cs="Arial" w:eastAsia="Arial" w:hAnsi="Arial"/>
          <w:sz w:val="18"/>
          <w:szCs w:val="18"/>
          <w:color w:val="auto"/>
        </w:rPr>
      </w:pPr>
    </w:p>
    <w:p>
      <w:pPr>
        <w:ind w:left="1340" w:hanging="441"/>
        <w:spacing w:after="0"/>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first and second priority assignment of all earnings and insurance related to the ship owned by the respective borrower.</w:t>
      </w:r>
    </w:p>
    <w:p>
      <w:pPr>
        <w:spacing w:after="0" w:line="211"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The Credit Agreements impose certain operating and financial restrictions on GasLog and GasLog Partners. These restrictions generally limit GasLog’s and GasLog Partners’ collective subsidiaries’ ability to, among other things: (a) incur additional indebtedness, create liens or provide guarantees, (b) provide any form of credit or financial assistance to, or enter into any non-arms’ length transactions with, GasLog or any of its affiliates, (c) sell or otherwise dispose of assets, including GasLog’s ships, (d) engage in merger transactions, (e) enter into, terminate or amend any charter, (f) amend GasLog’s shipbuilding contracts, (g) change the manager of GasLog’s ships, or (h) acquire assets, make investments or enter into any joint venture arrangements outside of the ordinary course of business.</w:t>
      </w:r>
    </w:p>
    <w:p>
      <w:pPr>
        <w:spacing w:after="0" w:line="178"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The GasLog and GasLog Partners guarantees to the Credit Agreements impose specified financial covenants that apply to GasLog and GasLog Partners and its subsidiaries on a consolidated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25" w:lineRule="exact"/>
        <w:rPr>
          <w:sz w:val="20"/>
          <w:szCs w:val="20"/>
          <w:color w:val="auto"/>
        </w:rPr>
      </w:pPr>
    </w:p>
    <w:p>
      <w:pPr>
        <w:ind w:left="1340" w:hanging="44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340" w:hanging="441"/>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p>
    <w:p>
      <w:pPr>
        <w:sectPr>
          <w:pgSz w:w="11900" w:h="16838" w:orient="portrait"/>
          <w:cols w:equalWidth="0" w:num="1">
            <w:col w:w="11420"/>
          </w:cols>
          <w:pgMar w:left="240" w:top="409" w:right="239" w:bottom="0" w:gutter="0" w:footer="0" w:header="0"/>
          <w:type w:val="continuous"/>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ind w:left="1008" w:right="480" w:hanging="441"/>
        <w:spacing w:after="0" w:line="258" w:lineRule="auto"/>
        <w:tabs>
          <w:tab w:leader="none" w:pos="10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guarantees (including interest and debt repayments) on a trailing 12 months basis must be not less than 110.0%;</w:t>
      </w:r>
    </w:p>
    <w:p>
      <w:pPr>
        <w:spacing w:after="0" w:line="1" w:lineRule="exact"/>
        <w:rPr>
          <w:rFonts w:ascii="Arial" w:cs="Arial" w:eastAsia="Arial" w:hAnsi="Arial"/>
          <w:sz w:val="18"/>
          <w:szCs w:val="18"/>
          <w:color w:val="auto"/>
        </w:rPr>
      </w:pPr>
    </w:p>
    <w:p>
      <w:pPr>
        <w:ind w:left="1008" w:right="300" w:hanging="441"/>
        <w:spacing w:after="0" w:line="250" w:lineRule="auto"/>
        <w:tabs>
          <w:tab w:leader="none" w:pos="10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$50,000 after the first drawdown;</w:t>
      </w:r>
    </w:p>
    <w:p>
      <w:pPr>
        <w:ind w:left="1008" w:right="580" w:hanging="441"/>
        <w:spacing w:after="0" w:line="281" w:lineRule="auto"/>
        <w:tabs>
          <w:tab w:leader="none" w:pos="10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6"/>
          <w:szCs w:val="16"/>
          <w:color w:val="auto"/>
        </w:rPr>
      </w:pPr>
    </w:p>
    <w:p>
      <w:pPr>
        <w:ind w:left="1008" w:hanging="441"/>
        <w:spacing w:after="0"/>
        <w:tabs>
          <w:tab w:leader="none" w:pos="10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11" w:lineRule="exact"/>
        <w:rPr>
          <w:sz w:val="20"/>
          <w:szCs w:val="20"/>
          <w:color w:val="auto"/>
        </w:rPr>
      </w:pPr>
    </w:p>
    <w:p>
      <w:pPr>
        <w:ind w:left="448"/>
        <w:spacing w:after="0"/>
        <w:rPr>
          <w:sz w:val="20"/>
          <w:szCs w:val="20"/>
          <w:color w:val="auto"/>
        </w:rPr>
      </w:pPr>
      <w:r>
        <w:rPr>
          <w:rFonts w:ascii="Arial" w:cs="Arial" w:eastAsia="Arial" w:hAnsi="Arial"/>
          <w:sz w:val="18"/>
          <w:szCs w:val="18"/>
          <w:color w:val="auto"/>
        </w:rPr>
        <w:t>The financial covenants that apply to GasLog Partners include the following:</w:t>
      </w:r>
    </w:p>
    <w:p>
      <w:pPr>
        <w:spacing w:after="0" w:line="225" w:lineRule="exact"/>
        <w:rPr>
          <w:sz w:val="20"/>
          <w:szCs w:val="20"/>
          <w:color w:val="auto"/>
        </w:rPr>
      </w:pPr>
    </w:p>
    <w:p>
      <w:pPr>
        <w:ind w:left="1008" w:right="420" w:hanging="441"/>
        <w:spacing w:after="0" w:line="258" w:lineRule="auto"/>
        <w:tabs>
          <w:tab w:leader="none" w:pos="10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$15,000;</w:t>
      </w:r>
    </w:p>
    <w:p>
      <w:pPr>
        <w:spacing w:after="0" w:line="1" w:lineRule="exact"/>
        <w:rPr>
          <w:rFonts w:ascii="Arial" w:cs="Arial" w:eastAsia="Arial" w:hAnsi="Arial"/>
          <w:sz w:val="18"/>
          <w:szCs w:val="18"/>
          <w:color w:val="auto"/>
        </w:rPr>
      </w:pPr>
    </w:p>
    <w:p>
      <w:pPr>
        <w:ind w:left="1008" w:hanging="441"/>
        <w:spacing w:after="0"/>
        <w:tabs>
          <w:tab w:leader="none" w:pos="10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9" w:lineRule="exact"/>
        <w:rPr>
          <w:rFonts w:ascii="Arial" w:cs="Arial" w:eastAsia="Arial" w:hAnsi="Arial"/>
          <w:sz w:val="18"/>
          <w:szCs w:val="18"/>
          <w:color w:val="auto"/>
        </w:rPr>
      </w:pPr>
    </w:p>
    <w:p>
      <w:pPr>
        <w:ind w:left="1008" w:right="200" w:hanging="441"/>
        <w:spacing w:after="0" w:line="250" w:lineRule="auto"/>
        <w:tabs>
          <w:tab w:leader="none" w:pos="10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GasLog Partners guarantees (including interest and debt repayments) on a trailing 12 months basis must be not less than 110.0%; and</w:t>
      </w:r>
    </w:p>
    <w:p>
      <w:pPr>
        <w:ind w:left="1008" w:hanging="441"/>
        <w:spacing w:after="0" w:line="261" w:lineRule="auto"/>
        <w:tabs>
          <w:tab w:leader="none" w:pos="10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GasLog Partners is permitted to declare or pay any dividends or distributions, subject to no event of default having occurred or occurring as a consequence of the payment of such dividends or distributions.</w:t>
      </w:r>
    </w:p>
    <w:p>
      <w:pPr>
        <w:spacing w:after="0" w:line="184" w:lineRule="exact"/>
        <w:rPr>
          <w:sz w:val="20"/>
          <w:szCs w:val="20"/>
          <w:color w:val="auto"/>
        </w:rPr>
      </w:pPr>
    </w:p>
    <w:p>
      <w:pPr>
        <w:ind w:left="328" w:right="80"/>
        <w:spacing w:after="0" w:line="259" w:lineRule="auto"/>
        <w:rPr>
          <w:sz w:val="20"/>
          <w:szCs w:val="20"/>
          <w:color w:val="auto"/>
        </w:rPr>
      </w:pPr>
      <w:r>
        <w:rPr>
          <w:rFonts w:ascii="Arial" w:cs="Arial" w:eastAsia="Arial" w:hAnsi="Arial"/>
          <w:sz w:val="18"/>
          <w:szCs w:val="18"/>
          <w:color w:val="auto"/>
        </w:rPr>
        <w:t>The Credit Agreements also impose certain restrictions relating to GasLog and GasLog Partners, and their other subsidiaries, including restrictions that limit GasLog’s and GasLog Partners’ ability to make any substantial change in the nature of GasLog’s or GasLog Partners’ business or to engage in transactions that would constitute a change of control, as defined in the Credit Agreements, without repaying all of GasLog’s and GasLog Partners’ indebtedness under the Credit Agreements in full.</w:t>
      </w:r>
    </w:p>
    <w:p>
      <w:pPr>
        <w:spacing w:after="0" w:line="187" w:lineRule="exact"/>
        <w:rPr>
          <w:sz w:val="20"/>
          <w:szCs w:val="20"/>
          <w:color w:val="auto"/>
        </w:rPr>
      </w:pPr>
    </w:p>
    <w:p>
      <w:pPr>
        <w:ind w:left="328" w:right="180"/>
        <w:spacing w:after="0" w:line="291" w:lineRule="auto"/>
        <w:rPr>
          <w:sz w:val="20"/>
          <w:szCs w:val="20"/>
          <w:color w:val="auto"/>
        </w:rPr>
      </w:pPr>
      <w:r>
        <w:rPr>
          <w:rFonts w:ascii="Arial" w:cs="Arial" w:eastAsia="Arial" w:hAnsi="Arial"/>
          <w:sz w:val="16"/>
          <w:szCs w:val="16"/>
          <w:color w:val="auto"/>
        </w:rPr>
        <w:t>The Credit Agreements contain customary events of default, including nonpayment of principal or interest, breach of covenants or material inaccuracy of representations, default under other material indebtedness and bankruptcy. In addition, they contain covenants requiring GasLog, GasLog Partners and certain of their subsidiaries to maintain the aggregate of (i) the market value, on a charter exclusive basis, of the mortgaged vessel or vessels and (ii) the market value of any additional security provided to the lenders, at not less than 115.0% until the maturity of the junior tranche, and 120.0% at any time thereafter, of the then outstanding amount under the applicable facility and any related swap exposure. If GasLog and GasLog Partners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67" w:lineRule="exact"/>
        <w:rPr>
          <w:sz w:val="20"/>
          <w:szCs w:val="20"/>
          <w:color w:val="auto"/>
        </w:rPr>
      </w:pPr>
    </w:p>
    <w:p>
      <w:pPr>
        <w:ind w:left="328" w:right="200" w:hanging="328"/>
        <w:spacing w:after="0" w:line="276" w:lineRule="auto"/>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On February 24, 2016, following the completion of the sale and leaseback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(Note 5), $162,500 was prepaid into the senior secured term loan facility of up to $325,000 with ABN Amro Bank N.V., Commonwealth Bank of Australia, Credit Agricole Corporate and Investment Bank, Deutsche Bank AG Filiale Deutschlandgeschäft, DNB Bank ASA, London Branch and ING Bank N.V., London Branch and $67,500 was prepaid into the subordinated term loan facility of up to $135,000 with ABN Amro Bank N.V., Credit Agricole Corporate and Investment Bank, Deutsche Bank AG Filiale Deutschlandgeschäft and DNB Bank ASA, London Branch.</w:t>
      </w:r>
    </w:p>
    <w:p>
      <w:pPr>
        <w:spacing w:after="0" w:line="172" w:lineRule="exact"/>
        <w:rPr>
          <w:rFonts w:ascii="Arial" w:cs="Arial" w:eastAsia="Arial" w:hAnsi="Arial"/>
          <w:sz w:val="17"/>
          <w:szCs w:val="17"/>
          <w:color w:val="auto"/>
        </w:rPr>
      </w:pPr>
    </w:p>
    <w:p>
      <w:pPr>
        <w:ind w:left="328" w:right="140" w:hanging="328"/>
        <w:spacing w:after="0" w:line="297" w:lineRule="auto"/>
        <w:tabs>
          <w:tab w:leader="none" w:pos="32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25, 2016, a supplemental deed was signed with the lenders of the GAS-eight Ltd., GAS-nine Ltd. and GAS-ten Ltd. loan facility, permitting GasLog to withdraw the $21,000 maintained in blocked accounts for each of GAS-nine Ltd. and GAS-ten Ltd., provided GasLog has an executed guarantee or letter of credit with a minimum duration of six months. In connection with this, on February 26, 2016, GasLog entered into two bank guarantees, issued by BNP Paribas S.A. for GAS-nine Ltd. and GAS-ten Ltd. of $21,000 each. The bank guarantees bear interest at a margin and are available for a period of up to two years. On July 26, 2016, the bank guarantees issued by BNP Paribas S.A. were terminated.</w:t>
      </w:r>
    </w:p>
    <w:p>
      <w:pPr>
        <w:spacing w:after="0" w:line="158" w:lineRule="exact"/>
        <w:rPr>
          <w:rFonts w:ascii="Arial" w:cs="Arial" w:eastAsia="Arial" w:hAnsi="Arial"/>
          <w:sz w:val="16"/>
          <w:szCs w:val="16"/>
          <w:color w:val="auto"/>
        </w:rPr>
      </w:pPr>
    </w:p>
    <w:p>
      <w:pPr>
        <w:ind w:left="328" w:hanging="328"/>
        <w:spacing w:after="0"/>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July 19, 2016, GasLog entered into a credit agreement to refinance the existing indebtedness on eight of its on-the-water vessels of up to</w:t>
      </w:r>
    </w:p>
    <w:p>
      <w:pPr>
        <w:spacing w:after="0" w:line="34" w:lineRule="exact"/>
        <w:rPr>
          <w:rFonts w:ascii="Arial" w:cs="Arial" w:eastAsia="Arial" w:hAnsi="Arial"/>
          <w:sz w:val="17"/>
          <w:szCs w:val="17"/>
          <w:color w:val="auto"/>
        </w:rPr>
      </w:pPr>
    </w:p>
    <w:p>
      <w:pPr>
        <w:ind w:left="328" w:right="8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$1,050,000 (the “Legacy Facility Re-financing”) with a number of international banks, extending the maturities of six existing credit facilities to 2021. The vessels covered by the Legacy Facility Re-financing are the </w:t>
      </w:r>
      <w:r>
        <w:rPr>
          <w:rFonts w:ascii="Arial" w:cs="Arial" w:eastAsia="Arial" w:hAnsi="Arial"/>
          <w:sz w:val="17"/>
          <w:szCs w:val="17"/>
          <w:i w:val="1"/>
          <w:iCs w:val="1"/>
          <w:color w:val="auto"/>
        </w:rPr>
        <w:t>GasLog Savannah</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Singapore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Skagen</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Seattle</w:t>
      </w:r>
      <w:r>
        <w:rPr>
          <w:rFonts w:ascii="Arial" w:cs="Arial" w:eastAsia="Arial" w:hAnsi="Arial"/>
          <w:sz w:val="17"/>
          <w:szCs w:val="17"/>
          <w:color w:val="auto"/>
        </w:rPr>
        <w:t>, the</w:t>
      </w:r>
      <w:r>
        <w:rPr>
          <w:rFonts w:ascii="Arial" w:cs="Arial" w:eastAsia="Arial" w:hAnsi="Arial"/>
          <w:sz w:val="17"/>
          <w:szCs w:val="17"/>
          <w:i w:val="1"/>
          <w:iCs w:val="1"/>
          <w:color w:val="auto"/>
        </w:rPr>
        <w:t xml:space="preserve"> Solaris</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Saratoga</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Salem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GasLog Chelsea</w:t>
      </w:r>
      <w:r>
        <w:rPr>
          <w:rFonts w:ascii="Arial" w:cs="Arial" w:eastAsia="Arial" w:hAnsi="Arial"/>
          <w:sz w:val="17"/>
          <w:szCs w:val="17"/>
          <w:color w:val="auto"/>
        </w:rPr>
        <w:t>. Citigroup Global Market Limited, Credit Suisse AG and</w:t>
      </w:r>
      <w:r>
        <w:rPr>
          <w:rFonts w:ascii="Arial" w:cs="Arial" w:eastAsia="Arial" w:hAnsi="Arial"/>
          <w:sz w:val="17"/>
          <w:szCs w:val="17"/>
          <w:i w:val="1"/>
          <w:iCs w:val="1"/>
          <w:color w:val="auto"/>
        </w:rPr>
        <w:t xml:space="preserve"> </w:t>
      </w:r>
      <w:r>
        <w:rPr>
          <w:rFonts w:ascii="Arial" w:cs="Arial" w:eastAsia="Arial" w:hAnsi="Arial"/>
          <w:sz w:val="17"/>
          <w:szCs w:val="17"/>
          <w:color w:val="auto"/>
        </w:rPr>
        <w:t>Nordea Bank AB were mandated lead arrangers to the transaction. The other banks in the syndicate are: Skandinaviska Enskilda Banken AB (publ), HSBC Bank Plc, ING Bank N.V., London Branch, Danmarks Skibskredit A/S, Korea Development Bank and DVB Bank America N.V. Nordea Bank AB, London Branch is the agent and security agent for the transaction.</w:t>
      </w:r>
    </w:p>
    <w:p>
      <w:pPr>
        <w:spacing w:after="0" w:line="178" w:lineRule="exact"/>
        <w:rPr>
          <w:rFonts w:ascii="Arial" w:cs="Arial" w:eastAsia="Arial" w:hAnsi="Arial"/>
          <w:sz w:val="17"/>
          <w:szCs w:val="17"/>
          <w:color w:val="auto"/>
        </w:rPr>
      </w:pPr>
    </w:p>
    <w:p>
      <w:pPr>
        <w:ind w:left="328" w:right="140"/>
        <w:spacing w:after="0" w:line="255" w:lineRule="auto"/>
        <w:rPr>
          <w:rFonts w:ascii="Arial" w:cs="Arial" w:eastAsia="Arial" w:hAnsi="Arial"/>
          <w:sz w:val="17"/>
          <w:szCs w:val="17"/>
          <w:color w:val="auto"/>
        </w:rPr>
      </w:pPr>
      <w:r>
        <w:rPr>
          <w:rFonts w:ascii="Arial" w:cs="Arial" w:eastAsia="Arial" w:hAnsi="Arial"/>
          <w:sz w:val="18"/>
          <w:szCs w:val="18"/>
          <w:color w:val="auto"/>
        </w:rPr>
        <w:t>The Legacy Facility Re-financing is comprised of a five-year term loan facility of up to $950,000 and a revolving credit facility of up to $100,000. On July 25, 2016, the available amount of $950,000 under the term loan facility and $11,641 under the revolving credit facility were drawn to refinance the aggregate existing indebtedness of $959,899 of GAS-one Ltd., GAS-two Ltd., GAS-six Ltd., GAS-seven Ltd., GAS-eight Ltd., GAS-nine Ltd., GAS-ten Ltd. and GAS-fifteen Ltd. The term loan facility amount shall be repaid in nine semi-annual installments of $29,167 each and a balloon repayment of $687,500 five years after drawdown, while the revolving credit facility available amounts can be drawn at any time until July 1, 2021. Amounts drawn bear interest at LIBOR plus a margin.</w:t>
      </w:r>
    </w:p>
    <w:p>
      <w:pPr>
        <w:spacing w:after="0" w:line="193" w:lineRule="exact"/>
        <w:rPr>
          <w:rFonts w:ascii="Arial" w:cs="Arial" w:eastAsia="Arial" w:hAnsi="Arial"/>
          <w:sz w:val="17"/>
          <w:szCs w:val="17"/>
          <w:color w:val="auto"/>
        </w:rPr>
      </w:pPr>
    </w:p>
    <w:p>
      <w:pPr>
        <w:ind w:left="328"/>
        <w:spacing w:after="0"/>
        <w:rPr>
          <w:rFonts w:ascii="Arial" w:cs="Arial" w:eastAsia="Arial" w:hAnsi="Arial"/>
          <w:sz w:val="17"/>
          <w:szCs w:val="17"/>
          <w:color w:val="auto"/>
        </w:rPr>
      </w:pPr>
      <w:r>
        <w:rPr>
          <w:rFonts w:ascii="Arial" w:cs="Arial" w:eastAsia="Arial" w:hAnsi="Arial"/>
          <w:sz w:val="18"/>
          <w:szCs w:val="18"/>
          <w:color w:val="auto"/>
        </w:rPr>
        <w:t>The credit agreement will be secured as follows:</w:t>
      </w:r>
    </w:p>
    <w:p>
      <w:pPr>
        <w:spacing w:after="0" w:line="225" w:lineRule="exact"/>
        <w:rPr>
          <w:rFonts w:ascii="Arial" w:cs="Arial" w:eastAsia="Arial" w:hAnsi="Arial"/>
          <w:sz w:val="17"/>
          <w:szCs w:val="17"/>
          <w:color w:val="auto"/>
        </w:rPr>
      </w:pPr>
    </w:p>
    <w:p>
      <w:pPr>
        <w:ind w:left="1128" w:hanging="439"/>
        <w:spacing w:after="0"/>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3" w:lineRule="exact"/>
        <w:rPr>
          <w:rFonts w:ascii="Arial" w:cs="Arial" w:eastAsia="Arial" w:hAnsi="Arial"/>
          <w:sz w:val="18"/>
          <w:szCs w:val="18"/>
          <w:color w:val="auto"/>
        </w:rPr>
      </w:pPr>
    </w:p>
    <w:p>
      <w:pPr>
        <w:ind w:left="1128" w:hanging="439"/>
        <w:spacing w:after="0"/>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guarantees from GasLog and GasLog Carriers;</w:t>
      </w:r>
    </w:p>
    <w:p>
      <w:pPr>
        <w:spacing w:after="0" w:line="9" w:lineRule="exact"/>
        <w:rPr>
          <w:rFonts w:ascii="Arial" w:cs="Arial" w:eastAsia="Arial" w:hAnsi="Arial"/>
          <w:sz w:val="18"/>
          <w:szCs w:val="18"/>
          <w:color w:val="auto"/>
        </w:rPr>
      </w:pPr>
    </w:p>
    <w:p>
      <w:pPr>
        <w:ind w:left="1128" w:hanging="439"/>
        <w:spacing w:after="0"/>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share security over the share capital of each of the respective borrowers; and</w:t>
      </w:r>
    </w:p>
    <w:p>
      <w:pPr>
        <w:spacing w:after="0" w:line="9" w:lineRule="exact"/>
        <w:rPr>
          <w:rFonts w:ascii="Arial" w:cs="Arial" w:eastAsia="Arial" w:hAnsi="Arial"/>
          <w:sz w:val="18"/>
          <w:szCs w:val="18"/>
          <w:color w:val="auto"/>
        </w:rPr>
      </w:pPr>
    </w:p>
    <w:p>
      <w:pPr>
        <w:ind w:left="1128" w:right="200" w:hanging="439"/>
        <w:spacing w:after="0" w:line="261" w:lineRule="auto"/>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first priority assignment of all earnings, excluding the vessels participating in the Cool Pool, and insurance related to the ships owned by the respective borrowers.</w:t>
      </w:r>
    </w:p>
    <w:p>
      <w:pPr>
        <w:spacing w:after="0" w:line="15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68"/>
          </w:cols>
          <w:pgMar w:left="572" w:top="409" w:right="259" w:bottom="1440" w:gutter="0" w:footer="0" w:header="0"/>
        </w:sectPr>
      </w:pPr>
    </w:p>
    <w:bookmarkStart w:id="39" w:name="page40"/>
    <w:bookmarkEnd w:id="39"/>
    <w:p>
      <w:pPr>
        <w:ind w:left="1020" w:right="40"/>
        <w:spacing w:after="0" w:line="297" w:lineRule="auto"/>
        <w:rPr>
          <w:sz w:val="20"/>
          <w:szCs w:val="20"/>
          <w:color w:val="auto"/>
        </w:rPr>
      </w:pPr>
      <w:r>
        <w:rPr>
          <w:rFonts w:ascii="Arial" w:cs="Arial" w:eastAsia="Arial" w:hAnsi="Arial"/>
          <w:sz w:val="16"/>
          <w:szCs w:val="16"/>
          <w:color w:val="auto"/>
        </w:rPr>
        <w:t>The Legacy Facility Re-financing imposes certain operating and financial restrictions on GasLog. These restrictions generally limit the Group’s ability to, among other things: (a) incur additional indebtedness, create liens or provide guarantees, (b) provide any form of credit or financial assistance to, or enter into any non-arms’ length transactions with any of the Group’s affiliates, (c) sell or otherwise dispose of assets, including GasLog’s ships, (d) engage in merger transactions, (e) enter into, terminate or amend any charter, (f) change the manager of our ships, (g) acquire assets, make investments or enter into any joint venture arrangements outside of the ordinary course of business.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Legacy Facility Re-financing also imposes specified financial covenants that apply to GasLog and its subsidiaries on a consolidated basis.</w:t>
      </w:r>
    </w:p>
    <w:p>
      <w:pPr>
        <w:spacing w:after="0" w:line="248" w:lineRule="exact"/>
        <w:rPr>
          <w:sz w:val="20"/>
          <w:szCs w:val="20"/>
          <w:color w:val="auto"/>
        </w:rPr>
      </w:pPr>
    </w:p>
    <w:p>
      <w:pPr>
        <w:ind w:left="1460" w:hanging="439"/>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460" w:hanging="439"/>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1460" w:hanging="439"/>
        <w:spacing w:after="0" w:line="250"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Legacy Facility Re-financing (including interest and debt repayments) on a trailing 12 months basis must be not less than 110.0%;</w:t>
      </w:r>
    </w:p>
    <w:p>
      <w:pPr>
        <w:ind w:left="1460" w:right="200" w:hanging="439"/>
        <w:spacing w:after="0" w:line="250"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 million;</w:t>
      </w:r>
    </w:p>
    <w:p>
      <w:pPr>
        <w:ind w:left="1460" w:right="480" w:hanging="439"/>
        <w:spacing w:after="0" w:line="281" w:lineRule="auto"/>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6"/>
          <w:szCs w:val="16"/>
          <w:color w:val="auto"/>
        </w:rPr>
      </w:pPr>
    </w:p>
    <w:p>
      <w:pPr>
        <w:ind w:left="1460" w:hanging="439"/>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11" w:lineRule="exact"/>
        <w:rPr>
          <w:sz w:val="20"/>
          <w:szCs w:val="20"/>
          <w:color w:val="auto"/>
        </w:rPr>
      </w:pPr>
    </w:p>
    <w:p>
      <w:pPr>
        <w:jc w:val="both"/>
        <w:ind w:left="1020" w:right="60"/>
        <w:spacing w:after="0" w:line="259" w:lineRule="auto"/>
        <w:rPr>
          <w:sz w:val="20"/>
          <w:szCs w:val="20"/>
          <w:color w:val="auto"/>
        </w:rPr>
      </w:pPr>
      <w:r>
        <w:rPr>
          <w:rFonts w:ascii="Arial" w:cs="Arial" w:eastAsia="Arial" w:hAnsi="Arial"/>
          <w:sz w:val="18"/>
          <w:szCs w:val="18"/>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all of GasLog’s indebtedness under the Legacy Facility Re-financing in full.</w:t>
      </w:r>
    </w:p>
    <w:p>
      <w:pPr>
        <w:spacing w:after="0" w:line="187" w:lineRule="exact"/>
        <w:rPr>
          <w:sz w:val="20"/>
          <w:szCs w:val="20"/>
          <w:color w:val="auto"/>
        </w:rPr>
      </w:pPr>
    </w:p>
    <w:p>
      <w:pPr>
        <w:ind w:left="1020" w:right="40"/>
        <w:spacing w:after="0" w:line="272" w:lineRule="auto"/>
        <w:rPr>
          <w:sz w:val="20"/>
          <w:szCs w:val="20"/>
          <w:color w:val="auto"/>
        </w:rPr>
      </w:pPr>
      <w:r>
        <w:rPr>
          <w:rFonts w:ascii="Arial" w:cs="Arial" w:eastAsia="Arial" w:hAnsi="Arial"/>
          <w:sz w:val="17"/>
          <w:szCs w:val="17"/>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we fail to comply with these covenants and are not able to obtain covenant waivers or modifications, the lenders could require us to make prepayments or provide additional collateral sufficient to bring us into compliance with such covenants, and if we fail to do so our lenders could accelerate our indebtedness.</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carrying amount of the Group’s bank debt recognized in the unaudited condensed consolidated financial statements approximates its fair value after adjusting for the unamortized loan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main terms of the Group’s senior unsecured bonds have been disclosed in the annual audited consolidated financial statements for the year ended December 31, 2015. Refer to Note 12 “Borrowings”.</w:t>
      </w:r>
    </w:p>
    <w:p>
      <w:pPr>
        <w:spacing w:after="0" w:line="170"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On June 27, 2016, GasLog completed the issuance of NOK 750,000 (equivalent to $90,150) of new senior unsecured bonds in the Norwegian bond market (the “New Bond”). The New Bond will mature in May 2021 and will have a coupon of 6.9% over 3 month NIBOR. The proceeds from the issuance were used to partly refinance GasLog’s existing bonds maturing in June 2018. Simultaneously with the issuance of the New Bond, GasLog re-purchased and cancelled GasLog’s NOK 588,000 of bonds from a total NOK 1,000,000 of bonds issued in June 27, 2013 and May 2, 2014 at a price of 103% of par value.</w:t>
      </w:r>
    </w:p>
    <w:p>
      <w:pPr>
        <w:spacing w:after="0" w:line="15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New Bond bears interest at NIBOR plus margin. Interest payments shall be made in arrears on a quarterly basis. GasLog may redeem the New Bond in whole or in part as follows: (a) with settlement date at any time from June 27, 2019 to but not including June 27, 2020 at 104.00% of par plus accrued interest on redeemed amount, (b) with settlement date at any time from June 27, 2020 to but not including December 27, 2020 at 102.50% of par plus accrued interest on redeemed amount, and (c) with settlement date at any time from December 27, 2020 to but not including the maturity date at 101.00% of par plus accrued interests on redeemed amount.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 as issuer of the New Bond is required to comply with financial covenants which include the following:</w:t>
      </w:r>
    </w:p>
    <w:p>
      <w:pPr>
        <w:spacing w:after="0" w:line="225" w:lineRule="exact"/>
        <w:rPr>
          <w:sz w:val="20"/>
          <w:szCs w:val="20"/>
          <w:color w:val="auto"/>
        </w:rPr>
      </w:pPr>
    </w:p>
    <w:p>
      <w:pPr>
        <w:ind w:left="780" w:hanging="44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w:t>
      </w:r>
    </w:p>
    <w:p>
      <w:pPr>
        <w:spacing w:after="0" w:line="225" w:lineRule="exact"/>
        <w:rPr>
          <w:rFonts w:ascii="Arial" w:cs="Arial" w:eastAsia="Arial" w:hAnsi="Arial"/>
          <w:sz w:val="18"/>
          <w:szCs w:val="18"/>
          <w:color w:val="auto"/>
        </w:rPr>
      </w:pPr>
    </w:p>
    <w:p>
      <w:pPr>
        <w:ind w:left="780" w:right="220" w:hanging="448"/>
        <w:spacing w:after="0" w:line="27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New Bond (including interest and debt repayments) on a trailing four quarter basis must be not less than 110%;</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amount of all unencumbered cash and cash equivalents must be not less than the higher of 3% of total indebtedness or $50,000;</w:t>
      </w:r>
    </w:p>
    <w:p>
      <w:pPr>
        <w:spacing w:after="0" w:line="248" w:lineRule="exact"/>
        <w:rPr>
          <w:rFonts w:ascii="Arial" w:cs="Arial" w:eastAsia="Arial" w:hAnsi="Arial"/>
          <w:sz w:val="16"/>
          <w:szCs w:val="16"/>
          <w:color w:val="auto"/>
        </w:rPr>
      </w:pPr>
    </w:p>
    <w:p>
      <w:pPr>
        <w:ind w:left="780" w:hanging="448"/>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$350,000.</w:t>
      </w:r>
    </w:p>
    <w:p>
      <w:pPr>
        <w:sectPr>
          <w:pgSz w:w="11900" w:h="16838" w:orient="portrait"/>
          <w:cols w:equalWidth="0" w:num="1">
            <w:col w:w="11420"/>
          </w:cols>
          <w:pgMar w:left="240" w:top="40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40" w:name="page41"/>
    <w:bookmarkEnd w:id="40"/>
    <w:p>
      <w:pPr>
        <w:ind w:right="40" w:firstLine="324"/>
        <w:spacing w:after="0" w:line="288" w:lineRule="auto"/>
        <w:rPr>
          <w:sz w:val="20"/>
          <w:szCs w:val="20"/>
          <w:color w:val="auto"/>
        </w:rPr>
      </w:pPr>
      <w:r>
        <w:rPr>
          <w:rFonts w:ascii="Arial" w:cs="Arial" w:eastAsia="Arial" w:hAnsi="Arial"/>
          <w:sz w:val="16"/>
          <w:szCs w:val="16"/>
          <w:color w:val="auto"/>
        </w:rPr>
        <w:t>In addition, the New Bond agreement includes a dividend restriction according to which the Group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50% of the Group’s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the Group shall not include any profits related to the sale of assets (and consequently any such profits related to such assets shall not form the basis for Distributions). Under the New Bond agreement (a) GasLog is permitted to make Distributions up to a maximum amount per share per annum for the years 2016, 2017, 2018, 2019, 2020 and 2021 of $1.00/share, $1.10/share, $1.10/share, $1.20/share, $1.20/share and $1.20/share, respectively, provided that GasLog can demonstrate by delivering a compliance certificate to the Bond Trustee that no event of default is continuing or would result from such Distributions.</w:t>
      </w:r>
    </w:p>
    <w:p>
      <w:pPr>
        <w:spacing w:after="0" w:line="16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carrying amount of the bonds, net of unamortized financing costs and unamortized premium, as of September 30, 2016 is $143,182 (December 31, 2015: $112,185) while their aggregate fair value is $148,054 based on a USD/NOK exchange rate of 0.1242 as of September 30, 2016.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Group was in compliance with the covenants under both the existing NOK bond agreement and the New Bond as of September 30,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Group has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Dividends receivable and due from related parties</w:t>
            </w: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20" w:type="dxa"/>
            <w:vAlign w:val="bottom"/>
          </w:tcPr>
          <w:p>
            <w:pPr>
              <w:spacing w:after="0"/>
              <w:rPr>
                <w:sz w:val="24"/>
                <w:szCs w:val="24"/>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7220" w:type="dxa"/>
            <w:vAlign w:val="bottom"/>
            <w:tcBorders>
              <w:bottom w:val="single" w:sz="8" w:color="E5FF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Borders>
              <w:bottom w:val="single" w:sz="8" w:color="E5FF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receivable from associate</w:t>
            </w: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925</w:t>
            </w:r>
          </w:p>
        </w:tc>
        <w:tc>
          <w:tcPr>
            <w:tcW w:w="440" w:type="dxa"/>
            <w:vAlign w:val="bottom"/>
            <w:shd w:val="clear" w:color="auto" w:fill="E5FFFF"/>
          </w:tcPr>
          <w:p>
            <w:pPr>
              <w:spacing w:after="0"/>
              <w:rPr>
                <w:sz w:val="18"/>
                <w:szCs w:val="18"/>
                <w:color w:val="auto"/>
              </w:rPr>
            </w:pPr>
          </w:p>
        </w:tc>
        <w:tc>
          <w:tcPr>
            <w:tcW w:w="1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Due from the Cool Pool</w:t>
            </w:r>
          </w:p>
        </w:tc>
        <w:tc>
          <w:tcPr>
            <w:tcW w:w="2280" w:type="dxa"/>
            <w:vAlign w:val="bottom"/>
            <w:gridSpan w:val="2"/>
          </w:tcPr>
          <w:p>
            <w:pPr>
              <w:jc w:val="right"/>
              <w:ind w:right="440"/>
              <w:spacing w:after="0"/>
              <w:rPr>
                <w:sz w:val="20"/>
                <w:szCs w:val="20"/>
                <w:color w:val="auto"/>
              </w:rPr>
            </w:pPr>
            <w:r>
              <w:rPr>
                <w:rFonts w:ascii="Arial" w:cs="Arial" w:eastAsia="Arial" w:hAnsi="Arial"/>
                <w:sz w:val="18"/>
                <w:szCs w:val="18"/>
                <w:color w:val="auto"/>
              </w:rPr>
              <w:t>249</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0"/>
        </w:trPr>
        <w:tc>
          <w:tcPr>
            <w:tcW w:w="7220" w:type="dxa"/>
            <w:vAlign w:val="bottom"/>
            <w:shd w:val="clear" w:color="auto" w:fill="E5FFFF"/>
          </w:tcPr>
          <w:p>
            <w:pPr>
              <w:spacing w:after="0"/>
              <w:rPr>
                <w:sz w:val="20"/>
                <w:szCs w:val="20"/>
                <w:color w:val="auto"/>
              </w:rPr>
            </w:pPr>
            <w:r>
              <w:rPr>
                <w:rFonts w:ascii="Arial" w:cs="Arial" w:eastAsia="Arial" w:hAnsi="Arial"/>
                <w:sz w:val="18"/>
                <w:szCs w:val="18"/>
                <w:color w:val="auto"/>
              </w:rPr>
              <w:t>Other receivables</w:t>
            </w:r>
          </w:p>
        </w:tc>
        <w:tc>
          <w:tcPr>
            <w:tcW w:w="22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171</w:t>
            </w:r>
          </w:p>
        </w:tc>
        <w:tc>
          <w:tcPr>
            <w:tcW w:w="1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w:t>
            </w:r>
          </w:p>
        </w:tc>
        <w:tc>
          <w:tcPr>
            <w:tcW w:w="4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20" w:type="dxa"/>
            <w:vAlign w:val="bottom"/>
          </w:tcPr>
          <w:p>
            <w:pPr>
              <w:spacing w:after="0"/>
              <w:rPr>
                <w:sz w:val="24"/>
                <w:szCs w:val="24"/>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7220" w:type="dxa"/>
            <w:vAlign w:val="bottom"/>
            <w:tcBorders>
              <w:bottom w:val="single" w:sz="8" w:color="E5FF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Borders>
              <w:bottom w:val="single" w:sz="8" w:color="E5FF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E5FFFF"/>
          </w:tcPr>
          <w:p>
            <w:pPr>
              <w:spacing w:after="0"/>
              <w:rPr>
                <w:sz w:val="18"/>
                <w:szCs w:val="18"/>
                <w:color w:val="auto"/>
              </w:rPr>
            </w:pPr>
          </w:p>
        </w:tc>
        <w:tc>
          <w:tcPr>
            <w:tcW w:w="1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280" w:type="dxa"/>
            <w:vAlign w:val="bottom"/>
            <w:gridSpan w:val="2"/>
          </w:tcPr>
          <w:p>
            <w:pPr>
              <w:jc w:val="right"/>
              <w:ind w:right="440"/>
              <w:spacing w:after="0"/>
              <w:rPr>
                <w:sz w:val="20"/>
                <w:szCs w:val="20"/>
                <w:color w:val="auto"/>
              </w:rPr>
            </w:pPr>
            <w:r>
              <w:rPr>
                <w:rFonts w:ascii="Arial" w:cs="Arial" w:eastAsia="Arial" w:hAnsi="Arial"/>
                <w:sz w:val="18"/>
                <w:szCs w:val="18"/>
                <w:color w:val="auto"/>
              </w:rPr>
              <w:t>163</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Ship management creditors’ liability as of December 31, 2015 comprises cash collected from Egypt LNG Shipping Ltd. to cover the obligations of its vessel under the Group’s management.</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Amounts due to related parties of $21 as of September 30, 2016 (December 31, 2015: $163) represent payables to other related parties for the office lease and other operating expenses.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connection with the aforementioned sale and leaseback transaction (Note 5), GasLog entered into a consulting agreement with Unisea Maritime Ltd., an affiliate of Ceres Shipping, under the terms of which GasLog agreed to pay a brokerage commission fee equal to 0.25% of the agreed charter rates under the sale and leaseback transaction plus reasonable expenses (incurred in line with the Group policies). The brokerage commission fee of $430 was paid in advance for the full 20-year period of the bareboat charter.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General and Administrative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520" w:type="dxa"/>
            <w:vAlign w:val="bottom"/>
            <w:gridSpan w:val="4"/>
          </w:tcPr>
          <w:p>
            <w:pPr>
              <w:ind w:left="480"/>
              <w:spacing w:after="0"/>
              <w:rPr>
                <w:sz w:val="20"/>
                <w:szCs w:val="20"/>
                <w:color w:val="auto"/>
              </w:rPr>
            </w:pPr>
            <w:r>
              <w:rPr>
                <w:rFonts w:ascii="Arial" w:cs="Arial" w:eastAsia="Arial" w:hAnsi="Arial"/>
                <w:sz w:val="18"/>
                <w:szCs w:val="18"/>
                <w:b w:val="1"/>
                <w:bCs w:val="1"/>
                <w:color w:val="auto"/>
              </w:rPr>
              <w:t>For the three months ended</w:t>
            </w:r>
          </w:p>
        </w:tc>
        <w:tc>
          <w:tcPr>
            <w:tcW w:w="3140" w:type="dxa"/>
            <w:vAlign w:val="bottom"/>
            <w:gridSpan w:val="4"/>
          </w:tcPr>
          <w:p>
            <w:pPr>
              <w:ind w:left="480"/>
              <w:spacing w:after="0"/>
              <w:rPr>
                <w:sz w:val="20"/>
                <w:szCs w:val="20"/>
                <w:color w:val="auto"/>
              </w:rPr>
            </w:pPr>
            <w:r>
              <w:rPr>
                <w:rFonts w:ascii="Arial" w:cs="Arial" w:eastAsia="Arial" w:hAnsi="Arial"/>
                <w:sz w:val="18"/>
                <w:szCs w:val="18"/>
                <w:b w:val="1"/>
                <w:bCs w:val="1"/>
                <w:color w:val="auto"/>
              </w:rPr>
              <w:t>For the nine months ended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September 30,</w:t>
            </w:r>
          </w:p>
        </w:tc>
        <w:tc>
          <w:tcPr>
            <w:tcW w:w="4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September 30,</w:t>
            </w: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340" w:type="dxa"/>
            <w:vAlign w:val="bottom"/>
          </w:tcPr>
          <w:p>
            <w:pPr>
              <w:ind w:left="480"/>
              <w:spacing w:after="0"/>
              <w:rPr>
                <w:sz w:val="20"/>
                <w:szCs w:val="20"/>
                <w:color w:val="auto"/>
              </w:rPr>
            </w:pPr>
            <w:r>
              <w:rPr>
                <w:rFonts w:ascii="Arial" w:cs="Arial" w:eastAsia="Arial" w:hAnsi="Arial"/>
                <w:sz w:val="18"/>
                <w:szCs w:val="18"/>
                <w:b w:val="1"/>
                <w:bCs w:val="1"/>
                <w:color w:val="auto"/>
              </w:rPr>
              <w:t>2015</w:t>
            </w:r>
          </w:p>
        </w:tc>
        <w:tc>
          <w:tcPr>
            <w:tcW w:w="17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Employee costs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4,020</w:t>
            </w:r>
          </w:p>
        </w:tc>
        <w:tc>
          <w:tcPr>
            <w:tcW w:w="42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3,971</w:t>
            </w:r>
          </w:p>
        </w:tc>
        <w:tc>
          <w:tcPr>
            <w:tcW w:w="4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12,741</w:t>
            </w:r>
          </w:p>
        </w:tc>
        <w:tc>
          <w:tcPr>
            <w:tcW w:w="4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Borders>
              <w:top w:val="single" w:sz="8" w:color="E5FFFF"/>
            </w:tcBorders>
            <w:shd w:val="clear" w:color="auto" w:fill="E5FF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1340" w:type="dxa"/>
            <w:vAlign w:val="bottom"/>
          </w:tcPr>
          <w:p>
            <w:pPr>
              <w:jc w:val="right"/>
              <w:spacing w:after="0"/>
              <w:rPr>
                <w:sz w:val="20"/>
                <w:szCs w:val="20"/>
                <w:color w:val="auto"/>
              </w:rPr>
            </w:pPr>
            <w:r>
              <w:rPr>
                <w:rFonts w:ascii="Arial" w:cs="Arial" w:eastAsia="Arial" w:hAnsi="Arial"/>
                <w:sz w:val="18"/>
                <w:szCs w:val="18"/>
                <w:color w:val="auto"/>
              </w:rPr>
              <w:t>592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1,847</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785</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1,035</w:t>
            </w:r>
          </w:p>
        </w:tc>
        <w:tc>
          <w:tcPr>
            <w:tcW w:w="40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2,059</w:t>
            </w:r>
          </w:p>
        </w:tc>
        <w:tc>
          <w:tcPr>
            <w:tcW w:w="40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E5FF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Rent and utilities</w:t>
            </w:r>
          </w:p>
        </w:tc>
        <w:tc>
          <w:tcPr>
            <w:tcW w:w="1340" w:type="dxa"/>
            <w:vAlign w:val="bottom"/>
          </w:tcPr>
          <w:p>
            <w:pPr>
              <w:jc w:val="right"/>
              <w:spacing w:after="0"/>
              <w:rPr>
                <w:sz w:val="20"/>
                <w:szCs w:val="20"/>
                <w:color w:val="auto"/>
              </w:rPr>
            </w:pPr>
            <w:r>
              <w:rPr>
                <w:rFonts w:ascii="Arial" w:cs="Arial" w:eastAsia="Arial" w:hAnsi="Arial"/>
                <w:sz w:val="18"/>
                <w:szCs w:val="18"/>
                <w:color w:val="auto"/>
              </w:rPr>
              <w:t>572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1,633</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8"/>
                <w:szCs w:val="18"/>
                <w:color w:val="auto"/>
              </w:rPr>
              <w:t>Travel and accommodation</w:t>
            </w:r>
          </w:p>
        </w:tc>
        <w:tc>
          <w:tcPr>
            <w:tcW w:w="1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476</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435</w:t>
            </w:r>
          </w:p>
        </w:tc>
        <w:tc>
          <w:tcPr>
            <w:tcW w:w="40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1,512</w:t>
            </w:r>
          </w:p>
        </w:tc>
        <w:tc>
          <w:tcPr>
            <w:tcW w:w="40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E5FF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340" w:type="dxa"/>
            <w:vAlign w:val="bottom"/>
          </w:tcPr>
          <w:p>
            <w:pPr>
              <w:jc w:val="right"/>
              <w:spacing w:after="0"/>
              <w:rPr>
                <w:sz w:val="20"/>
                <w:szCs w:val="20"/>
                <w:color w:val="auto"/>
              </w:rPr>
            </w:pPr>
            <w:r>
              <w:rPr>
                <w:rFonts w:ascii="Arial" w:cs="Arial" w:eastAsia="Arial" w:hAnsi="Arial"/>
                <w:sz w:val="18"/>
                <w:szCs w:val="18"/>
                <w:color w:val="auto"/>
              </w:rPr>
              <w:t>3,990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1,829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8,911</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differences, net</w:t>
            </w:r>
          </w:p>
        </w:tc>
        <w:tc>
          <w:tcPr>
            <w:tcW w:w="1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119</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E5FFFF"/>
          </w:tcPr>
          <w:p>
            <w:pPr>
              <w:spacing w:after="0"/>
              <w:rPr>
                <w:sz w:val="18"/>
                <w:szCs w:val="18"/>
                <w:color w:val="auto"/>
              </w:rPr>
            </w:pPr>
          </w:p>
        </w:tc>
        <w:tc>
          <w:tcPr>
            <w:tcW w:w="17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(141)</w:t>
            </w: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E5FF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expenses</w:t>
            </w: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1,836</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10,900</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9,273</w:t>
            </w: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30,398</w:t>
            </w:r>
          </w:p>
        </w:tc>
        <w:tc>
          <w:tcPr>
            <w:tcW w:w="400" w:type="dxa"/>
            <w:vAlign w:val="bottom"/>
            <w:tcBorders>
              <w:top w:val="single" w:sz="8" w:color="E5FFFF"/>
              <w:bottom w:val="single" w:sz="8" w:color="E5FFFF"/>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28,362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auto"/>
              </w:rPr>
              <w:t>F-14</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580" w:type="dxa"/>
            <w:vAlign w:val="bottom"/>
            <w:tcBorders>
              <w:bottom w:val="single" w:sz="8" w:color="C0C0C0"/>
            </w:tcBorders>
          </w:tcPr>
          <w:p>
            <w:pPr>
              <w:spacing w:after="0"/>
              <w:rPr>
                <w:sz w:val="21"/>
                <w:szCs w:val="21"/>
                <w:color w:val="auto"/>
              </w:rPr>
            </w:pPr>
          </w:p>
        </w:tc>
        <w:tc>
          <w:tcPr>
            <w:tcW w:w="362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143"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9. Other Payables and Accruals</w:t>
            </w: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An analysis of other payables and accruals is as follows:</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21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440" w:type="dxa"/>
            <w:vAlign w:val="bottom"/>
            <w:tcBorders>
              <w:bottom w:val="single" w:sz="8" w:color="E5FF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E5FFFF"/>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r>
      <w:tr>
        <w:trPr>
          <w:trHeight w:val="21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Social contributions</w:t>
            </w:r>
          </w:p>
        </w:tc>
        <w:tc>
          <w:tcPr>
            <w:tcW w:w="1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1,085</w:t>
            </w:r>
          </w:p>
        </w:tc>
        <w:tc>
          <w:tcPr>
            <w:tcW w:w="460" w:type="dxa"/>
            <w:vAlign w:val="bottom"/>
            <w:shd w:val="clear" w:color="auto" w:fill="E5FFFF"/>
          </w:tcPr>
          <w:p>
            <w:pPr>
              <w:spacing w:after="0"/>
              <w:rPr>
                <w:sz w:val="18"/>
                <w:szCs w:val="18"/>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E5FF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Unearned revenue</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30,159</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32,447</w:t>
            </w: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legal and professional fees</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1,030</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1,125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593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employee costs</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4,955</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5,469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off-hire</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3,781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3,765</w:t>
            </w: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5,244</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5,191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purchases</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6,207</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3,165</w:t>
            </w: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financing costs</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76</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1,145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interest</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7,713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16,621</w:t>
            </w: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brokerage commission on vessels’ acquisition</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4,600</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payable to charterers</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560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5,099</w:t>
            </w: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payable to shipyard</w:t>
            </w:r>
          </w:p>
        </w:tc>
        <w:tc>
          <w:tcPr>
            <w:tcW w:w="218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9,350</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accruals</w:t>
            </w:r>
          </w:p>
        </w:tc>
        <w:tc>
          <w:tcPr>
            <w:tcW w:w="2180" w:type="dxa"/>
            <w:vAlign w:val="bottom"/>
            <w:gridSpan w:val="2"/>
          </w:tcPr>
          <w:p>
            <w:pPr>
              <w:jc w:val="right"/>
              <w:ind w:right="460"/>
              <w:spacing w:after="0"/>
              <w:rPr>
                <w:sz w:val="20"/>
                <w:szCs w:val="20"/>
                <w:color w:val="auto"/>
              </w:rPr>
            </w:pPr>
            <w:r>
              <w:rPr>
                <w:rFonts w:ascii="Arial" w:cs="Arial" w:eastAsia="Arial" w:hAnsi="Arial"/>
                <w:sz w:val="18"/>
                <w:szCs w:val="18"/>
                <w:color w:val="auto"/>
              </w:rPr>
              <w:t>1,081</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67,084</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85,646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 and Preferred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September 30, 2016, the share capital consisted of 80,553,238 issued and outstanding common shares, par value $0.01 per share, 439,888 treasury shares and 4,600,000 preference shares. The movements in the number of shares, the share capital, the preferred stock, the contributed surplus and the treasury shares are reported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Number of Shares</w:t>
            </w:r>
          </w:p>
        </w:tc>
        <w:tc>
          <w:tcPr>
            <w:tcW w:w="12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Amounts</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4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124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124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Contributed</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Treasury</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common shares</w:t>
            </w: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treasury shares</w:t>
            </w: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Preference Shares</w:t>
            </w:r>
          </w:p>
        </w:tc>
        <w:tc>
          <w:tcPr>
            <w:tcW w:w="1240" w:type="dxa"/>
            <w:vAlign w:val="bottom"/>
            <w:gridSpan w:val="2"/>
            <w:vMerge w:val="continue"/>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surplus</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2"/>
        </w:trPr>
        <w:tc>
          <w:tcPr>
            <w:tcW w:w="2980" w:type="dxa"/>
            <w:vAlign w:val="bottom"/>
            <w:tcBorders>
              <w:top w:val="single" w:sz="8" w:color="E5FFFF"/>
            </w:tcBorders>
            <w:shd w:val="clear" w:color="auto" w:fill="E5FFFF"/>
          </w:tcPr>
          <w:p>
            <w:pPr>
              <w:spacing w:after="0" w:line="142" w:lineRule="exact"/>
              <w:rPr>
                <w:sz w:val="20"/>
                <w:szCs w:val="20"/>
                <w:color w:val="auto"/>
              </w:rPr>
            </w:pPr>
            <w:r>
              <w:rPr>
                <w:rFonts w:ascii="Arial" w:cs="Arial" w:eastAsia="Arial" w:hAnsi="Arial"/>
                <w:sz w:val="14"/>
                <w:szCs w:val="14"/>
                <w:b w:val="1"/>
                <w:bCs w:val="1"/>
                <w:color w:val="auto"/>
              </w:rPr>
              <w:t>Outstanding as of January 1, 2016</w:t>
            </w:r>
          </w:p>
        </w:tc>
        <w:tc>
          <w:tcPr>
            <w:tcW w:w="10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80,496,499</w:t>
            </w:r>
          </w:p>
        </w:tc>
        <w:tc>
          <w:tcPr>
            <w:tcW w:w="360" w:type="dxa"/>
            <w:vAlign w:val="bottom"/>
            <w:tcBorders>
              <w:top w:val="single" w:sz="8" w:color="E5FFFF"/>
            </w:tcBorders>
            <w:shd w:val="clear" w:color="auto" w:fill="E5FFFF"/>
          </w:tcPr>
          <w:p>
            <w:pPr>
              <w:spacing w:after="0"/>
              <w:rPr>
                <w:sz w:val="12"/>
                <w:szCs w:val="12"/>
                <w:color w:val="auto"/>
              </w:rPr>
            </w:pPr>
          </w:p>
        </w:tc>
        <w:tc>
          <w:tcPr>
            <w:tcW w:w="10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496,627</w:t>
            </w:r>
          </w:p>
        </w:tc>
        <w:tc>
          <w:tcPr>
            <w:tcW w:w="340" w:type="dxa"/>
            <w:vAlign w:val="bottom"/>
            <w:tcBorders>
              <w:top w:val="single" w:sz="8" w:color="E5FFFF"/>
            </w:tcBorders>
            <w:shd w:val="clear" w:color="auto" w:fill="E5FFFF"/>
          </w:tcPr>
          <w:p>
            <w:pPr>
              <w:spacing w:after="0"/>
              <w:rPr>
                <w:sz w:val="12"/>
                <w:szCs w:val="12"/>
                <w:color w:val="auto"/>
              </w:rPr>
            </w:pPr>
          </w:p>
        </w:tc>
        <w:tc>
          <w:tcPr>
            <w:tcW w:w="124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4,600,000</w:t>
            </w:r>
          </w:p>
        </w:tc>
        <w:tc>
          <w:tcPr>
            <w:tcW w:w="320" w:type="dxa"/>
            <w:vAlign w:val="bottom"/>
            <w:tcBorders>
              <w:top w:val="single" w:sz="8" w:color="E5FFFF"/>
            </w:tcBorders>
            <w:shd w:val="clear" w:color="auto" w:fill="E5FFFF"/>
          </w:tcPr>
          <w:p>
            <w:pPr>
              <w:spacing w:after="0"/>
              <w:rPr>
                <w:sz w:val="12"/>
                <w:szCs w:val="12"/>
                <w:color w:val="auto"/>
              </w:rPr>
            </w:pPr>
          </w:p>
        </w:tc>
        <w:tc>
          <w:tcPr>
            <w:tcW w:w="92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320" w:type="dxa"/>
            <w:vAlign w:val="bottom"/>
            <w:tcBorders>
              <w:top w:val="single" w:sz="8" w:color="E5FFFF"/>
            </w:tcBorders>
            <w:shd w:val="clear" w:color="auto" w:fill="E5FFFF"/>
          </w:tcPr>
          <w:p>
            <w:pPr>
              <w:spacing w:after="0"/>
              <w:rPr>
                <w:sz w:val="12"/>
                <w:szCs w:val="12"/>
                <w:color w:val="auto"/>
              </w:rPr>
            </w:pPr>
          </w:p>
        </w:tc>
        <w:tc>
          <w:tcPr>
            <w:tcW w:w="6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60" w:type="dxa"/>
            <w:vAlign w:val="bottom"/>
            <w:tcBorders>
              <w:top w:val="single" w:sz="8" w:color="E5FFFF"/>
            </w:tcBorders>
            <w:shd w:val="clear" w:color="auto" w:fill="E5FFFF"/>
          </w:tcPr>
          <w:p>
            <w:pPr>
              <w:spacing w:after="0"/>
              <w:rPr>
                <w:sz w:val="12"/>
                <w:szCs w:val="12"/>
                <w:color w:val="auto"/>
              </w:rPr>
            </w:pPr>
          </w:p>
        </w:tc>
        <w:tc>
          <w:tcPr>
            <w:tcW w:w="160" w:type="dxa"/>
            <w:vAlign w:val="bottom"/>
            <w:tcBorders>
              <w:top w:val="single" w:sz="8" w:color="E5FFFF"/>
            </w:tcBorders>
            <w:shd w:val="clear" w:color="auto" w:fill="E5FFFF"/>
          </w:tcPr>
          <w:p>
            <w:pPr>
              <w:spacing w:after="0"/>
              <w:rPr>
                <w:sz w:val="12"/>
                <w:szCs w:val="12"/>
                <w:color w:val="auto"/>
              </w:rPr>
            </w:pPr>
          </w:p>
        </w:tc>
        <w:tc>
          <w:tcPr>
            <w:tcW w:w="76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1,020,292</w:t>
            </w:r>
          </w:p>
        </w:tc>
        <w:tc>
          <w:tcPr>
            <w:tcW w:w="320" w:type="dxa"/>
            <w:vAlign w:val="bottom"/>
            <w:tcBorders>
              <w:top w:val="single" w:sz="8" w:color="E5FFFF"/>
            </w:tcBorders>
            <w:shd w:val="clear" w:color="auto" w:fill="E5FFFF"/>
          </w:tcPr>
          <w:p>
            <w:pPr>
              <w:spacing w:after="0"/>
              <w:rPr>
                <w:sz w:val="12"/>
                <w:szCs w:val="12"/>
                <w:color w:val="auto"/>
              </w:rPr>
            </w:pPr>
          </w:p>
        </w:tc>
        <w:tc>
          <w:tcPr>
            <w:tcW w:w="680" w:type="dxa"/>
            <w:vAlign w:val="bottom"/>
            <w:tcBorders>
              <w:top w:val="single" w:sz="8" w:color="auto"/>
              <w:bottom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b w:val="1"/>
                <w:bCs w:val="1"/>
                <w:color w:val="auto"/>
              </w:rPr>
              <w:t>(12,491</w:t>
            </w:r>
          </w:p>
        </w:tc>
        <w:tc>
          <w:tcPr>
            <w:tcW w:w="100" w:type="dxa"/>
            <w:vAlign w:val="bottom"/>
            <w:tcBorders>
              <w:top w:val="single" w:sz="8" w:color="E5FFFF"/>
            </w:tcBorders>
            <w:gridSpan w:val="2"/>
            <w:shd w:val="clear" w:color="auto" w:fill="E5FFFF"/>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10"/>
        </w:trPr>
        <w:tc>
          <w:tcPr>
            <w:tcW w:w="2980" w:type="dxa"/>
            <w:vAlign w:val="bottom"/>
          </w:tcPr>
          <w:p>
            <w:pPr>
              <w:spacing w:after="0" w:line="110" w:lineRule="exact"/>
              <w:rPr>
                <w:sz w:val="20"/>
                <w:szCs w:val="20"/>
                <w:color w:val="auto"/>
              </w:rPr>
            </w:pPr>
            <w:r>
              <w:rPr>
                <w:rFonts w:ascii="Arial" w:cs="Arial" w:eastAsia="Arial" w:hAnsi="Arial"/>
                <w:sz w:val="12"/>
                <w:szCs w:val="12"/>
                <w:color w:val="auto"/>
              </w:rPr>
              <w:t>Treasury shares distributed for awards vested</w:t>
            </w: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180"/>
              <w:spacing w:after="0"/>
              <w:rPr>
                <w:sz w:val="20"/>
                <w:szCs w:val="20"/>
                <w:color w:val="auto"/>
              </w:rPr>
            </w:pPr>
            <w:r>
              <w:rPr>
                <w:rFonts w:ascii="Arial" w:cs="Arial" w:eastAsia="Arial" w:hAnsi="Arial"/>
                <w:sz w:val="14"/>
                <w:szCs w:val="14"/>
                <w:color w:val="auto"/>
              </w:rPr>
              <w:t>in the period</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color w:val="auto"/>
              </w:rPr>
              <w:t>56,739</w:t>
            </w: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(56,739)</w:t>
            </w:r>
          </w:p>
        </w:tc>
        <w:tc>
          <w:tcPr>
            <w:tcW w:w="1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Dividends declared deducted from contributed</w:t>
            </w:r>
          </w:p>
        </w:tc>
        <w:tc>
          <w:tcPr>
            <w:tcW w:w="1040" w:type="dxa"/>
            <w:vAlign w:val="bottom"/>
            <w:shd w:val="clear" w:color="auto" w:fill="E5FFFF"/>
          </w:tcPr>
          <w:p>
            <w:pPr>
              <w:spacing w:after="0"/>
              <w:rPr>
                <w:sz w:val="11"/>
                <w:szCs w:val="11"/>
                <w:color w:val="auto"/>
              </w:rPr>
            </w:pPr>
          </w:p>
        </w:tc>
        <w:tc>
          <w:tcPr>
            <w:tcW w:w="360" w:type="dxa"/>
            <w:vAlign w:val="bottom"/>
            <w:shd w:val="clear" w:color="auto" w:fill="E5FFFF"/>
          </w:tcPr>
          <w:p>
            <w:pPr>
              <w:spacing w:after="0"/>
              <w:rPr>
                <w:sz w:val="11"/>
                <w:szCs w:val="11"/>
                <w:color w:val="auto"/>
              </w:rPr>
            </w:pPr>
          </w:p>
        </w:tc>
        <w:tc>
          <w:tcPr>
            <w:tcW w:w="104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124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92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6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2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E5FFFF"/>
          </w:tcPr>
          <w:p>
            <w:pPr>
              <w:ind w:left="180"/>
              <w:spacing w:after="0"/>
              <w:rPr>
                <w:sz w:val="20"/>
                <w:szCs w:val="20"/>
                <w:color w:val="auto"/>
              </w:rPr>
            </w:pPr>
            <w:r>
              <w:rPr>
                <w:rFonts w:ascii="Arial" w:cs="Arial" w:eastAsia="Arial" w:hAnsi="Arial"/>
                <w:sz w:val="14"/>
                <w:szCs w:val="14"/>
                <w:color w:val="auto"/>
              </w:rPr>
              <w:t>surplus due to accumulated deficit</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E5FFFF"/>
          </w:tcPr>
          <w:p>
            <w:pPr>
              <w:jc w:val="right"/>
              <w:ind w:right="280"/>
              <w:spacing w:after="0"/>
              <w:rPr>
                <w:sz w:val="20"/>
                <w:szCs w:val="20"/>
                <w:color w:val="auto"/>
              </w:rPr>
            </w:pPr>
            <w:r>
              <w:rPr>
                <w:rFonts w:ascii="Arial" w:cs="Arial" w:eastAsia="Arial" w:hAnsi="Arial"/>
                <w:sz w:val="14"/>
                <w:szCs w:val="14"/>
                <w:color w:val="auto"/>
              </w:rPr>
              <w:t>(39,525)</w:t>
            </w:r>
          </w:p>
        </w:tc>
        <w:tc>
          <w:tcPr>
            <w:tcW w:w="78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80" w:type="dxa"/>
            <w:vAlign w:val="bottom"/>
          </w:tcPr>
          <w:p>
            <w:pPr>
              <w:spacing w:after="0" w:line="155" w:lineRule="exact"/>
              <w:rPr>
                <w:sz w:val="20"/>
                <w:szCs w:val="20"/>
                <w:color w:val="auto"/>
              </w:rPr>
            </w:pPr>
            <w:r>
              <w:rPr>
                <w:rFonts w:ascii="Arial" w:cs="Arial" w:eastAsia="Arial" w:hAnsi="Arial"/>
                <w:sz w:val="14"/>
                <w:szCs w:val="14"/>
                <w:b w:val="1"/>
                <w:bCs w:val="1"/>
                <w:color w:val="auto"/>
              </w:rPr>
              <w:t>Outstanding as of September 30, 2016</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80,553,238</w:t>
            </w:r>
          </w:p>
        </w:tc>
        <w:tc>
          <w:tcPr>
            <w:tcW w:w="3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439,888</w:t>
            </w:r>
          </w:p>
        </w:tc>
        <w:tc>
          <w:tcPr>
            <w:tcW w:w="340" w:type="dxa"/>
            <w:vAlign w:val="bottom"/>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4,600,000</w:t>
            </w:r>
          </w:p>
        </w:tc>
        <w:tc>
          <w:tcPr>
            <w:tcW w:w="3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810</w:t>
            </w:r>
          </w:p>
        </w:tc>
        <w:tc>
          <w:tcPr>
            <w:tcW w:w="3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980,767</w:t>
            </w:r>
          </w:p>
        </w:tc>
        <w:tc>
          <w:tcPr>
            <w:tcW w:w="3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(11,065</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treasury shares were acquired by GasLog in 2014 in relation to the share-based compensation (Note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On February 24, 2016 the board of directors declared a quarterly cash dividend of $0.14 per common share which was paid on March 17, 2016 to shareholders of record as of March 7, 2016 for a total amount of $11,270.</w:t>
      </w:r>
    </w:p>
    <w:p>
      <w:pPr>
        <w:spacing w:after="0" w:line="1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On March 11, 2016, the board of directors declared a dividend on the Series A Preference Shares of $0.546875 per share or $2,515 in the aggregate payable on April 1, 2016 to holders of record as of March 31, 2016. GasLog paid the declared dividend to the transfer agent on March 30, 2016.</w:t>
      </w:r>
    </w:p>
    <w:p>
      <w:pPr>
        <w:spacing w:after="0" w:line="12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May 5, 2016, the board of directors declared a quarterly cash dividend of $0.14 per common share which was paid on May 26, 2016 to shareholders of record as of May 16, 2016 for a total amount of $11,277.</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On May 5, 2016, the board of directors declared a dividend on the Series A Preference Shares of $0.546875 per share or $2,516 in the aggregate payable on July 1, 2016 to holders of record as of June 30, 2016. GasLog paid the declared dividend to the transfer agent on June 28, 2016.</w:t>
      </w:r>
    </w:p>
    <w:p>
      <w:pPr>
        <w:spacing w:after="0" w:line="14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On August 3, 2016, the board of directors declared a quarterly cash dividend of $0.14 per common share which was paid on August 25, 2016 to shareholders of record as of August 15, 2016 for a total amount of $11,277.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2" w:name="page43"/>
    <w:bookmarkEnd w:id="42"/>
    <w:p>
      <w:pPr>
        <w:ind w:right="160" w:firstLine="324"/>
        <w:spacing w:after="0" w:line="342" w:lineRule="auto"/>
        <w:rPr>
          <w:sz w:val="20"/>
          <w:szCs w:val="20"/>
          <w:color w:val="auto"/>
        </w:rPr>
      </w:pPr>
      <w:r>
        <w:rPr>
          <w:rFonts w:ascii="Arial" w:cs="Arial" w:eastAsia="Arial" w:hAnsi="Arial"/>
          <w:sz w:val="16"/>
          <w:szCs w:val="16"/>
          <w:color w:val="auto"/>
        </w:rPr>
        <w:t>On September 14, 2016, the board of directors declared a dividend on the Series A Preference Shares of $0.546875 per share or $2,516 in the aggregate payable on October 3, 2016 to holders of record as of September 30, 2016. GasLog paid the declared dividend to the transfer agent on September 30,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Arial" w:cs="Arial" w:eastAsia="Arial" w:hAnsi="Arial"/>
                <w:sz w:val="18"/>
                <w:szCs w:val="18"/>
                <w:b w:val="1"/>
                <w:bCs w:val="1"/>
                <w:color w:val="auto"/>
              </w:rPr>
              <w:t>11. Commitments and Contingencies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60" w:type="dxa"/>
            <w:vAlign w:val="bottom"/>
          </w:tcPr>
          <w:p>
            <w:pPr>
              <w:spacing w:after="0"/>
              <w:rPr>
                <w:sz w:val="20"/>
                <w:szCs w:val="20"/>
                <w:color w:val="auto"/>
              </w:rPr>
            </w:pPr>
            <w:r>
              <w:rPr>
                <w:rFonts w:ascii="Arial" w:cs="Arial" w:eastAsia="Arial" w:hAnsi="Arial"/>
                <w:sz w:val="18"/>
                <w:szCs w:val="18"/>
                <w:color w:val="auto"/>
                <w:w w:val="98"/>
              </w:rPr>
              <w:t>(a) As of September 30, 2016 the Group had the following commitments relating to buildings under operating leases: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160" w:type="dxa"/>
            <w:vAlign w:val="bottom"/>
          </w:tcPr>
          <w:p>
            <w:pPr>
              <w:spacing w:after="0"/>
              <w:rPr>
                <w:sz w:val="24"/>
                <w:szCs w:val="24"/>
                <w:color w:val="auto"/>
              </w:rPr>
            </w:pPr>
          </w:p>
        </w:tc>
        <w:tc>
          <w:tcPr>
            <w:tcW w:w="226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September 30, 2016</w:t>
            </w:r>
          </w:p>
        </w:tc>
        <w:tc>
          <w:tcPr>
            <w:tcW w:w="0" w:type="dxa"/>
            <w:vAlign w:val="bottom"/>
          </w:tcPr>
          <w:p>
            <w:pPr>
              <w:spacing w:after="0"/>
              <w:rPr>
                <w:sz w:val="1"/>
                <w:szCs w:val="1"/>
                <w:color w:val="auto"/>
              </w:rPr>
            </w:pPr>
          </w:p>
        </w:tc>
      </w:tr>
      <w:tr>
        <w:trPr>
          <w:trHeight w:val="210"/>
        </w:trPr>
        <w:tc>
          <w:tcPr>
            <w:tcW w:w="9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21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1,706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2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1,877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2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b w:val="1"/>
                <w:bCs w:val="1"/>
                <w:color w:val="auto"/>
              </w:rPr>
              <w:t>Total operating lease commitment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(b) Commitments relating to the vessels under construction (Note 4) as of September 30, 2016 were as follows:</w:t>
            </w: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160" w:type="dxa"/>
            <w:vAlign w:val="bottom"/>
          </w:tcPr>
          <w:p>
            <w:pPr>
              <w:spacing w:after="0"/>
              <w:rPr>
                <w:sz w:val="24"/>
                <w:szCs w:val="24"/>
                <w:color w:val="auto"/>
              </w:rPr>
            </w:pPr>
          </w:p>
        </w:tc>
        <w:tc>
          <w:tcPr>
            <w:tcW w:w="226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September 30, 2016</w:t>
            </w:r>
          </w:p>
        </w:tc>
        <w:tc>
          <w:tcPr>
            <w:tcW w:w="0" w:type="dxa"/>
            <w:vAlign w:val="bottom"/>
          </w:tcPr>
          <w:p>
            <w:pPr>
              <w:spacing w:after="0"/>
              <w:rPr>
                <w:sz w:val="1"/>
                <w:szCs w:val="1"/>
                <w:color w:val="auto"/>
              </w:rPr>
            </w:pPr>
          </w:p>
        </w:tc>
      </w:tr>
      <w:tr>
        <w:trPr>
          <w:trHeight w:val="210"/>
        </w:trPr>
        <w:tc>
          <w:tcPr>
            <w:tcW w:w="9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Vessels under construction</w:t>
            </w:r>
          </w:p>
        </w:tc>
        <w:tc>
          <w:tcPr>
            <w:tcW w:w="21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223,042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2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885,876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b w:val="1"/>
                <w:bCs w:val="1"/>
                <w:color w:val="auto"/>
              </w:rPr>
              <w:t>Total vessels under construction commitment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1,108,918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Based on an agreement entered into by GAS-twenty two Ltd. and GAS-twenty three Ltd. with Methane Services Limited (“MSL”) on March 8, 2016, the first two entities declared their options with Samsung to install reliquefaction plants on board the vessels. MSL agreed to reimburse 50% of such cost per vessel, resulting in an aggregate commitment to pay $3,200 per vessel to GasLog after the installation has been completed. In the case that the reliquefaction plants do not fulfill specified enhanced performance criteria during operation as set forth in the relevant agreement, GasLog will refund the reimbursed amounts to MSL in the form of a daily compensation amount per vessel.</w:t>
      </w:r>
    </w:p>
    <w:p>
      <w:pPr>
        <w:spacing w:after="0" w:line="188" w:lineRule="exact"/>
        <w:rPr>
          <w:sz w:val="20"/>
          <w:szCs w:val="20"/>
          <w:color w:val="auto"/>
        </w:rPr>
      </w:pPr>
    </w:p>
    <w:p>
      <w:pPr>
        <w:ind w:left="260" w:right="160" w:hanging="252"/>
        <w:spacing w:after="0" w:line="259"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gross minimum revenues receivable upon collection of hire under non-cancellable time charter agreements for vessels in operation, including a vessel under a finance lease (Note 5), as of September 30, 2016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p>
        </w:tc>
        <w:tc>
          <w:tcPr>
            <w:tcW w:w="2260" w:type="dxa"/>
            <w:vAlign w:val="bottom"/>
            <w:gridSpan w:val="3"/>
          </w:tcPr>
          <w:p>
            <w:pPr>
              <w:ind w:left="320"/>
              <w:spacing w:after="0"/>
              <w:rPr>
                <w:sz w:val="20"/>
                <w:szCs w:val="20"/>
                <w:color w:val="auto"/>
              </w:rPr>
            </w:pPr>
            <w:r>
              <w:rPr>
                <w:rFonts w:ascii="Arial" w:cs="Arial" w:eastAsia="Arial" w:hAnsi="Arial"/>
                <w:sz w:val="18"/>
                <w:szCs w:val="18"/>
                <w:b w:val="1"/>
                <w:bCs w:val="1"/>
                <w:color w:val="auto"/>
              </w:rPr>
              <w:t>September 30, 2016</w:t>
            </w:r>
          </w:p>
        </w:tc>
      </w:tr>
      <w:tr>
        <w:trPr>
          <w:trHeight w:val="210"/>
        </w:trPr>
        <w:tc>
          <w:tcPr>
            <w:tcW w:w="9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Revenues</w:t>
            </w:r>
          </w:p>
        </w:tc>
        <w:tc>
          <w:tcPr>
            <w:tcW w:w="21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447,192</w:t>
            </w:r>
          </w:p>
        </w:tc>
        <w:tc>
          <w:tcPr>
            <w:tcW w:w="80" w:type="dxa"/>
            <w:vAlign w:val="bottom"/>
          </w:tcPr>
          <w:p>
            <w:pPr>
              <w:spacing w:after="0"/>
              <w:rPr>
                <w:sz w:val="18"/>
                <w:szCs w:val="18"/>
                <w:color w:val="auto"/>
              </w:rPr>
            </w:pPr>
          </w:p>
        </w:tc>
      </w:tr>
      <w:tr>
        <w:trPr>
          <w:trHeight w:val="216"/>
        </w:trPr>
        <w:tc>
          <w:tcPr>
            <w:tcW w:w="916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2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784,760</w:t>
            </w:r>
          </w:p>
        </w:tc>
        <w:tc>
          <w:tcPr>
            <w:tcW w:w="80" w:type="dxa"/>
            <w:vAlign w:val="bottom"/>
            <w:shd w:val="clear" w:color="auto" w:fill="E5FF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481,882</w:t>
            </w:r>
          </w:p>
        </w:tc>
        <w:tc>
          <w:tcPr>
            <w:tcW w:w="80" w:type="dxa"/>
            <w:vAlign w:val="bottom"/>
          </w:tcPr>
          <w:p>
            <w:pPr>
              <w:spacing w:after="0"/>
              <w:rPr>
                <w:sz w:val="18"/>
                <w:szCs w:val="18"/>
                <w:color w:val="auto"/>
              </w:rPr>
            </w:pPr>
          </w:p>
        </w:tc>
      </w:tr>
      <w:tr>
        <w:trPr>
          <w:trHeight w:val="230"/>
        </w:trPr>
        <w:tc>
          <w:tcPr>
            <w:tcW w:w="916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21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552,455</w:t>
            </w:r>
          </w:p>
        </w:tc>
        <w:tc>
          <w:tcPr>
            <w:tcW w:w="80" w:type="dxa"/>
            <w:vAlign w:val="bottom"/>
            <w:shd w:val="clear" w:color="auto" w:fill="E5FFFF"/>
          </w:tcPr>
          <w:p>
            <w:pPr>
              <w:spacing w:after="0"/>
              <w:rPr>
                <w:sz w:val="19"/>
                <w:szCs w:val="19"/>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b w:val="1"/>
                <w:bCs w:val="1"/>
                <w:color w:val="auto"/>
              </w:rPr>
              <w:t>Total future gross minimum charter hire</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2,266,289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gross minimum revenues disclosed in the above table exclude the revenues of the vessels that are under construction.</w:t>
      </w:r>
    </w:p>
    <w:p>
      <w:pPr>
        <w:spacing w:after="0" w:line="225" w:lineRule="exact"/>
        <w:rPr>
          <w:sz w:val="20"/>
          <w:szCs w:val="20"/>
          <w:color w:val="auto"/>
        </w:rPr>
      </w:pPr>
    </w:p>
    <w:p>
      <w:pPr>
        <w:ind w:left="260" w:right="140" w:hanging="252"/>
        <w:spacing w:after="0" w:line="259"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Related to the acquisition of six vessels from a subsidiary of BG Group plc (“BG Group”) in 2014 and another two vessels in 2015, the Group is committed to purchase depot spares from BG Group with an aggregate value of $8,000 of which depot spares with value $660 have been purchased as of September 30, 2016 and are included in Tangible fixed assets (Note 4). The remaining spares should be acquired before the end of the initial term of the charter party agreements.</w:t>
      </w:r>
    </w:p>
    <w:p>
      <w:pPr>
        <w:spacing w:after="0" w:line="186" w:lineRule="exact"/>
        <w:rPr>
          <w:rFonts w:ascii="Arial" w:cs="Arial" w:eastAsia="Arial" w:hAnsi="Arial"/>
          <w:sz w:val="18"/>
          <w:szCs w:val="18"/>
          <w:color w:val="auto"/>
        </w:rPr>
      </w:pPr>
    </w:p>
    <w:p>
      <w:pPr>
        <w:ind w:left="260" w:right="280" w:hanging="252"/>
        <w:spacing w:after="0" w:line="279"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November 2, 2015, following execution of a letter agreement between GasLog and MSL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September 30, 2016, the outstanding commitment is $1,894.</w:t>
      </w:r>
    </w:p>
    <w:p>
      <w:pPr>
        <w:spacing w:after="0" w:line="171" w:lineRule="exact"/>
        <w:rPr>
          <w:rFonts w:ascii="Arial" w:cs="Arial" w:eastAsia="Arial" w:hAnsi="Arial"/>
          <w:sz w:val="17"/>
          <w:szCs w:val="17"/>
          <w:color w:val="auto"/>
        </w:rPr>
      </w:pPr>
    </w:p>
    <w:p>
      <w:pPr>
        <w:ind w:left="260" w:right="140" w:hanging="252"/>
        <w:spacing w:after="0" w:line="279" w:lineRule="auto"/>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March 30, 2016, GasLog Carriers entered into a consortium agreement with third parties, setting out the terms and conditions under which the parties are prepared to form a joint venture in order to participate collaboratively in a time charter tender. In connection with the above agreement, GasLog Carriers has arranged for the provision of a $1,500 bid security, deposited in a restricted cash collateral account; in the event of the tender holder demanding such amount, GasLog Carriers will be entitled to claim 75% from the remaining participants in the consortium agreement.</w:t>
      </w:r>
    </w:p>
    <w:p>
      <w:pPr>
        <w:spacing w:after="0" w:line="171" w:lineRule="exact"/>
        <w:rPr>
          <w:rFonts w:ascii="Arial" w:cs="Arial" w:eastAsia="Arial" w:hAnsi="Arial"/>
          <w:sz w:val="17"/>
          <w:szCs w:val="17"/>
          <w:color w:val="auto"/>
        </w:rPr>
      </w:pPr>
    </w:p>
    <w:p>
      <w:pPr>
        <w:ind w:left="260" w:right="120"/>
        <w:spacing w:after="0" w:line="279" w:lineRule="auto"/>
        <w:rPr>
          <w:rFonts w:ascii="Arial" w:cs="Arial" w:eastAsia="Arial" w:hAnsi="Arial"/>
          <w:sz w:val="17"/>
          <w:szCs w:val="17"/>
          <w:color w:val="auto"/>
        </w:rPr>
      </w:pPr>
      <w:r>
        <w:rPr>
          <w:rFonts w:ascii="Arial" w:cs="Arial" w:eastAsia="Arial" w:hAnsi="Arial"/>
          <w:sz w:val="17"/>
          <w:szCs w:val="17"/>
          <w:color w:val="auto"/>
        </w:rPr>
        <w:t>On March 30, 2016, in connection with the aforementioned consortium agreement, GasLog Carriers entered into a letter of credit agreement with Credit Agricole Corporate and Investment Bank for an amount of $1,500, bearing interest at a margin and available until December 31, 2016. Pursuant to this, a pledge agreement was also entered into with the aforementioned bank, with GasLog Carriers depositing $1,500 in a cash collateral account. This amount will be held as collateral until expiry of the letter of credit agreement and is thus classified under “Restricted cash”.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3" w:name="page44"/>
    <w:bookmarkEnd w:id="43"/>
    <w:p>
      <w:pPr>
        <w:ind w:right="4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12. Derivative Financial Instruments</w:t>
            </w:r>
          </w:p>
        </w:tc>
        <w:tc>
          <w:tcPr>
            <w:tcW w:w="1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The fair value of the derivative assets is as follows:</w:t>
            </w: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80" w:type="dxa"/>
            <w:vAlign w:val="bottom"/>
            <w:tcBorders>
              <w:bottom w:val="single" w:sz="8" w:color="E5FF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420" w:type="dxa"/>
            <w:vAlign w:val="bottom"/>
            <w:tcBorders>
              <w:bottom w:val="single" w:sz="8" w:color="E5FF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7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Cross currency swaps</w:t>
            </w:r>
          </w:p>
        </w:tc>
        <w:tc>
          <w:tcPr>
            <w:tcW w:w="2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Interest rate swaps</w:t>
            </w:r>
          </w:p>
        </w:tc>
        <w:tc>
          <w:tcPr>
            <w:tcW w:w="1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E5FFFF"/>
          </w:tcPr>
          <w:p>
            <w:pPr>
              <w:spacing w:after="0"/>
              <w:rPr>
                <w:sz w:val="19"/>
                <w:szCs w:val="19"/>
                <w:color w:val="auto"/>
              </w:rPr>
            </w:pPr>
          </w:p>
        </w:tc>
        <w:tc>
          <w:tcPr>
            <w:tcW w:w="188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9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420" w:type="dxa"/>
            <w:vAlign w:val="bottom"/>
            <w:tcBorders>
              <w:bottom w:val="single" w:sz="8" w:color="E5FFFF"/>
            </w:tcBorders>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w:t>
            </w:r>
          </w:p>
        </w:tc>
        <w:tc>
          <w:tcPr>
            <w:tcW w:w="20" w:type="dxa"/>
            <w:vAlign w:val="bottom"/>
            <w:tcBorders>
              <w:bottom w:val="single" w:sz="8" w:color="E5FFFF"/>
            </w:tcBorders>
          </w:tcPr>
          <w:p>
            <w:pPr>
              <w:spacing w:after="0"/>
              <w:rPr>
                <w:sz w:val="22"/>
                <w:szCs w:val="22"/>
                <w:color w:val="auto"/>
              </w:rPr>
            </w:pP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6980" w:type="dxa"/>
            <w:vAlign w:val="bottom"/>
            <w:shd w:val="clear" w:color="auto" w:fill="E5FFFF"/>
          </w:tcPr>
          <w:p>
            <w:pPr>
              <w:spacing w:after="0" w:line="190" w:lineRule="exact"/>
              <w:rPr>
                <w:sz w:val="20"/>
                <w:szCs w:val="20"/>
                <w:color w:val="auto"/>
              </w:rPr>
            </w:pPr>
            <w:r>
              <w:rPr>
                <w:rFonts w:ascii="Arial" w:cs="Arial" w:eastAsia="Arial" w:hAnsi="Arial"/>
                <w:sz w:val="18"/>
                <w:szCs w:val="18"/>
                <w:color w:val="auto"/>
              </w:rPr>
              <w:t>Derivative financial instruments, non-current asset</w:t>
            </w:r>
          </w:p>
        </w:tc>
        <w:tc>
          <w:tcPr>
            <w:tcW w:w="17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61</w:t>
            </w:r>
          </w:p>
        </w:tc>
        <w:tc>
          <w:tcPr>
            <w:tcW w:w="420" w:type="dxa"/>
            <w:vAlign w:val="bottom"/>
            <w:shd w:val="clear" w:color="auto" w:fill="E5FFFF"/>
          </w:tcPr>
          <w:p>
            <w:pPr>
              <w:spacing w:after="0"/>
              <w:rPr>
                <w:sz w:val="17"/>
                <w:szCs w:val="17"/>
                <w:color w:val="auto"/>
              </w:rPr>
            </w:pPr>
          </w:p>
        </w:tc>
        <w:tc>
          <w:tcPr>
            <w:tcW w:w="17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3,084</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4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vMerge w:val="restart"/>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80" w:type="dxa"/>
            <w:vAlign w:val="bottom"/>
            <w:tcBorders>
              <w:bottom w:val="single" w:sz="8" w:color="E5FF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420" w:type="dxa"/>
            <w:vAlign w:val="bottom"/>
            <w:tcBorders>
              <w:bottom w:val="single" w:sz="8" w:color="E5FF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6980" w:type="dxa"/>
            <w:vAlign w:val="bottom"/>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7"/>
              </w:rPr>
              <w:t>Derivative liabilities designated and effective as hedging instruments carried at fair</w:t>
            </w:r>
          </w:p>
        </w:tc>
        <w:tc>
          <w:tcPr>
            <w:tcW w:w="178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176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8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value</w:t>
            </w:r>
          </w:p>
        </w:tc>
        <w:tc>
          <w:tcPr>
            <w:tcW w:w="17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7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rate swaps</w:t>
            </w:r>
          </w:p>
        </w:tc>
        <w:tc>
          <w:tcPr>
            <w:tcW w:w="2200" w:type="dxa"/>
            <w:vAlign w:val="bottom"/>
            <w:gridSpan w:val="2"/>
          </w:tcPr>
          <w:p>
            <w:pPr>
              <w:jc w:val="right"/>
              <w:ind w:right="420"/>
              <w:spacing w:after="0"/>
              <w:rPr>
                <w:sz w:val="20"/>
                <w:szCs w:val="20"/>
                <w:color w:val="auto"/>
              </w:rPr>
            </w:pPr>
            <w:r>
              <w:rPr>
                <w:rFonts w:ascii="Arial" w:cs="Arial" w:eastAsia="Arial" w:hAnsi="Arial"/>
                <w:sz w:val="18"/>
                <w:szCs w:val="18"/>
                <w:color w:val="auto"/>
              </w:rPr>
              <w:t>8,410</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Cross currency swaps</w:t>
            </w:r>
          </w:p>
        </w:tc>
        <w:tc>
          <w:tcPr>
            <w:tcW w:w="220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56,152</w:t>
            </w:r>
          </w:p>
        </w:tc>
        <w:tc>
          <w:tcPr>
            <w:tcW w:w="1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15,294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Interest rate swaps</w:t>
            </w:r>
          </w:p>
        </w:tc>
        <w:tc>
          <w:tcPr>
            <w:tcW w:w="220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8,212</w:t>
            </w:r>
          </w:p>
        </w:tc>
        <w:tc>
          <w:tcPr>
            <w:tcW w:w="1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26,294</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2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72,774</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41,639</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liability</w:t>
            </w: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6980" w:type="dxa"/>
            <w:vAlign w:val="bottom"/>
            <w:vMerge w:val="continue"/>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14,243</w:t>
            </w:r>
          </w:p>
        </w:tc>
        <w:tc>
          <w:tcPr>
            <w:tcW w:w="420" w:type="dxa"/>
            <w:vAlign w:val="bottom"/>
            <w:vMerge w:val="continue"/>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9,273</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220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58,531</w:t>
            </w:r>
          </w:p>
        </w:tc>
        <w:tc>
          <w:tcPr>
            <w:tcW w:w="1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32,366</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72,774</w:t>
            </w:r>
          </w:p>
        </w:tc>
        <w:tc>
          <w:tcPr>
            <w:tcW w:w="4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counterparties effect quarterly floating-rate payments to the Group for the notional amounts based on the three-month U.S. dollar LIBOR, and the Group effects quarterly payments to the banks on the notional amounts at the respective fixed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interest rate swaps designated as cash flow hedging instruments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Effective</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Fixed</w:t>
            </w:r>
          </w:p>
        </w:tc>
        <w:tc>
          <w:tcPr>
            <w:tcW w:w="2900" w:type="dxa"/>
            <w:vAlign w:val="bottom"/>
            <w:gridSpan w:val="4"/>
          </w:tcPr>
          <w:p>
            <w:pPr>
              <w:ind w:left="78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4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34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14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Counterparty</w:t>
            </w:r>
          </w:p>
        </w:tc>
        <w:tc>
          <w:tcPr>
            <w:tcW w:w="20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Trade Date</w:t>
            </w:r>
          </w:p>
        </w:tc>
        <w:tc>
          <w:tcPr>
            <w:tcW w:w="200" w:type="dxa"/>
            <w:vAlign w:val="bottom"/>
            <w:tcBorders>
              <w:bottom w:val="single" w:sz="8" w:color="E5FF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Borders>
              <w:bottom w:val="single" w:sz="8" w:color="E5FF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E5FF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80" w:type="dxa"/>
            <w:vAlign w:val="bottom"/>
            <w:shd w:val="clear" w:color="auto" w:fill="E5FFFF"/>
          </w:tcPr>
          <w:p>
            <w:pPr>
              <w:spacing w:after="0" w:line="251" w:lineRule="exact"/>
              <w:rPr>
                <w:sz w:val="20"/>
                <w:szCs w:val="20"/>
                <w:color w:val="auto"/>
              </w:rPr>
            </w:pPr>
            <w:r>
              <w:rPr>
                <w:rFonts w:ascii="Arial" w:cs="Arial" w:eastAsia="Arial" w:hAnsi="Arial"/>
                <w:sz w:val="18"/>
                <w:szCs w:val="18"/>
                <w:color w:val="auto"/>
              </w:rPr>
              <w:t>GAS-six Ltd.</w:t>
            </w:r>
            <w:r>
              <w:rPr>
                <w:rFonts w:ascii="Arial" w:cs="Arial" w:eastAsia="Arial" w:hAnsi="Arial"/>
                <w:sz w:val="29"/>
                <w:szCs w:val="29"/>
                <w:color w:val="auto"/>
                <w:vertAlign w:val="superscript"/>
              </w:rPr>
              <w:t>(1)</w:t>
            </w:r>
          </w:p>
        </w:tc>
        <w:tc>
          <w:tcPr>
            <w:tcW w:w="140" w:type="dxa"/>
            <w:vAlign w:val="bottom"/>
            <w:shd w:val="clear" w:color="auto" w:fill="E5FFFF"/>
          </w:tcPr>
          <w:p>
            <w:pPr>
              <w:spacing w:after="0"/>
              <w:rPr>
                <w:sz w:val="21"/>
                <w:szCs w:val="21"/>
                <w:color w:val="auto"/>
              </w:rPr>
            </w:pPr>
          </w:p>
        </w:tc>
        <w:tc>
          <w:tcPr>
            <w:tcW w:w="1820" w:type="dxa"/>
            <w:vAlign w:val="bottom"/>
            <w:gridSpan w:val="3"/>
            <w:shd w:val="clear" w:color="auto" w:fill="E5FFFF"/>
          </w:tcPr>
          <w:p>
            <w:pPr>
              <w:ind w:left="60"/>
              <w:spacing w:after="0"/>
              <w:rPr>
                <w:sz w:val="20"/>
                <w:szCs w:val="20"/>
                <w:color w:val="auto"/>
              </w:rPr>
            </w:pPr>
            <w:r>
              <w:rPr>
                <w:rFonts w:ascii="Arial" w:cs="Arial" w:eastAsia="Arial" w:hAnsi="Arial"/>
                <w:sz w:val="18"/>
                <w:szCs w:val="18"/>
                <w:color w:val="auto"/>
              </w:rPr>
              <w:t>Nordea Bank Finland</w:t>
            </w:r>
          </w:p>
        </w:tc>
        <w:tc>
          <w:tcPr>
            <w:tcW w:w="14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Nov 2011</w:t>
            </w:r>
          </w:p>
        </w:tc>
        <w:tc>
          <w:tcPr>
            <w:tcW w:w="100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July 2013</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0"/>
              </w:rPr>
              <w:t>July 2018</w:t>
            </w:r>
          </w:p>
        </w:tc>
        <w:tc>
          <w:tcPr>
            <w:tcW w:w="11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2.04%</w:t>
            </w:r>
          </w:p>
        </w:tc>
        <w:tc>
          <w:tcPr>
            <w:tcW w:w="220" w:type="dxa"/>
            <w:vAlign w:val="bottom"/>
            <w:shd w:val="clear" w:color="auto" w:fill="E5FFFF"/>
          </w:tcPr>
          <w:p>
            <w:pPr>
              <w:spacing w:after="0"/>
              <w:rPr>
                <w:sz w:val="21"/>
                <w:szCs w:val="21"/>
                <w:color w:val="auto"/>
              </w:rPr>
            </w:pP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65,074</w:t>
            </w:r>
          </w:p>
        </w:tc>
        <w:tc>
          <w:tcPr>
            <w:tcW w:w="1340" w:type="dxa"/>
            <w:vAlign w:val="bottom"/>
            <w:shd w:val="clear" w:color="auto" w:fill="E5FFFF"/>
          </w:tcPr>
          <w:p>
            <w:pPr>
              <w:ind w:left="116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80" w:type="dxa"/>
            <w:vAlign w:val="bottom"/>
          </w:tcPr>
          <w:p>
            <w:pPr>
              <w:spacing w:after="0" w:line="256" w:lineRule="exact"/>
              <w:rPr>
                <w:sz w:val="20"/>
                <w:szCs w:val="20"/>
                <w:color w:val="auto"/>
              </w:rPr>
            </w:pPr>
            <w:r>
              <w:rPr>
                <w:rFonts w:ascii="Arial" w:cs="Arial" w:eastAsia="Arial" w:hAnsi="Arial"/>
                <w:sz w:val="18"/>
                <w:szCs w:val="18"/>
                <w:color w:val="auto"/>
              </w:rPr>
              <w:t>GAS-nine Ltd.</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820" w:type="dxa"/>
            <w:vAlign w:val="bottom"/>
            <w:gridSpan w:val="3"/>
          </w:tcPr>
          <w:p>
            <w:pPr>
              <w:ind w:left="60"/>
              <w:spacing w:after="0" w:line="256" w:lineRule="exact"/>
              <w:rPr>
                <w:sz w:val="20"/>
                <w:szCs w:val="20"/>
                <w:color w:val="auto"/>
              </w:rPr>
            </w:pPr>
            <w:r>
              <w:rPr>
                <w:rFonts w:ascii="Arial" w:cs="Arial" w:eastAsia="Arial" w:hAnsi="Arial"/>
                <w:sz w:val="18"/>
                <w:szCs w:val="18"/>
                <w:color w:val="auto"/>
              </w:rPr>
              <w:t>CBA</w:t>
            </w:r>
            <w:r>
              <w:rPr>
                <w:rFonts w:ascii="Arial" w:cs="Arial" w:eastAsia="Arial" w:hAnsi="Arial"/>
                <w:sz w:val="29"/>
                <w:szCs w:val="29"/>
                <w:color w:val="auto"/>
                <w:vertAlign w:val="superscript"/>
              </w:rPr>
              <w:t>(2)</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2019</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2.23%</w:t>
            </w:r>
          </w:p>
        </w:tc>
        <w:tc>
          <w:tcPr>
            <w:tcW w:w="22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59,024</w:t>
            </w:r>
          </w:p>
        </w:tc>
        <w:tc>
          <w:tcPr>
            <w:tcW w:w="136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57"/>
        </w:trPr>
        <w:tc>
          <w:tcPr>
            <w:tcW w:w="15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GAS-nine Ltd.</w:t>
            </w:r>
            <w:r>
              <w:rPr>
                <w:rFonts w:ascii="Arial" w:cs="Arial" w:eastAsia="Arial" w:hAnsi="Arial"/>
                <w:sz w:val="29"/>
                <w:szCs w:val="29"/>
                <w:color w:val="auto"/>
                <w:vertAlign w:val="superscript"/>
              </w:rPr>
              <w:t>(1)</w:t>
            </w:r>
          </w:p>
        </w:tc>
        <w:tc>
          <w:tcPr>
            <w:tcW w:w="140" w:type="dxa"/>
            <w:vAlign w:val="bottom"/>
            <w:shd w:val="clear" w:color="auto" w:fill="E5FFFF"/>
          </w:tcPr>
          <w:p>
            <w:pPr>
              <w:spacing w:after="0"/>
              <w:rPr>
                <w:sz w:val="22"/>
                <w:szCs w:val="22"/>
                <w:color w:val="auto"/>
              </w:rPr>
            </w:pPr>
          </w:p>
        </w:tc>
        <w:tc>
          <w:tcPr>
            <w:tcW w:w="1820" w:type="dxa"/>
            <w:vAlign w:val="bottom"/>
            <w:gridSpan w:val="3"/>
            <w:shd w:val="clear" w:color="auto" w:fill="E5FFFF"/>
          </w:tcPr>
          <w:p>
            <w:pPr>
              <w:ind w:left="60"/>
              <w:spacing w:after="0"/>
              <w:rPr>
                <w:sz w:val="20"/>
                <w:szCs w:val="20"/>
                <w:color w:val="auto"/>
              </w:rPr>
            </w:pPr>
            <w:r>
              <w:rPr>
                <w:rFonts w:ascii="Arial" w:cs="Arial" w:eastAsia="Arial" w:hAnsi="Arial"/>
                <w:sz w:val="18"/>
                <w:szCs w:val="18"/>
                <w:color w:val="auto"/>
              </w:rPr>
              <w:t>DNB Bank ASA</w:t>
            </w:r>
          </w:p>
        </w:tc>
        <w:tc>
          <w:tcPr>
            <w:tcW w:w="14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0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Dec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8"/>
              </w:rPr>
              <w:t>Dec 2019</w:t>
            </w:r>
          </w:p>
        </w:tc>
        <w:tc>
          <w:tcPr>
            <w:tcW w:w="11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2.24%</w:t>
            </w:r>
          </w:p>
        </w:tc>
        <w:tc>
          <w:tcPr>
            <w:tcW w:w="220" w:type="dxa"/>
            <w:vAlign w:val="bottom"/>
            <w:shd w:val="clear" w:color="auto" w:fill="E5FFFF"/>
          </w:tcPr>
          <w:p>
            <w:pPr>
              <w:spacing w:after="0"/>
              <w:rPr>
                <w:sz w:val="22"/>
                <w:szCs w:val="22"/>
                <w:color w:val="auto"/>
              </w:rPr>
            </w:pP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59,024</w:t>
            </w:r>
          </w:p>
        </w:tc>
        <w:tc>
          <w:tcPr>
            <w:tcW w:w="1340" w:type="dxa"/>
            <w:vAlign w:val="bottom"/>
            <w:shd w:val="clear" w:color="auto" w:fill="E5FFFF"/>
          </w:tcPr>
          <w:p>
            <w:pPr>
              <w:ind w:left="116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80" w:type="dxa"/>
            <w:vAlign w:val="bottom"/>
          </w:tcPr>
          <w:p>
            <w:pPr>
              <w:spacing w:after="0" w:line="256" w:lineRule="exact"/>
              <w:rPr>
                <w:sz w:val="20"/>
                <w:szCs w:val="20"/>
                <w:color w:val="auto"/>
              </w:rPr>
            </w:pPr>
            <w:r>
              <w:rPr>
                <w:rFonts w:ascii="Arial" w:cs="Arial" w:eastAsia="Arial" w:hAnsi="Arial"/>
                <w:sz w:val="18"/>
                <w:szCs w:val="18"/>
                <w:color w:val="auto"/>
              </w:rPr>
              <w:t>GAS-ten Ltd.</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820" w:type="dxa"/>
            <w:vAlign w:val="bottom"/>
            <w:gridSpan w:val="3"/>
          </w:tcPr>
          <w:p>
            <w:pPr>
              <w:ind w:left="60"/>
              <w:spacing w:after="0" w:line="256" w:lineRule="exact"/>
              <w:rPr>
                <w:sz w:val="20"/>
                <w:szCs w:val="20"/>
                <w:color w:val="auto"/>
              </w:rPr>
            </w:pPr>
            <w:r>
              <w:rPr>
                <w:rFonts w:ascii="Arial" w:cs="Arial" w:eastAsia="Arial" w:hAnsi="Arial"/>
                <w:sz w:val="18"/>
                <w:szCs w:val="18"/>
                <w:color w:val="auto"/>
              </w:rPr>
              <w:t>SEB</w:t>
            </w:r>
            <w:r>
              <w:rPr>
                <w:rFonts w:ascii="Arial" w:cs="Arial" w:eastAsia="Arial" w:hAnsi="Arial"/>
                <w:sz w:val="29"/>
                <w:szCs w:val="29"/>
                <w:color w:val="auto"/>
                <w:vertAlign w:val="superscript"/>
              </w:rPr>
              <w:t>(3)</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Feb 2015</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2020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2.25%</w:t>
            </w:r>
          </w:p>
        </w:tc>
        <w:tc>
          <w:tcPr>
            <w:tcW w:w="22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59,893</w:t>
            </w:r>
          </w:p>
        </w:tc>
        <w:tc>
          <w:tcPr>
            <w:tcW w:w="136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57"/>
        </w:trPr>
        <w:tc>
          <w:tcPr>
            <w:tcW w:w="158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GAS-ten Ltd.</w:t>
            </w:r>
            <w:r>
              <w:rPr>
                <w:rFonts w:ascii="Arial" w:cs="Arial" w:eastAsia="Arial" w:hAnsi="Arial"/>
                <w:sz w:val="29"/>
                <w:szCs w:val="29"/>
                <w:color w:val="auto"/>
                <w:vertAlign w:val="superscript"/>
              </w:rPr>
              <w:t>(1)</w:t>
            </w:r>
          </w:p>
        </w:tc>
        <w:tc>
          <w:tcPr>
            <w:tcW w:w="140" w:type="dxa"/>
            <w:vAlign w:val="bottom"/>
            <w:shd w:val="clear" w:color="auto" w:fill="E5FFFF"/>
          </w:tcPr>
          <w:p>
            <w:pPr>
              <w:spacing w:after="0"/>
              <w:rPr>
                <w:sz w:val="22"/>
                <w:szCs w:val="22"/>
                <w:color w:val="auto"/>
              </w:rPr>
            </w:pPr>
          </w:p>
        </w:tc>
        <w:tc>
          <w:tcPr>
            <w:tcW w:w="1820" w:type="dxa"/>
            <w:vAlign w:val="bottom"/>
            <w:gridSpan w:val="3"/>
            <w:shd w:val="clear" w:color="auto" w:fill="E5FFFF"/>
          </w:tcPr>
          <w:p>
            <w:pPr>
              <w:ind w:left="60"/>
              <w:spacing w:after="0"/>
              <w:rPr>
                <w:sz w:val="20"/>
                <w:szCs w:val="20"/>
                <w:color w:val="auto"/>
              </w:rPr>
            </w:pPr>
            <w:r>
              <w:rPr>
                <w:rFonts w:ascii="Arial" w:cs="Arial" w:eastAsia="Arial" w:hAnsi="Arial"/>
                <w:sz w:val="18"/>
                <w:szCs w:val="18"/>
                <w:color w:val="auto"/>
              </w:rPr>
              <w:t>ING Bank N.V.</w:t>
            </w:r>
          </w:p>
        </w:tc>
        <w:tc>
          <w:tcPr>
            <w:tcW w:w="14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2014</w:t>
            </w:r>
          </w:p>
        </w:tc>
        <w:tc>
          <w:tcPr>
            <w:tcW w:w="100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9"/>
              </w:rPr>
              <w:t>Feb 2015</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9"/>
              </w:rPr>
              <w:t>Feb 2020</w:t>
            </w:r>
          </w:p>
        </w:tc>
        <w:tc>
          <w:tcPr>
            <w:tcW w:w="11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2.23%</w:t>
            </w:r>
          </w:p>
        </w:tc>
        <w:tc>
          <w:tcPr>
            <w:tcW w:w="220" w:type="dxa"/>
            <w:vAlign w:val="bottom"/>
            <w:shd w:val="clear" w:color="auto" w:fill="E5FFFF"/>
          </w:tcPr>
          <w:p>
            <w:pPr>
              <w:spacing w:after="0"/>
              <w:rPr>
                <w:sz w:val="22"/>
                <w:szCs w:val="22"/>
                <w:color w:val="auto"/>
              </w:rPr>
            </w:pP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59,893</w:t>
            </w:r>
          </w:p>
        </w:tc>
        <w:tc>
          <w:tcPr>
            <w:tcW w:w="1340" w:type="dxa"/>
            <w:vAlign w:val="bottom"/>
            <w:shd w:val="clear" w:color="auto" w:fill="E5FFFF"/>
          </w:tcPr>
          <w:p>
            <w:pPr>
              <w:ind w:left="116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line="269" w:lineRule="exact"/>
              <w:rPr>
                <w:sz w:val="20"/>
                <w:szCs w:val="20"/>
                <w:color w:val="auto"/>
              </w:rPr>
            </w:pPr>
            <w:r>
              <w:rPr>
                <w:rFonts w:ascii="Arial" w:cs="Arial" w:eastAsia="Arial" w:hAnsi="Arial"/>
                <w:sz w:val="18"/>
                <w:szCs w:val="18"/>
                <w:color w:val="auto"/>
                <w:w w:val="88"/>
              </w:rPr>
              <w:t>GAS-fifteen Ltd.</w:t>
            </w:r>
            <w:r>
              <w:rPr>
                <w:rFonts w:ascii="Arial" w:cs="Arial" w:eastAsia="Arial" w:hAnsi="Arial"/>
                <w:sz w:val="30"/>
                <w:szCs w:val="30"/>
                <w:color w:val="auto"/>
                <w:w w:val="88"/>
                <w:vertAlign w:val="superscript"/>
              </w:rPr>
              <w:t>(1)(4)</w:t>
            </w:r>
          </w:p>
        </w:tc>
        <w:tc>
          <w:tcPr>
            <w:tcW w:w="140" w:type="dxa"/>
            <w:vAlign w:val="bottom"/>
          </w:tcPr>
          <w:p>
            <w:pPr>
              <w:spacing w:after="0"/>
              <w:rPr>
                <w:sz w:val="23"/>
                <w:szCs w:val="23"/>
                <w:color w:val="auto"/>
              </w:rPr>
            </w:pP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Citibank</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2014</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0.66%/2.89%</w:t>
            </w:r>
          </w:p>
        </w:tc>
        <w:tc>
          <w:tcPr>
            <w:tcW w:w="2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86,660</w:t>
            </w:r>
          </w:p>
        </w:tc>
        <w:tc>
          <w:tcPr>
            <w:tcW w:w="1360" w:type="dxa"/>
            <w:vAlign w:val="bottom"/>
            <w:gridSpan w:val="2"/>
          </w:tcPr>
          <w:p>
            <w:pPr>
              <w:ind w:left="11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158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60" w:type="dxa"/>
            <w:vAlign w:val="bottom"/>
            <w:tcBorders>
              <w:top w:val="single" w:sz="8" w:color="E5FFFF"/>
              <w:bottom w:val="single" w:sz="8" w:color="E5FFFF"/>
            </w:tcBorders>
            <w:shd w:val="clear" w:color="auto" w:fill="E5FFFF"/>
          </w:tcPr>
          <w:p>
            <w:pPr>
              <w:spacing w:after="0"/>
              <w:rPr>
                <w:sz w:val="19"/>
                <w:szCs w:val="19"/>
                <w:color w:val="auto"/>
              </w:rPr>
            </w:pPr>
          </w:p>
        </w:tc>
        <w:tc>
          <w:tcPr>
            <w:tcW w:w="156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28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80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12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389,568</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ind w:left="116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right="220" w:hanging="192"/>
        <w:spacing w:after="0" w:line="291" w:lineRule="auto"/>
        <w:tabs>
          <w:tab w:leader="none" w:pos="200" w:val="left"/>
        </w:tabs>
        <w:numPr>
          <w:ilvl w:val="0"/>
          <w:numId w:val="24"/>
        </w:numPr>
        <w:rPr>
          <w:rFonts w:ascii="Arial" w:cs="Arial" w:eastAsia="Arial" w:hAnsi="Arial"/>
          <w:sz w:val="11"/>
          <w:szCs w:val="11"/>
          <w:color w:val="auto"/>
        </w:rPr>
      </w:pPr>
      <w:r>
        <w:rPr>
          <w:rFonts w:ascii="Arial" w:cs="Arial" w:eastAsia="Arial" w:hAnsi="Arial"/>
          <w:sz w:val="13"/>
          <w:szCs w:val="13"/>
          <w:color w:val="auto"/>
        </w:rPr>
        <w:t>In July 2016, the Group terminated these interest rate swap agreements associated with the six legacy facilities being re-financed by the Legacy Facility Re-financing (Note 6) paying their fair value on that date. The cumulative loss of $12,952 from the period that hedging was effective was recycled to profit or loss in the three and nine months ended September 30, 2016.</w:t>
      </w:r>
    </w:p>
    <w:p>
      <w:pPr>
        <w:spacing w:after="0" w:line="83" w:lineRule="exact"/>
        <w:rPr>
          <w:rFonts w:ascii="Arial" w:cs="Arial" w:eastAsia="Arial" w:hAnsi="Arial"/>
          <w:sz w:val="11"/>
          <w:szCs w:val="11"/>
          <w:color w:val="auto"/>
        </w:rPr>
      </w:pPr>
    </w:p>
    <w:p>
      <w:pPr>
        <w:ind w:left="200" w:hanging="192"/>
        <w:spacing w:after="0"/>
        <w:tabs>
          <w:tab w:leader="none" w:pos="200" w:val="left"/>
        </w:tabs>
        <w:numPr>
          <w:ilvl w:val="0"/>
          <w:numId w:val="24"/>
        </w:numPr>
        <w:rPr>
          <w:rFonts w:ascii="Arial" w:cs="Arial" w:eastAsia="Arial" w:hAnsi="Arial"/>
          <w:sz w:val="12"/>
          <w:szCs w:val="12"/>
          <w:color w:val="auto"/>
        </w:rPr>
      </w:pPr>
      <w:r>
        <w:rPr>
          <w:rFonts w:ascii="Arial" w:cs="Arial" w:eastAsia="Arial" w:hAnsi="Arial"/>
          <w:sz w:val="14"/>
          <w:szCs w:val="14"/>
          <w:color w:val="auto"/>
        </w:rPr>
        <w:t>Commonwealth Bank of Australia</w:t>
      </w:r>
    </w:p>
    <w:p>
      <w:pPr>
        <w:spacing w:after="0" w:line="149" w:lineRule="exact"/>
        <w:rPr>
          <w:rFonts w:ascii="Arial" w:cs="Arial" w:eastAsia="Arial" w:hAnsi="Arial"/>
          <w:sz w:val="12"/>
          <w:szCs w:val="12"/>
          <w:color w:val="auto"/>
        </w:rPr>
      </w:pPr>
    </w:p>
    <w:p>
      <w:pPr>
        <w:ind w:left="200" w:hanging="192"/>
        <w:spacing w:after="0"/>
        <w:tabs>
          <w:tab w:leader="none" w:pos="200" w:val="left"/>
        </w:tabs>
        <w:numPr>
          <w:ilvl w:val="0"/>
          <w:numId w:val="24"/>
        </w:numPr>
        <w:rPr>
          <w:rFonts w:ascii="Arial" w:cs="Arial" w:eastAsia="Arial" w:hAnsi="Arial"/>
          <w:sz w:val="12"/>
          <w:szCs w:val="12"/>
          <w:color w:val="auto"/>
        </w:rPr>
      </w:pPr>
      <w:r>
        <w:rPr>
          <w:rFonts w:ascii="Arial" w:cs="Arial" w:eastAsia="Arial" w:hAnsi="Arial"/>
          <w:sz w:val="14"/>
          <w:szCs w:val="14"/>
          <w:color w:val="auto"/>
        </w:rPr>
        <w:t>Skandinavinska Enskilda Banken AB (publ)</w:t>
      </w:r>
    </w:p>
    <w:p>
      <w:pPr>
        <w:spacing w:after="0" w:line="149" w:lineRule="exact"/>
        <w:rPr>
          <w:rFonts w:ascii="Arial" w:cs="Arial" w:eastAsia="Arial" w:hAnsi="Arial"/>
          <w:sz w:val="12"/>
          <w:szCs w:val="12"/>
          <w:color w:val="auto"/>
        </w:rPr>
      </w:pPr>
    </w:p>
    <w:p>
      <w:pPr>
        <w:ind w:left="200" w:hanging="192"/>
        <w:spacing w:after="0"/>
        <w:tabs>
          <w:tab w:leader="none" w:pos="20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fixed interest rate is agreed at 0.66% until September 2016 and at 2.89% from September 2016 to September 2018.</w:t>
      </w:r>
    </w:p>
    <w:p>
      <w:pPr>
        <w:spacing w:after="0" w:line="15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the three and nine months ended September 30, 2016, the effective portion of changes in the fair value of derivatives designated as cash flow hedging instruments amounting to a gain of $696 and a loss of $7,550 respectively has been recognized in Other comprehensive income (for the three and nine months ended September 30, 2015: a loss of $5,305 and $10,244, respectively). For the three and nine months ended September 30, 2016, a loss of $227 and $2,628, respectively, was recycled to profit or loss representing the realized loss on interest rate swaps in relation to the interest expense component of the hedge (for the three and nine months ended September 30, 2015: a loss of $1,572 and $4,817,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ectPr>
          <w:pgSz w:w="11900" w:h="16838" w:orient="portrait"/>
          <w:cols w:equalWidth="0" w:num="1">
            <w:col w:w="11420"/>
          </w:cols>
          <w:pgMar w:left="240" w:top="4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2" w:lineRule="auto"/>
        <w:rPr>
          <w:sz w:val="20"/>
          <w:szCs w:val="20"/>
          <w:color w:val="auto"/>
        </w:rPr>
      </w:pPr>
      <w:r>
        <w:rPr>
          <w:rFonts w:ascii="Arial" w:cs="Arial" w:eastAsia="Arial" w:hAnsi="Arial"/>
          <w:sz w:val="17"/>
          <w:szCs w:val="17"/>
          <w:color w:val="auto"/>
        </w:rPr>
        <w:t xml:space="preserve">GAS-eight Ltd. </w:t>
      </w:r>
      <w:r>
        <w:rPr>
          <w:rFonts w:ascii="Arial" w:cs="Arial" w:eastAsia="Arial" w:hAnsi="Arial"/>
          <w:sz w:val="28"/>
          <w:szCs w:val="28"/>
          <w:color w:val="auto"/>
          <w:vertAlign w:val="superscript"/>
        </w:rPr>
        <w:t>(1)</w:t>
      </w:r>
    </w:p>
    <w:p>
      <w:pPr>
        <w:spacing w:after="0" w:line="192" w:lineRule="auto"/>
        <w:rPr>
          <w:sz w:val="20"/>
          <w:szCs w:val="20"/>
          <w:color w:val="auto"/>
        </w:rPr>
      </w:pPr>
      <w:r>
        <w:rPr>
          <w:rFonts w:ascii="Arial" w:cs="Arial" w:eastAsia="Arial" w:hAnsi="Arial"/>
          <w:sz w:val="17"/>
          <w:szCs w:val="17"/>
          <w:color w:val="auto"/>
        </w:rPr>
        <w:t xml:space="preserve">GAS-eight Ltd. </w:t>
      </w:r>
      <w:r>
        <w:rPr>
          <w:rFonts w:ascii="Arial" w:cs="Arial" w:eastAsia="Arial" w:hAnsi="Arial"/>
          <w:sz w:val="28"/>
          <w:szCs w:val="28"/>
          <w:color w:val="auto"/>
          <w:vertAlign w:val="superscript"/>
        </w:rPr>
        <w:t>(1)</w:t>
      </w:r>
    </w:p>
    <w:p>
      <w:pPr>
        <w:spacing w:after="0" w:line="191" w:lineRule="auto"/>
        <w:rPr>
          <w:sz w:val="20"/>
          <w:szCs w:val="20"/>
          <w:color w:val="auto"/>
        </w:rPr>
      </w:pPr>
      <w:r>
        <w:rPr>
          <w:rFonts w:ascii="Arial" w:cs="Arial" w:eastAsia="Arial" w:hAnsi="Arial"/>
          <w:sz w:val="17"/>
          <w:szCs w:val="17"/>
          <w:color w:val="auto"/>
        </w:rPr>
        <w:t xml:space="preserve">GAS-eight Ltd. </w:t>
      </w:r>
      <w:r>
        <w:rPr>
          <w:rFonts w:ascii="Arial" w:cs="Arial" w:eastAsia="Arial" w:hAnsi="Arial"/>
          <w:sz w:val="28"/>
          <w:szCs w:val="28"/>
          <w:color w:val="auto"/>
          <w:vertAlign w:val="superscript"/>
        </w:rPr>
        <w:t>(1)</w:t>
      </w:r>
    </w:p>
    <w:p>
      <w:pPr>
        <w:spacing w:after="0" w:line="191" w:lineRule="auto"/>
        <w:rPr>
          <w:sz w:val="20"/>
          <w:szCs w:val="20"/>
          <w:color w:val="auto"/>
        </w:rPr>
      </w:pPr>
      <w:r>
        <w:rPr>
          <w:rFonts w:ascii="Arial" w:cs="Arial" w:eastAsia="Arial" w:hAnsi="Arial"/>
          <w:sz w:val="17"/>
          <w:szCs w:val="17"/>
          <w:color w:val="auto"/>
        </w:rPr>
        <w:t xml:space="preserve">GAS-eight Ltd. </w:t>
      </w:r>
      <w:r>
        <w:rPr>
          <w:rFonts w:ascii="Arial" w:cs="Arial" w:eastAsia="Arial" w:hAnsi="Arial"/>
          <w:sz w:val="28"/>
          <w:szCs w:val="28"/>
          <w:color w:val="auto"/>
          <w:vertAlign w:val="superscript"/>
        </w:rPr>
        <w:t>(1)</w:t>
      </w:r>
    </w:p>
    <w:p>
      <w:pPr>
        <w:spacing w:after="0" w:line="191" w:lineRule="auto"/>
        <w:rPr>
          <w:sz w:val="20"/>
          <w:szCs w:val="20"/>
          <w:color w:val="auto"/>
        </w:rPr>
      </w:pPr>
      <w:r>
        <w:rPr>
          <w:rFonts w:ascii="Arial" w:cs="Arial" w:eastAsia="Arial" w:hAnsi="Arial"/>
          <w:sz w:val="17"/>
          <w:szCs w:val="17"/>
          <w:color w:val="auto"/>
        </w:rPr>
        <w:t xml:space="preserve">GAS-eight Ltd. </w:t>
      </w:r>
      <w:r>
        <w:rPr>
          <w:rFonts w:ascii="Arial" w:cs="Arial" w:eastAsia="Arial" w:hAnsi="Arial"/>
          <w:sz w:val="28"/>
          <w:szCs w:val="28"/>
          <w:color w:val="auto"/>
          <w:vertAlign w:val="superscript"/>
        </w:rPr>
        <w:t>(1)</w:t>
      </w:r>
    </w:p>
    <w:p>
      <w:pPr>
        <w:spacing w:after="0" w:line="192" w:lineRule="auto"/>
        <w:rPr>
          <w:sz w:val="20"/>
          <w:szCs w:val="20"/>
          <w:color w:val="auto"/>
        </w:rPr>
      </w:pPr>
      <w:r>
        <w:rPr>
          <w:rFonts w:ascii="Arial" w:cs="Arial" w:eastAsia="Arial" w:hAnsi="Arial"/>
          <w:sz w:val="17"/>
          <w:szCs w:val="17"/>
          <w:color w:val="auto"/>
        </w:rPr>
        <w:t xml:space="preserve">GAS-eight Ltd. </w:t>
      </w:r>
      <w:r>
        <w:rPr>
          <w:rFonts w:ascii="Arial" w:cs="Arial" w:eastAsia="Arial" w:hAnsi="Arial"/>
          <w:sz w:val="28"/>
          <w:szCs w:val="28"/>
          <w:color w:val="auto"/>
          <w:vertAlign w:val="superscript"/>
        </w:rPr>
        <w:t>(1)</w:t>
      </w:r>
    </w:p>
    <w:p>
      <w:pPr>
        <w:spacing w:after="0" w:line="184" w:lineRule="auto"/>
        <w:rPr>
          <w:sz w:val="20"/>
          <w:szCs w:val="20"/>
          <w:color w:val="auto"/>
        </w:rPr>
      </w:pPr>
      <w:r>
        <w:rPr>
          <w:rFonts w:ascii="Arial" w:cs="Arial" w:eastAsia="Arial" w:hAnsi="Arial"/>
          <w:sz w:val="18"/>
          <w:szCs w:val="18"/>
          <w:color w:val="auto"/>
        </w:rPr>
        <w:t xml:space="preserve">GAS-one Ltd. </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 xml:space="preserve">GAS-one Ltd. </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 xml:space="preserve">GAS-six Ltd. </w:t>
      </w:r>
      <w:r>
        <w:rPr>
          <w:rFonts w:ascii="Arial" w:cs="Arial" w:eastAsia="Arial" w:hAnsi="Arial"/>
          <w:sz w:val="29"/>
          <w:szCs w:val="29"/>
          <w:color w:val="auto"/>
          <w:vertAlign w:val="superscript"/>
        </w:rPr>
        <w:t>(1)</w:t>
      </w:r>
    </w:p>
    <w:p>
      <w:pPr>
        <w:spacing w:after="0" w:line="206" w:lineRule="auto"/>
        <w:rPr>
          <w:sz w:val="20"/>
          <w:szCs w:val="20"/>
          <w:color w:val="auto"/>
        </w:rPr>
      </w:pPr>
      <w:r>
        <w:rPr>
          <w:rFonts w:ascii="Arial" w:cs="Arial" w:eastAsia="Arial" w:hAnsi="Arial"/>
          <w:sz w:val="16"/>
          <w:szCs w:val="16"/>
          <w:color w:val="auto"/>
        </w:rPr>
        <w:t xml:space="preserve">GAS-seven Ltd. </w:t>
      </w:r>
      <w:r>
        <w:rPr>
          <w:rFonts w:ascii="Arial" w:cs="Arial" w:eastAsia="Arial" w:hAnsi="Arial"/>
          <w:sz w:val="26"/>
          <w:szCs w:val="26"/>
          <w:color w:val="auto"/>
          <w:vertAlign w:val="superscript"/>
        </w:rPr>
        <w:t>(1)</w:t>
      </w:r>
    </w:p>
    <w:p>
      <w:pPr>
        <w:spacing w:after="0" w:line="206" w:lineRule="auto"/>
        <w:rPr>
          <w:sz w:val="20"/>
          <w:szCs w:val="20"/>
          <w:color w:val="auto"/>
        </w:rPr>
      </w:pPr>
      <w:r>
        <w:rPr>
          <w:rFonts w:ascii="Arial" w:cs="Arial" w:eastAsia="Arial" w:hAnsi="Arial"/>
          <w:sz w:val="16"/>
          <w:szCs w:val="16"/>
          <w:color w:val="auto"/>
        </w:rPr>
        <w:t xml:space="preserve">GAS-seven Ltd. </w:t>
      </w:r>
      <w:r>
        <w:rPr>
          <w:rFonts w:ascii="Arial" w:cs="Arial" w:eastAsia="Arial" w:hAnsi="Arial"/>
          <w:sz w:val="26"/>
          <w:szCs w:val="26"/>
          <w:color w:val="auto"/>
          <w:vertAlign w:val="superscript"/>
        </w:rPr>
        <w:t>(1)</w:t>
      </w:r>
    </w:p>
    <w:p>
      <w:pPr>
        <w:spacing w:after="0" w:line="184" w:lineRule="auto"/>
        <w:rPr>
          <w:sz w:val="20"/>
          <w:szCs w:val="20"/>
          <w:color w:val="auto"/>
        </w:rPr>
      </w:pPr>
      <w:r>
        <w:rPr>
          <w:rFonts w:ascii="Arial" w:cs="Arial" w:eastAsia="Arial" w:hAnsi="Arial"/>
          <w:sz w:val="18"/>
          <w:szCs w:val="18"/>
          <w:color w:val="auto"/>
        </w:rPr>
        <w:t xml:space="preserve">GAS-two Ltd. </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 xml:space="preserve">GAS-two Ltd. </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 xml:space="preserve">GAS-two Ltd. </w:t>
      </w:r>
      <w:r>
        <w:rPr>
          <w:rFonts w:ascii="Arial" w:cs="Arial" w:eastAsia="Arial" w:hAnsi="Arial"/>
          <w:sz w:val="29"/>
          <w:szCs w:val="29"/>
          <w:color w:val="auto"/>
          <w:vertAlign w:val="superscript"/>
        </w:rPr>
        <w:t>(1)</w:t>
      </w:r>
    </w:p>
    <w:p>
      <w:pPr>
        <w:spacing w:after="0" w:line="184"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 (3)</w:t>
      </w:r>
    </w:p>
    <w:p>
      <w:pPr>
        <w:spacing w:after="0" w:line="184" w:lineRule="auto"/>
        <w:rPr>
          <w:sz w:val="20"/>
          <w:szCs w:val="20"/>
          <w:color w:val="auto"/>
        </w:rPr>
      </w:pPr>
      <w:r>
        <w:rPr>
          <w:rFonts w:ascii="Arial" w:cs="Arial" w:eastAsia="Arial" w:hAnsi="Arial"/>
          <w:sz w:val="29"/>
          <w:szCs w:val="29"/>
          <w:color w:val="auto"/>
          <w:vertAlign w:val="subscript"/>
        </w:rPr>
        <w:t>GasLog</w:t>
      </w:r>
      <w:r>
        <w:rPr>
          <w:rFonts w:ascii="Arial" w:cs="Arial" w:eastAsia="Arial" w:hAnsi="Arial"/>
          <w:sz w:val="13"/>
          <w:szCs w:val="13"/>
          <w:color w:val="auto"/>
        </w:rPr>
        <w:t xml:space="preserve"> (2) (3)</w:t>
      </w:r>
    </w:p>
    <w:p>
      <w:pPr>
        <w:spacing w:after="0" w:line="186"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 (3)</w:t>
      </w:r>
    </w:p>
    <w:p>
      <w:pPr>
        <w:spacing w:after="0" w:line="184"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 xml:space="preserve">GasLog </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GasLog </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089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SEB</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ING Bank N.V.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ING Bank N.V.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DNB Bank ASA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CBA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Danish Ship Finance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Danish Ship Finance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ABN-AMRO Bank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Suisse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Credit Suisse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CBA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DNB Bank ASA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DNB Bank ASA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DNB Bank ASA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DNB Bank ASA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HSBC Bank Plc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HSBC Bank Plc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HSBC Bank Plc</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Nordea Bank Finland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Nordea Bank Finland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Nordea Bank Finland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SEB</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Trade</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Effective</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Termination</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Fixed Interest</w:t>
            </w:r>
          </w:p>
        </w:tc>
        <w:tc>
          <w:tcPr>
            <w:tcW w:w="29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December 31,</w:t>
            </w:r>
          </w:p>
        </w:tc>
        <w:tc>
          <w:tcPr>
            <w:tcW w:w="13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2.26%</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39,263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2.26%</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39,263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2.05%</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12,636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2.05%</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12,636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2.05%</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12,636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2.06%</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12,636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Oct 2011</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Nov 2011</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2.10%</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64,095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2013</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Aug 2013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55,554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55,096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2012</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Nov 2013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2.23%</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96,000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2014</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1.77%</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32,000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2013</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28,333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2013</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28,333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2013</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28,333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1.98%/1.88%</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1.98%/1.88%</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1.98%/1.88%</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1.784%</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1.729%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1.719%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1.896%</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1.818%</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1.905%</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1.84%</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1.815%</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1.928%</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1.8405%</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0"/>
        </w:trPr>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2022</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1.814%</w:t>
            </w:r>
          </w:p>
        </w:tc>
        <w:tc>
          <w:tcPr>
            <w:tcW w:w="2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516,814</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870,000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-4587240</wp:posOffset>
            </wp:positionV>
            <wp:extent cx="72466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-4261485</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-3935730</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-3609975</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-3284220</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-2957830</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-2632075</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-2306320</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-1980565</wp:posOffset>
            </wp:positionV>
            <wp:extent cx="72466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-1654810</wp:posOffset>
            </wp:positionV>
            <wp:extent cx="72466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-1328420</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-1002665</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-676910</wp:posOffset>
            </wp:positionV>
            <wp:extent cx="72466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-351155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-4921885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400" w:space="440"/>
            <w:col w:w="1560" w:space="280"/>
            <w:col w:w="7740"/>
          </w:cols>
          <w:pgMar w:left="240" w:top="409" w:right="239" w:bottom="1440" w:gutter="0" w:footer="0" w:header="0"/>
          <w:type w:val="continuous"/>
        </w:sectPr>
      </w:pPr>
    </w:p>
    <w:p>
      <w:pPr>
        <w:spacing w:after="0" w:line="105" w:lineRule="exact"/>
        <w:rPr>
          <w:sz w:val="20"/>
          <w:szCs w:val="20"/>
          <w:color w:val="auto"/>
        </w:rPr>
      </w:pPr>
    </w:p>
    <w:p>
      <w:pPr>
        <w:ind w:left="200" w:right="220" w:hanging="192"/>
        <w:spacing w:after="0" w:line="291" w:lineRule="auto"/>
        <w:tabs>
          <w:tab w:leader="none" w:pos="200" w:val="left"/>
        </w:tabs>
        <w:numPr>
          <w:ilvl w:val="0"/>
          <w:numId w:val="25"/>
        </w:numPr>
        <w:rPr>
          <w:rFonts w:ascii="Arial" w:cs="Arial" w:eastAsia="Arial" w:hAnsi="Arial"/>
          <w:sz w:val="11"/>
          <w:szCs w:val="11"/>
          <w:color w:val="auto"/>
        </w:rPr>
      </w:pPr>
      <w:r>
        <w:rPr>
          <w:rFonts w:ascii="Arial" w:cs="Arial" w:eastAsia="Arial" w:hAnsi="Arial"/>
          <w:sz w:val="13"/>
          <w:szCs w:val="13"/>
          <w:color w:val="auto"/>
        </w:rPr>
        <w:t>In July 2016, the Group terminated these interest rate swap agreements associated with the six legacy facilities being re-financed by the Legacy Facility Re-financing (Note 6) paying their fair value on that date. The cumulative loss of $4,978 from the period that hedging was effective was recycled to profit or loss in the three and nine months ended September 30, 2016.</w:t>
      </w:r>
    </w:p>
    <w:p>
      <w:pPr>
        <w:spacing w:after="0" w:line="83" w:lineRule="exact"/>
        <w:rPr>
          <w:rFonts w:ascii="Arial" w:cs="Arial" w:eastAsia="Arial" w:hAnsi="Arial"/>
          <w:sz w:val="11"/>
          <w:szCs w:val="11"/>
          <w:color w:val="auto"/>
        </w:rPr>
      </w:pPr>
    </w:p>
    <w:p>
      <w:pPr>
        <w:ind w:left="200" w:hanging="192"/>
        <w:spacing w:after="0"/>
        <w:tabs>
          <w:tab w:leader="none" w:pos="200" w:val="left"/>
        </w:tabs>
        <w:numPr>
          <w:ilvl w:val="0"/>
          <w:numId w:val="25"/>
        </w:numPr>
        <w:rPr>
          <w:rFonts w:ascii="Arial" w:cs="Arial" w:eastAsia="Arial" w:hAnsi="Arial"/>
          <w:sz w:val="12"/>
          <w:szCs w:val="12"/>
          <w:color w:val="auto"/>
        </w:rPr>
      </w:pPr>
      <w:r>
        <w:rPr>
          <w:rFonts w:ascii="Arial" w:cs="Arial" w:eastAsia="Arial" w:hAnsi="Arial"/>
          <w:sz w:val="14"/>
          <w:szCs w:val="14"/>
          <w:color w:val="auto"/>
        </w:rPr>
        <w:t>In July 2016, GasLog entered into new interest rate swap agreements with a notional value of $870,000 in aggregate, maturing between 2020 and 2022.</w:t>
      </w:r>
    </w:p>
    <w:p>
      <w:pPr>
        <w:spacing w:after="0" w:line="149" w:lineRule="exact"/>
        <w:rPr>
          <w:rFonts w:ascii="Arial" w:cs="Arial" w:eastAsia="Arial" w:hAnsi="Arial"/>
          <w:sz w:val="12"/>
          <w:szCs w:val="12"/>
          <w:color w:val="auto"/>
        </w:rPr>
      </w:pPr>
    </w:p>
    <w:p>
      <w:pPr>
        <w:ind w:left="200" w:hanging="192"/>
        <w:spacing w:after="0" w:line="253" w:lineRule="auto"/>
        <w:tabs>
          <w:tab w:leader="none" w:pos="20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fixed interest rate is agreed at 1.98% until December 2016 and will change to 1.88% until termination if the USD/EUR currency exchange rate is lower than or equal to 1.00 on December 15, 2016.</w:t>
      </w:r>
    </w:p>
    <w:p>
      <w:pPr>
        <w:spacing w:after="0" w:line="1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September 30, 2016. The change in the fair value of these contracts for the three and nine months ended September 30, 2016 amounted to a net loss of $184 and $9,693 (for the three and nine months ended September 30, 2015: a loss of $5,538 and $5,968, respectively), which was recognized against profit or loss in the period incurred and is included in Loss on swaps. During the three and nine months ended September 30, 2016, the net loss of $184 and $9,693 derived mainly from the fact that the LIBOR yield curve, which was used to calculate the present value of the estimated future cash flows, was lower than the agreed fixed interest rates resulting in an increase in derivative liabilities from interest rate swaps held for trading.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 (“CCSs”)</w:t>
      </w:r>
    </w:p>
    <w:p>
      <w:pPr>
        <w:spacing w:after="0" w:line="229"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senior unsecured notes which are denominated in NOK.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45" w:name="page46"/>
    <w:bookmarkEnd w:id="45"/>
    <w:p>
      <w:pPr>
        <w:ind w:left="340"/>
        <w:spacing w:after="0"/>
        <w:rPr>
          <w:sz w:val="20"/>
          <w:szCs w:val="20"/>
          <w:color w:val="auto"/>
        </w:rPr>
      </w:pPr>
      <w:r>
        <w:rPr>
          <w:rFonts w:ascii="Arial" w:cs="Arial" w:eastAsia="Arial" w:hAnsi="Arial"/>
          <w:sz w:val="18"/>
          <w:szCs w:val="18"/>
          <w:color w:val="auto"/>
        </w:rPr>
        <w:t>The principal terms of the CCSs designated as cash flow hedging instruments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Effective</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Termination</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Fixed Interest</w:t>
            </w:r>
          </w:p>
        </w:tc>
        <w:tc>
          <w:tcPr>
            <w:tcW w:w="296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Notional Amount</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36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5"/>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220" w:type="dxa"/>
            <w:vAlign w:val="bottom"/>
            <w:tcBorders>
              <w:bottom w:val="single" w:sz="8" w:color="E5FFFF"/>
            </w:tcBorders>
            <w:gridSpan w:val="2"/>
          </w:tcPr>
          <w:p>
            <w:pPr>
              <w:spacing w:after="0"/>
              <w:rPr>
                <w:sz w:val="20"/>
                <w:szCs w:val="20"/>
                <w:color w:val="auto"/>
              </w:rPr>
            </w:pPr>
          </w:p>
        </w:tc>
        <w:tc>
          <w:tcPr>
            <w:tcW w:w="16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Counterparty</w:t>
            </w:r>
          </w:p>
        </w:tc>
        <w:tc>
          <w:tcPr>
            <w:tcW w:w="220" w:type="dxa"/>
            <w:vAlign w:val="bottom"/>
            <w:tcBorders>
              <w:bottom w:val="single" w:sz="8" w:color="E5FF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Trade Date</w:t>
            </w:r>
          </w:p>
        </w:tc>
        <w:tc>
          <w:tcPr>
            <w:tcW w:w="220" w:type="dxa"/>
            <w:vAlign w:val="bottom"/>
            <w:tcBorders>
              <w:bottom w:val="single" w:sz="8" w:color="E5FF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E5FF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E5FF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20" w:type="dxa"/>
            <w:vAlign w:val="bottom"/>
            <w:shd w:val="clear" w:color="auto" w:fill="E5FFFF"/>
          </w:tcPr>
          <w:p>
            <w:pPr>
              <w:spacing w:after="0" w:line="251"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2013</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2013</w:t>
            </w:r>
          </w:p>
        </w:tc>
        <w:tc>
          <w:tcPr>
            <w:tcW w:w="11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7"/>
              </w:rPr>
              <w:t>June 2016</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7.40%</w:t>
            </w:r>
          </w:p>
        </w:tc>
        <w:tc>
          <w:tcPr>
            <w:tcW w:w="220" w:type="dxa"/>
            <w:vAlign w:val="bottom"/>
            <w:shd w:val="clear" w:color="auto" w:fill="E5FFFF"/>
          </w:tcPr>
          <w:p>
            <w:pPr>
              <w:spacing w:after="0"/>
              <w:rPr>
                <w:sz w:val="21"/>
                <w:szCs w:val="21"/>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27,732</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40" w:type="dxa"/>
            <w:vAlign w:val="bottom"/>
            <w:gridSpan w:val="3"/>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840" w:type="dxa"/>
            <w:vAlign w:val="bottom"/>
            <w:gridSpan w:val="2"/>
          </w:tcPr>
          <w:p>
            <w:pPr>
              <w:spacing w:after="0"/>
              <w:rPr>
                <w:sz w:val="20"/>
                <w:szCs w:val="20"/>
                <w:color w:val="auto"/>
              </w:rPr>
            </w:pPr>
            <w:r>
              <w:rPr>
                <w:rFonts w:ascii="Arial" w:cs="Arial" w:eastAsia="Arial" w:hAnsi="Arial"/>
                <w:sz w:val="18"/>
                <w:szCs w:val="18"/>
                <w:color w:val="auto"/>
              </w:rPr>
              <w:t>SEB</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2013</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2016</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7.41%</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27,731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8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 Bank Finland</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2013</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2013</w:t>
            </w:r>
          </w:p>
        </w:tc>
        <w:tc>
          <w:tcPr>
            <w:tcW w:w="11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7"/>
              </w:rPr>
              <w:t>June 2016</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7.43%</w:t>
            </w:r>
          </w:p>
        </w:tc>
        <w:tc>
          <w:tcPr>
            <w:tcW w:w="2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27,743</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3"/>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840" w:type="dxa"/>
            <w:vAlign w:val="bottom"/>
            <w:gridSpan w:val="2"/>
          </w:tcPr>
          <w:p>
            <w:pPr>
              <w:spacing w:after="0"/>
              <w:rPr>
                <w:sz w:val="20"/>
                <w:szCs w:val="20"/>
                <w:color w:val="auto"/>
              </w:rPr>
            </w:pPr>
            <w:r>
              <w:rPr>
                <w:rFonts w:ascii="Arial" w:cs="Arial" w:eastAsia="Arial" w:hAnsi="Arial"/>
                <w:sz w:val="18"/>
                <w:szCs w:val="18"/>
                <w:color w:val="auto"/>
              </w:rPr>
              <w:t>DNB Bank ASA</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2014</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27,871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22,965</w:t>
            </w:r>
          </w:p>
        </w:tc>
        <w:tc>
          <w:tcPr>
            <w:tcW w:w="0" w:type="dxa"/>
            <w:vAlign w:val="bottom"/>
          </w:tcPr>
          <w:p>
            <w:pPr>
              <w:spacing w:after="0"/>
              <w:rPr>
                <w:sz w:val="1"/>
                <w:szCs w:val="1"/>
                <w:color w:val="auto"/>
              </w:rPr>
            </w:pPr>
          </w:p>
        </w:tc>
      </w:tr>
      <w:tr>
        <w:trPr>
          <w:trHeight w:val="257"/>
        </w:trPr>
        <w:tc>
          <w:tcPr>
            <w:tcW w:w="18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8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SEB</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8"/>
              </w:rPr>
              <w:t>April 2014</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1"/>
              </w:rPr>
              <w:t>May 2014</w:t>
            </w:r>
          </w:p>
        </w:tc>
        <w:tc>
          <w:tcPr>
            <w:tcW w:w="11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7"/>
              </w:rPr>
              <w:t>June 2018</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27,871</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22,965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3"/>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1840" w:type="dxa"/>
            <w:vAlign w:val="bottom"/>
            <w:gridSpan w:val="2"/>
          </w:tcPr>
          <w:p>
            <w:pPr>
              <w:spacing w:after="0"/>
              <w:rPr>
                <w:sz w:val="20"/>
                <w:szCs w:val="20"/>
                <w:color w:val="auto"/>
              </w:rPr>
            </w:pPr>
            <w:r>
              <w:rPr>
                <w:rFonts w:ascii="Arial" w:cs="Arial" w:eastAsia="Arial" w:hAnsi="Arial"/>
                <w:sz w:val="18"/>
                <w:szCs w:val="18"/>
                <w:color w:val="auto"/>
              </w:rPr>
              <w:t>Nordea Bank Finland</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2014</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2014</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27,871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22,965</w:t>
            </w:r>
          </w:p>
        </w:tc>
        <w:tc>
          <w:tcPr>
            <w:tcW w:w="0" w:type="dxa"/>
            <w:vAlign w:val="bottom"/>
          </w:tcPr>
          <w:p>
            <w:pPr>
              <w:spacing w:after="0"/>
              <w:rPr>
                <w:sz w:val="1"/>
                <w:szCs w:val="1"/>
                <w:color w:val="auto"/>
              </w:rPr>
            </w:pPr>
          </w:p>
        </w:tc>
      </w:tr>
      <w:tr>
        <w:trPr>
          <w:trHeight w:val="257"/>
        </w:trPr>
        <w:tc>
          <w:tcPr>
            <w:tcW w:w="184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(2)</w:t>
            </w:r>
          </w:p>
        </w:tc>
        <w:tc>
          <w:tcPr>
            <w:tcW w:w="18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DNB Bank ASA</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2016</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2016</w:t>
            </w:r>
          </w:p>
        </w:tc>
        <w:tc>
          <w:tcPr>
            <w:tcW w:w="11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8.59%</w:t>
            </w:r>
          </w:p>
        </w:tc>
        <w:tc>
          <w:tcPr>
            <w:tcW w:w="2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3"/>
          </w:tcPr>
          <w:p>
            <w:pPr>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(2)</w:t>
            </w:r>
          </w:p>
        </w:tc>
        <w:tc>
          <w:tcPr>
            <w:tcW w:w="1840" w:type="dxa"/>
            <w:vAlign w:val="bottom"/>
            <w:gridSpan w:val="2"/>
          </w:tcPr>
          <w:p>
            <w:pPr>
              <w:spacing w:after="0"/>
              <w:rPr>
                <w:sz w:val="20"/>
                <w:szCs w:val="20"/>
                <w:color w:val="auto"/>
              </w:rPr>
            </w:pPr>
            <w:r>
              <w:rPr>
                <w:rFonts w:ascii="Arial" w:cs="Arial" w:eastAsia="Arial" w:hAnsi="Arial"/>
                <w:sz w:val="18"/>
                <w:szCs w:val="18"/>
                <w:color w:val="auto"/>
              </w:rPr>
              <w:t>SEB</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2016</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2016</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2021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8.59%</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70"/>
        </w:trPr>
        <w:tc>
          <w:tcPr>
            <w:tcW w:w="1840" w:type="dxa"/>
            <w:vAlign w:val="bottom"/>
            <w:gridSpan w:val="3"/>
            <w:shd w:val="clear" w:color="auto" w:fill="E5FFFF"/>
          </w:tcPr>
          <w:p>
            <w:pPr>
              <w:spacing w:after="0" w:line="269" w:lineRule="exact"/>
              <w:rPr>
                <w:sz w:val="20"/>
                <w:szCs w:val="20"/>
                <w:color w:val="auto"/>
              </w:rPr>
            </w:pPr>
            <w:r>
              <w:rPr>
                <w:rFonts w:ascii="Arial" w:cs="Arial" w:eastAsia="Arial" w:hAnsi="Arial"/>
                <w:sz w:val="18"/>
                <w:szCs w:val="18"/>
                <w:color w:val="auto"/>
              </w:rPr>
              <w:t>GasLog</w:t>
            </w:r>
            <w:r>
              <w:rPr>
                <w:rFonts w:ascii="Arial" w:cs="Arial" w:eastAsia="Arial" w:hAnsi="Arial"/>
                <w:sz w:val="30"/>
                <w:szCs w:val="30"/>
                <w:color w:val="auto"/>
                <w:vertAlign w:val="superscript"/>
              </w:rPr>
              <w:t>(2)</w:t>
            </w:r>
          </w:p>
        </w:tc>
        <w:tc>
          <w:tcPr>
            <w:tcW w:w="18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Nordea Bank Finland</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2016</w:t>
            </w:r>
          </w:p>
        </w:tc>
        <w:tc>
          <w:tcPr>
            <w:tcW w:w="11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2016</w:t>
            </w:r>
          </w:p>
        </w:tc>
        <w:tc>
          <w:tcPr>
            <w:tcW w:w="116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8.59%</w:t>
            </w:r>
          </w:p>
        </w:tc>
        <w:tc>
          <w:tcPr>
            <w:tcW w:w="220" w:type="dxa"/>
            <w:vAlign w:val="bottom"/>
            <w:shd w:val="clear" w:color="auto" w:fill="E5FFFF"/>
          </w:tcPr>
          <w:p>
            <w:pPr>
              <w:spacing w:after="0"/>
              <w:rPr>
                <w:sz w:val="23"/>
                <w:szCs w:val="23"/>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166,819</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159,045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00" w:right="40" w:hanging="192"/>
        <w:spacing w:after="0" w:line="253" w:lineRule="auto"/>
        <w:tabs>
          <w:tab w:leader="none" w:pos="200" w:val="left"/>
        </w:tabs>
        <w:numPr>
          <w:ilvl w:val="0"/>
          <w:numId w:val="26"/>
        </w:numPr>
        <w:rPr>
          <w:rFonts w:ascii="Arial" w:cs="Arial" w:eastAsia="Arial" w:hAnsi="Arial"/>
          <w:sz w:val="12"/>
          <w:szCs w:val="12"/>
          <w:color w:val="auto"/>
        </w:rPr>
      </w:pPr>
      <w:r>
        <w:rPr>
          <w:rFonts w:ascii="Arial" w:cs="Arial" w:eastAsia="Arial" w:hAnsi="Arial"/>
          <w:sz w:val="14"/>
          <w:szCs w:val="14"/>
          <w:color w:val="auto"/>
        </w:rPr>
        <w:t>On June 27, 2016, GasLog terminated the first three CCSs agreements and decreased the notional amount of the remaining three CCSs by paying their fair value on that date. The cumulative loss of $5,583 from the period that hedging was effective was recycled to profit or loss in the three and nine months ended September 30, 2016.</w:t>
      </w:r>
    </w:p>
    <w:p>
      <w:pPr>
        <w:spacing w:after="0" w:line="106" w:lineRule="exact"/>
        <w:rPr>
          <w:rFonts w:ascii="Arial" w:cs="Arial" w:eastAsia="Arial" w:hAnsi="Arial"/>
          <w:sz w:val="12"/>
          <w:szCs w:val="12"/>
          <w:color w:val="auto"/>
        </w:rPr>
      </w:pPr>
    </w:p>
    <w:p>
      <w:pPr>
        <w:ind w:left="200" w:right="80" w:hanging="192"/>
        <w:spacing w:after="0" w:line="253" w:lineRule="auto"/>
        <w:tabs>
          <w:tab w:leader="none" w:pos="200" w:val="left"/>
        </w:tabs>
        <w:numPr>
          <w:ilvl w:val="0"/>
          <w:numId w:val="26"/>
        </w:numPr>
        <w:rPr>
          <w:rFonts w:ascii="Arial" w:cs="Arial" w:eastAsia="Arial" w:hAnsi="Arial"/>
          <w:sz w:val="12"/>
          <w:szCs w:val="12"/>
          <w:color w:val="auto"/>
        </w:rPr>
      </w:pPr>
      <w:r>
        <w:rPr>
          <w:rFonts w:ascii="Arial" w:cs="Arial" w:eastAsia="Arial" w:hAnsi="Arial"/>
          <w:sz w:val="14"/>
          <w:szCs w:val="14"/>
          <w:color w:val="auto"/>
        </w:rPr>
        <w:t>On June 20, 2016, in conjunction with the issuance of the New Bond (Note 6), GasLog entered into these CCSs to exchange interest payments and principal on maturity on the same terms as the New Bond.</w:t>
      </w:r>
    </w:p>
    <w:p>
      <w:pPr>
        <w:spacing w:after="0" w:line="11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For the three and nine months ended September 30, 2016, the effective portion of changes in the fair value of CCSs amounting to a gain of $10,271 and $9,889 has been recognized in Other comprehensive income (for the three and nine months ended September 30, 2015: a loss of $11,395 and $18,977). For the three and nine months ended September 30, 2016, a loss of $394 and $2,067 was recycled to profit or loss representing the realized loss on CCSs in relation to the interest expense component of the hedge (for the three and nine months ended September 30, 2015: a loss of $742 and $1,823, respectively). Additionally, for the three and nine months ended September 30, 2016, a loss of $6,152 and a loss of $11,147, was recognized in Other comprehensive income in relation to the retranslation of the Bond in U.S. dollars as of September 30, 2016 (for the three and nine months ended September 30, 2015: a gain of $9,036 and $16,860,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British Pounds Sterling (“GBP”). Under these forward foreign exchange contracts, the bank counterparty will effect fixed payments in GBP to the Group and the Group will effect fixed payments in USD to the bank counterparty on the respective settlement dates. All forward foreign exchange contracts are considered by management to be part of economic hedge arrangements but have not been formally designated.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Fixed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Settlement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 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Counterparty</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Trade Date</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(USD/GBP)</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Exchange Amount</w:t>
            </w:r>
          </w:p>
        </w:tc>
      </w:tr>
      <w:tr>
        <w:trPr>
          <w:trHeight w:val="210"/>
        </w:trPr>
        <w:tc>
          <w:tcPr>
            <w:tcW w:w="13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w:t>
            </w:r>
          </w:p>
        </w:tc>
        <w:tc>
          <w:tcPr>
            <w:tcW w:w="3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8"/>
              </w:rPr>
              <w:t>SEB</w:t>
            </w:r>
          </w:p>
        </w:tc>
        <w:tc>
          <w:tcPr>
            <w:tcW w:w="3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August 2016</w:t>
            </w:r>
          </w:p>
        </w:tc>
        <w:tc>
          <w:tcPr>
            <w:tcW w:w="3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January 2017</w:t>
            </w:r>
          </w:p>
        </w:tc>
        <w:tc>
          <w:tcPr>
            <w:tcW w:w="32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1.3147</w:t>
            </w:r>
          </w:p>
        </w:tc>
        <w:tc>
          <w:tcPr>
            <w:tcW w:w="3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August 2016</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February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1.3147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6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7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August 2016</w:t>
            </w:r>
          </w:p>
        </w:tc>
        <w:tc>
          <w:tcPr>
            <w:tcW w:w="17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2"/>
              </w:rPr>
              <w:t>March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1.3147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August 2016</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April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1.3147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16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8"/>
              </w:rPr>
              <w:t>SEB</w:t>
            </w:r>
          </w:p>
        </w:tc>
        <w:tc>
          <w:tcPr>
            <w:tcW w:w="17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90"/>
              </w:rPr>
              <w:t>August 2016</w:t>
            </w:r>
          </w:p>
        </w:tc>
        <w:tc>
          <w:tcPr>
            <w:tcW w:w="1760" w:type="dxa"/>
            <w:vAlign w:val="bottom"/>
            <w:gridSpan w:val="2"/>
            <w:shd w:val="clear" w:color="auto" w:fill="E5FFFF"/>
          </w:tcPr>
          <w:p>
            <w:pPr>
              <w:jc w:val="center"/>
              <w:ind w:right="340"/>
              <w:spacing w:after="0"/>
              <w:rPr>
                <w:sz w:val="20"/>
                <w:szCs w:val="20"/>
                <w:color w:val="auto"/>
              </w:rPr>
            </w:pPr>
            <w:r>
              <w:rPr>
                <w:rFonts w:ascii="Arial" w:cs="Arial" w:eastAsia="Arial" w:hAnsi="Arial"/>
                <w:sz w:val="18"/>
                <w:szCs w:val="18"/>
                <w:color w:val="auto"/>
                <w:w w:val="93"/>
              </w:rPr>
              <w:t>May 2017</w:t>
            </w:r>
          </w:p>
        </w:tc>
        <w:tc>
          <w:tcPr>
            <w:tcW w:w="1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1.3147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SEB</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August 2016</w:t>
            </w: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2017</w:t>
            </w:r>
          </w:p>
        </w:tc>
        <w:tc>
          <w:tcPr>
            <w:tcW w:w="1420" w:type="dxa"/>
            <w:vAlign w:val="bottom"/>
          </w:tcPr>
          <w:p>
            <w:pPr>
              <w:jc w:val="right"/>
              <w:spacing w:after="0"/>
              <w:rPr>
                <w:sz w:val="20"/>
                <w:szCs w:val="20"/>
                <w:color w:val="auto"/>
              </w:rPr>
            </w:pPr>
            <w:r>
              <w:rPr>
                <w:rFonts w:ascii="Arial" w:cs="Arial" w:eastAsia="Arial" w:hAnsi="Arial"/>
                <w:sz w:val="18"/>
                <w:szCs w:val="18"/>
                <w:color w:val="auto"/>
              </w:rPr>
              <w:t>1.3147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13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E5FFFF"/>
              <w:bottom w:val="single" w:sz="8" w:color="E5FFFF"/>
            </w:tcBorders>
            <w:shd w:val="clear" w:color="auto" w:fill="E5FFFF"/>
          </w:tcPr>
          <w:p>
            <w:pPr>
              <w:spacing w:after="0"/>
              <w:rPr>
                <w:sz w:val="19"/>
                <w:szCs w:val="19"/>
                <w:color w:val="auto"/>
              </w:rPr>
            </w:pP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14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40" w:type="dxa"/>
            <w:vAlign w:val="bottom"/>
            <w:tcBorders>
              <w:top w:val="single" w:sz="8" w:color="E5FFFF"/>
              <w:bottom w:val="single" w:sz="8" w:color="E5FFFF"/>
            </w:tcBorders>
            <w:shd w:val="clear" w:color="auto" w:fill="E5FFFF"/>
          </w:tcPr>
          <w:p>
            <w:pPr>
              <w:spacing w:after="0"/>
              <w:rPr>
                <w:sz w:val="19"/>
                <w:szCs w:val="19"/>
                <w:color w:val="auto"/>
              </w:rPr>
            </w:pP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2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b w:val="1"/>
                <w:bCs w:val="1"/>
                <w:color w:val="auto"/>
                <w:w w:val="92"/>
              </w:rPr>
              <w:t>Total</w:t>
            </w:r>
          </w:p>
        </w:tc>
        <w:tc>
          <w:tcPr>
            <w:tcW w:w="30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3,800</w:t>
            </w:r>
          </w:p>
        </w:tc>
      </w:tr>
      <w:tr>
        <w:trPr>
          <w:trHeight w:val="20"/>
        </w:trPr>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derivative instruments listed above were not designated as cash flow hedging instruments as of September 30, 2016. The change in the fair value of these contracts for the three and nine months ended September 30, 2016 amounted to a net loss of $51 (for the three and nine months ended September 30, 2015: nil), which was recognized against profit or loss in the period incurred and is included in Loss on swaps.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13. Financial Costs and Loss on Swaps</w:t>
            </w: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ind w:left="340"/>
              <w:spacing w:after="0"/>
              <w:rPr>
                <w:sz w:val="20"/>
                <w:szCs w:val="20"/>
                <w:color w:val="auto"/>
              </w:rPr>
            </w:pPr>
            <w:r>
              <w:rPr>
                <w:rFonts w:ascii="Arial" w:cs="Arial" w:eastAsia="Arial" w:hAnsi="Arial"/>
                <w:sz w:val="18"/>
                <w:szCs w:val="18"/>
                <w:color w:val="auto"/>
              </w:rPr>
              <w:t>An analysis of financial costs and loss on swaps is as follows:</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20" w:type="dxa"/>
            <w:vAlign w:val="bottom"/>
          </w:tcPr>
          <w:p>
            <w:pPr>
              <w:spacing w:after="0"/>
              <w:rPr>
                <w:sz w:val="24"/>
                <w:szCs w:val="24"/>
                <w:color w:val="auto"/>
              </w:rPr>
            </w:pPr>
          </w:p>
        </w:tc>
        <w:tc>
          <w:tcPr>
            <w:tcW w:w="3900" w:type="dxa"/>
            <w:vAlign w:val="bottom"/>
            <w:gridSpan w:val="4"/>
          </w:tcPr>
          <w:p>
            <w:pPr>
              <w:ind w:left="660"/>
              <w:spacing w:after="0"/>
              <w:rPr>
                <w:sz w:val="20"/>
                <w:szCs w:val="20"/>
                <w:color w:val="auto"/>
              </w:rPr>
            </w:pPr>
            <w:r>
              <w:rPr>
                <w:rFonts w:ascii="Arial" w:cs="Arial" w:eastAsia="Arial" w:hAnsi="Arial"/>
                <w:sz w:val="18"/>
                <w:szCs w:val="18"/>
                <w:b w:val="1"/>
                <w:bCs w:val="1"/>
                <w:color w:val="auto"/>
              </w:rPr>
              <w:t>For the three months ended</w:t>
            </w:r>
          </w:p>
        </w:tc>
        <w:tc>
          <w:tcPr>
            <w:tcW w:w="3500" w:type="dxa"/>
            <w:vAlign w:val="bottom"/>
            <w:gridSpan w:val="5"/>
          </w:tcPr>
          <w:p>
            <w:pPr>
              <w:ind w:left="66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9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19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3"/>
          </w:tcPr>
          <w:p>
            <w:pPr>
              <w:ind w:left="1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20" w:type="dxa"/>
            <w:vAlign w:val="bottom"/>
            <w:shd w:val="clear" w:color="auto" w:fill="E5FFFF"/>
          </w:tcPr>
          <w:p>
            <w:pPr>
              <w:spacing w:after="0" w:line="182" w:lineRule="exact"/>
              <w:rPr>
                <w:sz w:val="20"/>
                <w:szCs w:val="20"/>
                <w:color w:val="auto"/>
              </w:rPr>
            </w:pPr>
            <w:r>
              <w:rPr>
                <w:rFonts w:ascii="Arial" w:cs="Arial" w:eastAsia="Arial" w:hAnsi="Arial"/>
                <w:sz w:val="18"/>
                <w:szCs w:val="18"/>
                <w:color w:val="auto"/>
              </w:rPr>
              <w:t>Amortization and write-off of deferred loan/bond</w:t>
            </w:r>
          </w:p>
        </w:tc>
        <w:tc>
          <w:tcPr>
            <w:tcW w:w="1500" w:type="dxa"/>
            <w:vAlign w:val="bottom"/>
            <w:shd w:val="clear" w:color="auto" w:fill="E5FFFF"/>
          </w:tcPr>
          <w:p>
            <w:pPr>
              <w:spacing w:after="0"/>
              <w:rPr>
                <w:sz w:val="15"/>
                <w:szCs w:val="15"/>
                <w:color w:val="auto"/>
              </w:rPr>
            </w:pPr>
          </w:p>
        </w:tc>
        <w:tc>
          <w:tcPr>
            <w:tcW w:w="48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148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fees and premium</w:t>
            </w:r>
          </w:p>
        </w:tc>
        <w:tc>
          <w:tcPr>
            <w:tcW w:w="198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3,168</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20,889</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8,167</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32,246</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w w:val="96"/>
              </w:rPr>
              <w:t>Interest expense on loans and realized loss on cash</w:t>
            </w: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flow hedges</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18,240</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18,731</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49,862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Interest expense on Bond and realized loss on</w:t>
            </w:r>
          </w:p>
        </w:tc>
        <w:tc>
          <w:tcPr>
            <w:tcW w:w="15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cross-currency swaps</w:t>
            </w:r>
          </w:p>
        </w:tc>
        <w:tc>
          <w:tcPr>
            <w:tcW w:w="198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2,856</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3,034</w:t>
            </w:r>
          </w:p>
        </w:tc>
        <w:tc>
          <w:tcPr>
            <w:tcW w:w="440" w:type="dxa"/>
            <w:vAlign w:val="bottom"/>
            <w:shd w:val="clear" w:color="auto" w:fill="E5FFFF"/>
          </w:tcPr>
          <w:p>
            <w:pPr>
              <w:spacing w:after="0"/>
              <w:rPr>
                <w:sz w:val="20"/>
                <w:szCs w:val="20"/>
                <w:color w:val="auto"/>
              </w:rPr>
            </w:pP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8,475</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8,690</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Finance lease charge</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2,785</w:t>
            </w:r>
          </w:p>
        </w:tc>
        <w:tc>
          <w:tcPr>
            <w:tcW w:w="440" w:type="dxa"/>
            <w:vAlign w:val="bottom"/>
          </w:tcPr>
          <w:p>
            <w:pPr>
              <w:spacing w:after="0"/>
              <w:rPr>
                <w:sz w:val="18"/>
                <w:szCs w:val="18"/>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Loss arising on bond re-purchase at a premium</w:t>
            </w:r>
          </w:p>
        </w:tc>
        <w:tc>
          <w:tcPr>
            <w:tcW w:w="15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(Note 6)</w:t>
            </w:r>
          </w:p>
        </w:tc>
        <w:tc>
          <w:tcPr>
            <w:tcW w:w="198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 financial costs</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219</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655</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753</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financial costs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24,483</w:t>
            </w:r>
          </w:p>
        </w:tc>
        <w:tc>
          <w:tcPr>
            <w:tcW w:w="48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46,094</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67,257</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106,756</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line="195" w:lineRule="exact"/>
              <w:rPr>
                <w:sz w:val="20"/>
                <w:szCs w:val="20"/>
                <w:color w:val="auto"/>
              </w:rPr>
            </w:pPr>
            <w:r>
              <w:rPr>
                <w:rFonts w:ascii="Arial" w:cs="Arial" w:eastAsia="Arial" w:hAnsi="Arial"/>
                <w:sz w:val="18"/>
                <w:szCs w:val="18"/>
                <w:color w:val="auto"/>
              </w:rPr>
              <w:t>Unrealized loss on interest rate swaps held for</w:t>
            </w: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trading (Note 12)</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5,538</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184</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5,968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9,693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Realized loss on interest rate swaps held for</w:t>
            </w:r>
          </w:p>
        </w:tc>
        <w:tc>
          <w:tcPr>
            <w:tcW w:w="15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trading</w:t>
            </w:r>
          </w:p>
        </w:tc>
        <w:tc>
          <w:tcPr>
            <w:tcW w:w="198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2,327</w:t>
            </w:r>
          </w:p>
        </w:tc>
        <w:tc>
          <w:tcPr>
            <w:tcW w:w="1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2,509</w:t>
            </w:r>
          </w:p>
        </w:tc>
        <w:tc>
          <w:tcPr>
            <w:tcW w:w="440" w:type="dxa"/>
            <w:vAlign w:val="bottom"/>
            <w:shd w:val="clear" w:color="auto" w:fill="E5FFFF"/>
          </w:tcPr>
          <w:p>
            <w:pPr>
              <w:spacing w:after="0"/>
              <w:rPr>
                <w:sz w:val="20"/>
                <w:szCs w:val="20"/>
                <w:color w:val="auto"/>
              </w:rPr>
            </w:pP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6,682</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6,177</w:t>
            </w:r>
          </w:p>
        </w:tc>
        <w:tc>
          <w:tcPr>
            <w:tcW w:w="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Recycled loss of cash flow hedges reclassified to</w:t>
            </w: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profit or loss</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364</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17,238</w:t>
            </w:r>
          </w:p>
        </w:tc>
        <w:tc>
          <w:tcPr>
            <w:tcW w:w="1920" w:type="dxa"/>
            <w:vAlign w:val="bottom"/>
            <w:gridSpan w:val="2"/>
          </w:tcPr>
          <w:p>
            <w:pPr>
              <w:jc w:val="right"/>
              <w:ind w:right="440"/>
              <w:spacing w:after="0"/>
              <w:rPr>
                <w:sz w:val="20"/>
                <w:szCs w:val="20"/>
                <w:color w:val="auto"/>
              </w:rPr>
            </w:pPr>
            <w:r>
              <w:rPr>
                <w:rFonts w:ascii="Arial" w:cs="Arial" w:eastAsia="Arial" w:hAnsi="Arial"/>
                <w:sz w:val="18"/>
                <w:szCs w:val="18"/>
                <w:color w:val="auto"/>
              </w:rPr>
              <w:t>931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5FFFF"/>
          </w:tcPr>
          <w:p>
            <w:pPr>
              <w:spacing w:after="0"/>
              <w:rPr>
                <w:sz w:val="20"/>
                <w:szCs w:val="20"/>
                <w:color w:val="auto"/>
              </w:rPr>
            </w:pPr>
            <w:r>
              <w:rPr>
                <w:rFonts w:ascii="Arial" w:cs="Arial" w:eastAsia="Arial" w:hAnsi="Arial"/>
                <w:sz w:val="18"/>
                <w:szCs w:val="18"/>
                <w:color w:val="auto"/>
              </w:rPr>
              <w:t>Ineffective portion of cash flow hedges</w:t>
            </w:r>
          </w:p>
        </w:tc>
        <w:tc>
          <w:tcPr>
            <w:tcW w:w="198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w:t>
            </w:r>
          </w:p>
        </w:tc>
        <w:tc>
          <w:tcPr>
            <w:tcW w:w="19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(12)</w:t>
            </w:r>
          </w:p>
        </w:tc>
        <w:tc>
          <w:tcPr>
            <w:tcW w:w="15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loss on swaps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8,228</w:t>
            </w:r>
          </w:p>
        </w:tc>
        <w:tc>
          <w:tcPr>
            <w:tcW w:w="4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19,931</w:t>
            </w:r>
          </w:p>
        </w:tc>
        <w:tc>
          <w:tcPr>
            <w:tcW w:w="4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13,569</w:t>
            </w:r>
          </w:p>
        </w:tc>
        <w:tc>
          <w:tcPr>
            <w:tcW w:w="4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Non-cash Items on Statements of Cash Flows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September 30, 2016, there are capital expenditures for vessels and vessels under construction of $11,308 that have not been paid during the nine months ended September 30, 2016 and are included in current liabilities (December 31, 2015: $12,576). Also, as of September 30, 2015, there were capital expenditures of $19,948 that had not been paid during the nine months ended September 30, 2015 and were included in current liabilities (December 31, 2014: $7,999).</w:t>
      </w:r>
    </w:p>
    <w:p>
      <w:pPr>
        <w:spacing w:after="0" w:line="18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September 30, 2016, there are equity raising costs of $204 that have not been paid during the nine months ended September 30, 2016 and are included in current liabilities (December 31, 2015: $59). Also, as of September 30, 2015, there were equity raising costs of $96 that had not been paid during the nine months ended September 30, 2015 and were included in current liabilities (December 31, 2014: $174).</w:t>
      </w:r>
    </w:p>
    <w:p>
      <w:pPr>
        <w:spacing w:after="0" w:line="181"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As of September 30, 2016, there are loan issuance costs of $5,487 that have not been paid during the nine months ended September 30, 2016 and are included in current liabilities (December 31, 2015: $247). Also, as of September 30, 2015, there were loan issuance costs of $1,548 that had not been paid during the nine months ended September 30, 2015 and were included in current liabilities (December 31, 2014: $903).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terms of the 2013 Omnibus Incentive Compensation Plan (the “Plan”) and the assumptions for the valuation of Restricted Stock Units (“RSUs”) and Stock Appreciation Rights or Stock Options (collectively the “SARs”) have been disclosed in Note 20 “Share-Based Compensation” in the annual audited consolidated financial statements for the year ended December 31, 2015.</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On April 1, 2016, GasLog granted to executives, managers and certain employees of the Group, 212,837 RSUs and 848,981 SARs in accordance with the Plan. The RSUs will vest on March 31, 2019 while the SARs will vest incrementally with one-third of the SARs vesting on each of March 31, 2017, 2018 and 2019. The compensation cost for the SARs is recognized on an accelerated basis as though each separately vesting portion of the SARs is a separate award.</w:t>
      </w: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Exercise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 at</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Awards</w:t>
            </w:r>
          </w:p>
        </w:tc>
        <w:tc>
          <w:tcPr>
            <w:tcW w:w="12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9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 date</w:t>
            </w:r>
          </w:p>
        </w:tc>
        <w:tc>
          <w:tcPr>
            <w:tcW w:w="1960" w:type="dxa"/>
            <w:vAlign w:val="bottom"/>
            <w:gridSpan w:val="2"/>
          </w:tcPr>
          <w:p>
            <w:pPr>
              <w:ind w:left="300"/>
              <w:spacing w:after="0"/>
              <w:rPr>
                <w:sz w:val="20"/>
                <w:szCs w:val="20"/>
                <w:color w:val="auto"/>
              </w:rPr>
            </w:pPr>
            <w:r>
              <w:rPr>
                <w:rFonts w:ascii="Arial" w:cs="Arial" w:eastAsia="Arial" w:hAnsi="Arial"/>
                <w:sz w:val="18"/>
                <w:szCs w:val="18"/>
                <w:b w:val="1"/>
                <w:bCs w:val="1"/>
                <w:color w:val="auto"/>
              </w:rPr>
              <w:t>Expiry date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price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grant date</w:t>
            </w:r>
          </w:p>
        </w:tc>
      </w:tr>
      <w:tr>
        <w:trPr>
          <w:trHeight w:val="210"/>
        </w:trPr>
        <w:tc>
          <w:tcPr>
            <w:tcW w:w="18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RSUs</w:t>
            </w:r>
          </w:p>
        </w:tc>
        <w:tc>
          <w:tcPr>
            <w:tcW w:w="300" w:type="dxa"/>
            <w:vAlign w:val="bottom"/>
            <w:tcBorders>
              <w:top w:val="single" w:sz="8" w:color="E5FFFF"/>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212,837</w:t>
            </w:r>
          </w:p>
        </w:tc>
        <w:tc>
          <w:tcPr>
            <w:tcW w:w="32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April 1, 2016</w:t>
            </w:r>
          </w:p>
        </w:tc>
        <w:tc>
          <w:tcPr>
            <w:tcW w:w="32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SARs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848,981</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April 1, 2016</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March 31, 2026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9.28</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2.3263</w:t>
            </w:r>
          </w:p>
        </w:tc>
      </w:tr>
    </w:tbl>
    <w:p>
      <w:pPr>
        <w:spacing w:after="0" w:line="187"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GasLog’s initial public offering. The significant assumptions used to estimate the fair value of the SARs are set out below:</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Inputs into the model</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6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Grant date share closing price</w:t>
            </w:r>
          </w:p>
        </w:tc>
        <w:tc>
          <w:tcPr>
            <w:tcW w:w="2520" w:type="dxa"/>
            <w:vAlign w:val="bottom"/>
            <w:tcBorders>
              <w:top w:val="single" w:sz="8" w:color="auto"/>
            </w:tcBorders>
            <w:shd w:val="clear" w:color="auto" w:fill="E5FF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FFFF"/>
          </w:tcPr>
          <w:p>
            <w:pPr>
              <w:ind w:left="440"/>
              <w:spacing w:after="0"/>
              <w:rPr>
                <w:sz w:val="20"/>
                <w:szCs w:val="20"/>
                <w:color w:val="auto"/>
              </w:rPr>
            </w:pPr>
            <w:r>
              <w:rPr>
                <w:rFonts w:ascii="Arial" w:cs="Arial" w:eastAsia="Arial" w:hAnsi="Arial"/>
                <w:sz w:val="18"/>
                <w:szCs w:val="18"/>
                <w:color w:val="auto"/>
                <w:w w:val="91"/>
              </w:rPr>
              <w:t>9.28</w:t>
            </w:r>
          </w:p>
        </w:tc>
        <w:tc>
          <w:tcPr>
            <w:tcW w:w="160" w:type="dxa"/>
            <w:vAlign w:val="bottom"/>
            <w:tcBorders>
              <w:top w:val="single" w:sz="8" w:color="E5FFFF"/>
            </w:tcBorders>
            <w:shd w:val="clear" w:color="auto" w:fill="E5FF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Exercise price</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ind w:left="440"/>
              <w:spacing w:after="0"/>
              <w:rPr>
                <w:sz w:val="20"/>
                <w:szCs w:val="20"/>
                <w:color w:val="auto"/>
              </w:rPr>
            </w:pPr>
            <w:r>
              <w:rPr>
                <w:rFonts w:ascii="Arial" w:cs="Arial" w:eastAsia="Arial" w:hAnsi="Arial"/>
                <w:sz w:val="18"/>
                <w:szCs w:val="18"/>
                <w:color w:val="auto"/>
                <w:w w:val="91"/>
              </w:rPr>
              <w:t>9.28</w:t>
            </w:r>
          </w:p>
        </w:tc>
        <w:tc>
          <w:tcPr>
            <w:tcW w:w="160" w:type="dxa"/>
            <w:vAlign w:val="bottom"/>
          </w:tcPr>
          <w:p>
            <w:pPr>
              <w:spacing w:after="0"/>
              <w:rPr>
                <w:sz w:val="18"/>
                <w:szCs w:val="18"/>
                <w:color w:val="auto"/>
              </w:rPr>
            </w:pP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Expected volatility</w:t>
            </w:r>
          </w:p>
        </w:tc>
        <w:tc>
          <w:tcPr>
            <w:tcW w:w="25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ind w:left="440"/>
              <w:spacing w:after="0"/>
              <w:rPr>
                <w:sz w:val="20"/>
                <w:szCs w:val="20"/>
                <w:color w:val="auto"/>
              </w:rPr>
            </w:pPr>
            <w:r>
              <w:rPr>
                <w:rFonts w:ascii="Arial" w:cs="Arial" w:eastAsia="Arial" w:hAnsi="Arial"/>
                <w:sz w:val="18"/>
                <w:szCs w:val="18"/>
                <w:color w:val="auto"/>
                <w:w w:val="93"/>
              </w:rPr>
              <w:t>47.3%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term</w:t>
            </w:r>
          </w:p>
        </w:tc>
        <w:tc>
          <w:tcPr>
            <w:tcW w:w="252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6 years</w:t>
            </w:r>
          </w:p>
        </w:tc>
      </w:tr>
      <w:tr>
        <w:trPr>
          <w:trHeight w:val="216"/>
        </w:trPr>
        <w:tc>
          <w:tcPr>
            <w:tcW w:w="6820" w:type="dxa"/>
            <w:vAlign w:val="bottom"/>
            <w:shd w:val="clear" w:color="auto" w:fill="E5FFFF"/>
          </w:tcPr>
          <w:p>
            <w:pPr>
              <w:spacing w:after="0"/>
              <w:rPr>
                <w:sz w:val="20"/>
                <w:szCs w:val="20"/>
                <w:color w:val="auto"/>
              </w:rPr>
            </w:pPr>
            <w:r>
              <w:rPr>
                <w:rFonts w:ascii="Arial" w:cs="Arial" w:eastAsia="Arial" w:hAnsi="Arial"/>
                <w:sz w:val="18"/>
                <w:szCs w:val="18"/>
                <w:color w:val="auto"/>
              </w:rPr>
              <w:t>Risk-free interest rate for the period similar to the expected term</w:t>
            </w:r>
          </w:p>
        </w:tc>
        <w:tc>
          <w:tcPr>
            <w:tcW w:w="25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ind w:left="440"/>
              <w:spacing w:after="0"/>
              <w:rPr>
                <w:sz w:val="20"/>
                <w:szCs w:val="20"/>
                <w:color w:val="auto"/>
              </w:rPr>
            </w:pPr>
            <w:r>
              <w:rPr>
                <w:rFonts w:ascii="Arial" w:cs="Arial" w:eastAsia="Arial" w:hAnsi="Arial"/>
                <w:sz w:val="18"/>
                <w:szCs w:val="18"/>
                <w:color w:val="auto"/>
                <w:w w:val="93"/>
              </w:rPr>
              <w:t>1.37%</w:t>
            </w:r>
          </w:p>
        </w:tc>
      </w:tr>
    </w:tbl>
    <w:p>
      <w:pPr>
        <w:sectPr>
          <w:pgSz w:w="11900" w:h="16838" w:orient="portrait"/>
          <w:cols w:equalWidth="0" w:num="1">
            <w:col w:w="11420"/>
          </w:cols>
          <w:pgMar w:left="240" w:top="405" w:right="239" w:bottom="117" w:gutter="0" w:footer="0" w:header="0"/>
        </w:sectPr>
      </w:pPr>
    </w:p>
    <w:bookmarkStart w:id="47" w:name="page48"/>
    <w:bookmarkEnd w:id="47"/>
    <w:p>
      <w:pPr>
        <w:ind w:firstLine="324"/>
        <w:spacing w:after="0" w:line="277" w:lineRule="auto"/>
        <w:rPr>
          <w:sz w:val="20"/>
          <w:szCs w:val="20"/>
          <w:color w:val="auto"/>
        </w:rPr>
      </w:pPr>
      <w:r>
        <w:rPr>
          <w:rFonts w:ascii="Arial" w:cs="Arial" w:eastAsia="Arial" w:hAnsi="Arial"/>
          <w:sz w:val="18"/>
          <w:szCs w:val="18"/>
          <w:color w:val="auto"/>
        </w:rPr>
        <w:t>The fair value of the RSUs was determined by using the grant date closing price of $9.28 per common unit and was not further adjusted since the holders are entitled to dividends.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8" w:name="page49"/>
    <w:bookmarkEnd w:id="48"/>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Movement in RSUs and SARs during the period</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gridSpan w:val="3"/>
          </w:tcPr>
          <w:p>
            <w:pPr>
              <w:ind w:left="340"/>
              <w:spacing w:after="0"/>
              <w:rPr>
                <w:sz w:val="20"/>
                <w:szCs w:val="20"/>
                <w:color w:val="auto"/>
              </w:rPr>
            </w:pPr>
            <w:r>
              <w:rPr>
                <w:rFonts w:ascii="Arial" w:cs="Arial" w:eastAsia="Arial" w:hAnsi="Arial"/>
                <w:sz w:val="18"/>
                <w:szCs w:val="18"/>
                <w:color w:val="auto"/>
              </w:rPr>
              <w:t>The summary of RSUs and SARs is presented below:</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exercise</w:t>
            </w: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share price at</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 per</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the date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Aggregate fair</w:t>
            </w:r>
          </w:p>
        </w:tc>
      </w:tr>
      <w:tr>
        <w:trPr>
          <w:trHeight w:val="234"/>
        </w:trPr>
        <w:tc>
          <w:tcPr>
            <w:tcW w:w="34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awards</w:t>
            </w: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life</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r>
      <w:tr>
        <w:trPr>
          <w:trHeight w:val="210"/>
        </w:trPr>
        <w:tc>
          <w:tcPr>
            <w:tcW w:w="3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RSUs</w:t>
            </w:r>
          </w:p>
        </w:tc>
        <w:tc>
          <w:tcPr>
            <w:tcW w:w="104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216,968</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3,986</w:t>
            </w:r>
          </w:p>
        </w:tc>
      </w:tr>
      <w:tr>
        <w:trPr>
          <w:trHeight w:val="216"/>
        </w:trPr>
        <w:tc>
          <w:tcPr>
            <w:tcW w:w="344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212,837</w:t>
            </w:r>
          </w:p>
        </w:tc>
        <w:tc>
          <w:tcPr>
            <w:tcW w:w="16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E5FFFF"/>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1,975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3440" w:type="dxa"/>
            <w:vAlign w:val="bottom"/>
            <w:shd w:val="clear" w:color="auto" w:fill="E5FFFF"/>
          </w:tcPr>
          <w:p>
            <w:pPr>
              <w:spacing w:after="0"/>
              <w:rPr>
                <w:sz w:val="20"/>
                <w:szCs w:val="20"/>
                <w:color w:val="auto"/>
              </w:rPr>
            </w:pPr>
            <w:r>
              <w:rPr>
                <w:rFonts w:ascii="Arial" w:cs="Arial" w:eastAsia="Arial" w:hAnsi="Arial"/>
                <w:sz w:val="18"/>
                <w:szCs w:val="18"/>
                <w:color w:val="auto"/>
              </w:rPr>
              <w:t>Vested during the period</w:t>
            </w:r>
          </w:p>
        </w:tc>
        <w:tc>
          <w:tcPr>
            <w:tcW w:w="138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(61,028)</w:t>
            </w:r>
          </w:p>
        </w:tc>
        <w:tc>
          <w:tcPr>
            <w:tcW w:w="16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E5FFFF"/>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(729)</w:t>
            </w:r>
          </w:p>
        </w:tc>
      </w:tr>
      <w:tr>
        <w:trPr>
          <w:trHeight w:val="263"/>
        </w:trPr>
        <w:tc>
          <w:tcPr>
            <w:tcW w:w="34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368,437</w:t>
            </w:r>
          </w:p>
        </w:tc>
        <w:tc>
          <w:tcPr>
            <w:tcW w:w="340" w:type="dxa"/>
            <w:vAlign w:val="bottom"/>
            <w:tcBorders>
              <w:bottom w:val="single" w:sz="8" w:color="E5FFFF"/>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E5FFFF"/>
            </w:tcBorders>
          </w:tcPr>
          <w:p>
            <w:pPr>
              <w:spacing w:after="0"/>
              <w:rPr>
                <w:sz w:val="22"/>
                <w:szCs w:val="22"/>
                <w:color w:val="auto"/>
              </w:rPr>
            </w:pPr>
          </w:p>
        </w:tc>
        <w:tc>
          <w:tcPr>
            <w:tcW w:w="14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Borders>
              <w:bottom w:val="single" w:sz="8" w:color="E5FF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320" w:type="dxa"/>
            <w:vAlign w:val="bottom"/>
            <w:tcBorders>
              <w:bottom w:val="single" w:sz="8" w:color="E5FF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w:t>
            </w:r>
          </w:p>
        </w:tc>
        <w:tc>
          <w:tcPr>
            <w:tcW w:w="100" w:type="dxa"/>
            <w:vAlign w:val="bottom"/>
            <w:tcBorders>
              <w:bottom w:val="single" w:sz="8" w:color="E5FFFF"/>
            </w:tcBorders>
          </w:tcPr>
          <w:p>
            <w:pPr>
              <w:spacing w:after="0"/>
              <w:rPr>
                <w:sz w:val="22"/>
                <w:szCs w:val="22"/>
                <w:color w:val="auto"/>
              </w:rPr>
            </w:pPr>
          </w:p>
        </w:tc>
      </w:tr>
      <w:tr>
        <w:trPr>
          <w:trHeight w:val="197"/>
        </w:trPr>
        <w:tc>
          <w:tcPr>
            <w:tcW w:w="34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SARs</w:t>
            </w:r>
          </w:p>
        </w:tc>
        <w:tc>
          <w:tcPr>
            <w:tcW w:w="10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873,228</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18.81</w:t>
            </w:r>
          </w:p>
        </w:tc>
        <w:tc>
          <w:tcPr>
            <w:tcW w:w="182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8.28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4,056</w:t>
            </w:r>
          </w:p>
        </w:tc>
      </w:tr>
      <w:tr>
        <w:trPr>
          <w:trHeight w:val="216"/>
        </w:trPr>
        <w:tc>
          <w:tcPr>
            <w:tcW w:w="344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848,981</w:t>
            </w:r>
          </w:p>
        </w:tc>
        <w:tc>
          <w:tcPr>
            <w:tcW w:w="16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9.28</w:t>
            </w:r>
          </w:p>
        </w:tc>
        <w:tc>
          <w:tcPr>
            <w:tcW w:w="1820" w:type="dxa"/>
            <w:vAlign w:val="bottom"/>
            <w:gridSpan w:val="2"/>
            <w:shd w:val="clear" w:color="auto" w:fill="E5FFFF"/>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1,975</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(392)</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19.48</w:t>
            </w:r>
          </w:p>
        </w:tc>
        <w:tc>
          <w:tcPr>
            <w:tcW w:w="182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3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1,721,817</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14.11</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ind w:left="130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8.50</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6,029</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2016, 586,220 SARs have vested but have not been exercised.</w:t>
      </w:r>
    </w:p>
    <w:p>
      <w:pPr>
        <w:spacing w:after="0" w:line="225"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The terms of the 2015 Long-Term Incentive Plan (the “GasLog Partners’ Plan”) and the assumptions for the valuation of Restricted Common Units (“RCUs”) and Performance Common Units (“PCUs”) have been disclosed in Note 20 “Share-Based Compensation” in the annual audited consolidated financial statements for the year ended December 31, 2015.</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April 1, 2016, GasLog Partners granted to its executives 24,925 RCUs and 24,925 PCUs in accordance with the GasLog Partners’ Plan. The RCUs and PCUs will vest on March 31, 2019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50th-75th percentile of the peer group results in 50% of award vesting; TUR below the 50th percentile of the peer group results in none of the award vesting. The holders are entitled to cash distributions that will be accrued and settled on vesting.</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Fair value at</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Awards</w:t>
            </w: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Grant date</w:t>
            </w:r>
          </w:p>
        </w:tc>
        <w:tc>
          <w:tcPr>
            <w:tcW w:w="1840" w:type="dxa"/>
            <w:vAlign w:val="bottom"/>
          </w:tcPr>
          <w:p>
            <w:pPr>
              <w:ind w:left="460"/>
              <w:spacing w:after="0"/>
              <w:rPr>
                <w:sz w:val="20"/>
                <w:szCs w:val="20"/>
                <w:color w:val="auto"/>
              </w:rPr>
            </w:pPr>
            <w:r>
              <w:rPr>
                <w:rFonts w:ascii="Arial" w:cs="Arial" w:eastAsia="Arial" w:hAnsi="Arial"/>
                <w:sz w:val="18"/>
                <w:szCs w:val="18"/>
                <w:b w:val="1"/>
                <w:bCs w:val="1"/>
                <w:color w:val="auto"/>
              </w:rPr>
              <w:t>Expiry date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grant date</w:t>
            </w:r>
          </w:p>
        </w:tc>
      </w:tr>
      <w:tr>
        <w:trPr>
          <w:trHeight w:val="210"/>
        </w:trPr>
        <w:tc>
          <w:tcPr>
            <w:tcW w:w="30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RCUs</w:t>
            </w:r>
          </w:p>
        </w:tc>
        <w:tc>
          <w:tcPr>
            <w:tcW w:w="2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320" w:type="dxa"/>
            <w:vAlign w:val="bottom"/>
            <w:tcBorders>
              <w:top w:val="single" w:sz="8" w:color="E5FFFF"/>
            </w:tcBorders>
            <w:shd w:val="clear" w:color="auto" w:fill="E5FFFF"/>
          </w:tcPr>
          <w:p>
            <w:pPr>
              <w:spacing w:after="0"/>
              <w:rPr>
                <w:sz w:val="18"/>
                <w:szCs w:val="18"/>
                <w:color w:val="auto"/>
              </w:rPr>
            </w:pPr>
          </w:p>
        </w:tc>
        <w:tc>
          <w:tcPr>
            <w:tcW w:w="18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April 1, 2016</w:t>
            </w:r>
          </w:p>
        </w:tc>
        <w:tc>
          <w:tcPr>
            <w:tcW w:w="300" w:type="dxa"/>
            <w:vAlign w:val="bottom"/>
            <w:tcBorders>
              <w:top w:val="single" w:sz="8" w:color="E5FFFF"/>
            </w:tcBorders>
            <w:shd w:val="clear" w:color="auto" w:fill="E5FFFF"/>
          </w:tcPr>
          <w:p>
            <w:pPr>
              <w:spacing w:after="0"/>
              <w:rPr>
                <w:sz w:val="18"/>
                <w:szCs w:val="18"/>
                <w:color w:val="auto"/>
              </w:rPr>
            </w:pPr>
          </w:p>
        </w:tc>
        <w:tc>
          <w:tcPr>
            <w:tcW w:w="1840" w:type="dxa"/>
            <w:vAlign w:val="bottom"/>
            <w:tcBorders>
              <w:top w:val="single" w:sz="8" w:color="auto"/>
            </w:tcBorders>
            <w:shd w:val="clear" w:color="auto" w:fill="E5FFFF"/>
          </w:tcPr>
          <w:p>
            <w:pPr>
              <w:ind w:left="1620"/>
              <w:spacing w:after="0"/>
              <w:rPr>
                <w:sz w:val="20"/>
                <w:szCs w:val="20"/>
                <w:color w:val="auto"/>
              </w:rPr>
            </w:pPr>
            <w:r>
              <w:rPr>
                <w:rFonts w:ascii="Arial" w:cs="Arial" w:eastAsia="Arial" w:hAnsi="Arial"/>
                <w:sz w:val="18"/>
                <w:szCs w:val="18"/>
                <w:color w:val="auto"/>
                <w:w w:val="79"/>
              </w:rPr>
              <w:t>n/a</w:t>
            </w:r>
          </w:p>
        </w:tc>
        <w:tc>
          <w:tcPr>
            <w:tcW w:w="3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16.45</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PCUs</w:t>
            </w:r>
          </w:p>
        </w:tc>
        <w:tc>
          <w:tcPr>
            <w:tcW w:w="1040" w:type="dxa"/>
            <w:vAlign w:val="bottom"/>
          </w:tcPr>
          <w:p>
            <w:pPr>
              <w:jc w:val="right"/>
              <w:spacing w:after="0"/>
              <w:rPr>
                <w:sz w:val="20"/>
                <w:szCs w:val="20"/>
                <w:color w:val="auto"/>
              </w:rPr>
            </w:pPr>
            <w:r>
              <w:rPr>
                <w:rFonts w:ascii="Arial" w:cs="Arial" w:eastAsia="Arial" w:hAnsi="Arial"/>
                <w:sz w:val="18"/>
                <w:szCs w:val="18"/>
                <w:color w:val="auto"/>
              </w:rPr>
              <w:t>24,925</w:t>
            </w:r>
          </w:p>
        </w:tc>
        <w:tc>
          <w:tcPr>
            <w:tcW w:w="3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April 1, 2016</w:t>
            </w:r>
          </w:p>
        </w:tc>
        <w:tc>
          <w:tcPr>
            <w:tcW w:w="1840" w:type="dxa"/>
            <w:vAlign w:val="bottom"/>
          </w:tcPr>
          <w:p>
            <w:pPr>
              <w:ind w:left="1620"/>
              <w:spacing w:after="0"/>
              <w:rPr>
                <w:sz w:val="20"/>
                <w:szCs w:val="20"/>
                <w:color w:val="auto"/>
              </w:rPr>
            </w:pPr>
            <w:r>
              <w:rPr>
                <w:rFonts w:ascii="Arial" w:cs="Arial" w:eastAsia="Arial" w:hAnsi="Arial"/>
                <w:sz w:val="18"/>
                <w:szCs w:val="18"/>
                <w:color w:val="auto"/>
                <w:w w:val="79"/>
              </w:rPr>
              <w:t>n/a</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16.45</w:t>
            </w:r>
          </w:p>
        </w:tc>
      </w:tr>
    </w:tbl>
    <w:p>
      <w:pPr>
        <w:spacing w:after="0" w:line="187"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fair value of the RCUs and PCUs in accordance with the GasLog Partners’ Plan was determined by using the grant date closing price of $16.45 per common unit and was not further adjusted since the holders are entitled to cash distributions.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The summary of RCUs and PCUs is presented below:</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awards</w:t>
            </w: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contractual life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580" w:type="dxa"/>
            <w:vAlign w:val="bottom"/>
          </w:tcPr>
          <w:p>
            <w:pPr>
              <w:spacing w:after="0"/>
              <w:rPr>
                <w:sz w:val="18"/>
                <w:szCs w:val="18"/>
                <w:color w:val="auto"/>
              </w:rPr>
            </w:pPr>
          </w:p>
        </w:tc>
        <w:tc>
          <w:tcPr>
            <w:tcW w:w="5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RCUs</w:t>
            </w:r>
          </w:p>
        </w:tc>
        <w:tc>
          <w:tcPr>
            <w:tcW w:w="1360" w:type="dxa"/>
            <w:vAlign w:val="bottom"/>
            <w:tcBorders>
              <w:top w:val="single" w:sz="8" w:color="auto"/>
            </w:tcBorders>
            <w:shd w:val="clear" w:color="auto" w:fill="E5FFFF"/>
          </w:tcPr>
          <w:p>
            <w:pPr>
              <w:spacing w:after="0"/>
              <w:rPr>
                <w:sz w:val="18"/>
                <w:szCs w:val="18"/>
                <w:color w:val="auto"/>
              </w:rPr>
            </w:pPr>
          </w:p>
        </w:tc>
        <w:tc>
          <w:tcPr>
            <w:tcW w:w="42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tcBorders>
            <w:shd w:val="clear" w:color="auto" w:fill="E5FFFF"/>
          </w:tcPr>
          <w:p>
            <w:pPr>
              <w:spacing w:after="0"/>
              <w:rPr>
                <w:sz w:val="18"/>
                <w:szCs w:val="18"/>
                <w:color w:val="auto"/>
              </w:rPr>
            </w:pPr>
          </w:p>
        </w:tc>
        <w:tc>
          <w:tcPr>
            <w:tcW w:w="4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420" w:type="dxa"/>
            <w:vAlign w:val="bottom"/>
            <w:shd w:val="clear" w:color="auto" w:fill="E5FFFF"/>
          </w:tcPr>
          <w:p>
            <w:pPr>
              <w:spacing w:after="0"/>
              <w:rPr>
                <w:sz w:val="19"/>
                <w:szCs w:val="19"/>
                <w:color w:val="auto"/>
              </w:rPr>
            </w:pPr>
          </w:p>
        </w:tc>
        <w:tc>
          <w:tcPr>
            <w:tcW w:w="18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E5FFFF"/>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52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420" w:type="dxa"/>
            <w:vAlign w:val="bottom"/>
            <w:tcBorders>
              <w:bottom w:val="single" w:sz="8" w:color="E5FF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400" w:type="dxa"/>
            <w:vAlign w:val="bottom"/>
            <w:tcBorders>
              <w:bottom w:val="single" w:sz="8" w:color="E5FF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Borders>
              <w:bottom w:val="single" w:sz="8" w:color="E5FFFF"/>
            </w:tcBorders>
          </w:tcPr>
          <w:p>
            <w:pPr>
              <w:spacing w:after="0"/>
              <w:rPr>
                <w:sz w:val="22"/>
                <w:szCs w:val="22"/>
                <w:color w:val="auto"/>
              </w:rPr>
            </w:pPr>
          </w:p>
        </w:tc>
      </w:tr>
      <w:tr>
        <w:trPr>
          <w:trHeight w:val="197"/>
        </w:trPr>
        <w:tc>
          <w:tcPr>
            <w:tcW w:w="580" w:type="dxa"/>
            <w:vAlign w:val="bottom"/>
          </w:tcPr>
          <w:p>
            <w:pPr>
              <w:spacing w:after="0"/>
              <w:rPr>
                <w:sz w:val="17"/>
                <w:szCs w:val="17"/>
                <w:color w:val="auto"/>
              </w:rPr>
            </w:pPr>
          </w:p>
        </w:tc>
        <w:tc>
          <w:tcPr>
            <w:tcW w:w="52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PCUs</w:t>
            </w:r>
          </w:p>
        </w:tc>
        <w:tc>
          <w:tcPr>
            <w:tcW w:w="1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24,925</w:t>
            </w:r>
          </w:p>
        </w:tc>
        <w:tc>
          <w:tcPr>
            <w:tcW w:w="420" w:type="dxa"/>
            <w:vAlign w:val="bottom"/>
            <w:shd w:val="clear" w:color="auto" w:fill="E5FFFF"/>
          </w:tcPr>
          <w:p>
            <w:pPr>
              <w:spacing w:after="0"/>
              <w:rPr>
                <w:sz w:val="19"/>
                <w:szCs w:val="19"/>
                <w:color w:val="auto"/>
              </w:rPr>
            </w:pPr>
          </w:p>
        </w:tc>
        <w:tc>
          <w:tcPr>
            <w:tcW w:w="18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E5FFFF"/>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41,924</w:t>
            </w:r>
          </w:p>
        </w:tc>
        <w:tc>
          <w:tcPr>
            <w:tcW w:w="4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4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total expense recognized in respect of share-based compensation for the three and nine months ended September 30, 2016 was $1,035 and $2,835 (for the three and nine months ended September 30, 2015: $785 and $2,059). The total accrued cash distribution as of September 30, 2016 is $272 (December 31, 2015: $81) and is included under “Other non-current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Earnings/(loss) per Share (“EPS”)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Basic earnings/(loss) per share was calculated by dividing the profit for the period attributable to the owners of the common shares by the weighted average number of common shares issued and outstanding during the period.</w:t>
      </w:r>
    </w:p>
    <w:p>
      <w:pPr>
        <w:spacing w:after="0" w:line="170"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Diluted earnings/(loss)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ectPr>
          <w:pgSz w:w="11900" w:h="16840" w:orient="portrait"/>
          <w:cols w:equalWidth="0" w:num="1">
            <w:col w:w="11420"/>
          </w:cols>
          <w:pgMar w:left="240" w:top="405" w:right="239" w:bottom="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color w:val="auto"/>
        </w:rPr>
        <w:t>The following reflects the earnings/(loss) and share data used in the basic and diluted earnings per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35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r>
      <w:tr>
        <w:trPr>
          <w:trHeight w:val="216"/>
        </w:trPr>
        <w:tc>
          <w:tcPr>
            <w:tcW w:w="7900" w:type="dxa"/>
            <w:vAlign w:val="bottom"/>
          </w:tcPr>
          <w:p>
            <w:pPr>
              <w:spacing w:after="0"/>
              <w:rPr>
                <w:sz w:val="18"/>
                <w:szCs w:val="18"/>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9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Basic loss per share</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Loss for the period attributable to owners of the Group</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(7,279)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(29,046)</w:t>
            </w: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Plus: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Dividend on preferred stock</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(2,516)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(2,516)</w:t>
            </w: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Loss for the period available to owners of the Group</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(9,795</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(31,562</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80,553,238</w:t>
            </w:r>
          </w:p>
        </w:tc>
        <w:tc>
          <w:tcPr>
            <w:tcW w:w="100" w:type="dxa"/>
            <w:vAlign w:val="bottom"/>
            <w:tcBorders>
              <w:bottom w:val="single" w:sz="8" w:color="E5FFFF"/>
            </w:tcBorders>
          </w:tcPr>
          <w:p>
            <w:pPr>
              <w:spacing w:after="0"/>
              <w:rPr>
                <w:sz w:val="18"/>
                <w:szCs w:val="18"/>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Basic loss per share</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(0.12</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Diluted loss per share</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Loss for the period available to owners of the Group used in the calculation of diluted earnings</w:t>
            </w: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4"/>
        </w:trPr>
        <w:tc>
          <w:tcPr>
            <w:tcW w:w="7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per share</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(9,795)</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(31,562)</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80,553,238</w:t>
            </w:r>
          </w:p>
        </w:tc>
        <w:tc>
          <w:tcPr>
            <w:tcW w:w="100" w:type="dxa"/>
            <w:vAlign w:val="bottom"/>
          </w:tcPr>
          <w:p>
            <w:pPr>
              <w:spacing w:after="0"/>
              <w:rPr>
                <w:sz w:val="18"/>
                <w:szCs w:val="18"/>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Dilutive potential ordinary shares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earnings per share</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80,553,238</w:t>
            </w:r>
          </w:p>
        </w:tc>
        <w:tc>
          <w:tcPr>
            <w:tcW w:w="100" w:type="dxa"/>
            <w:vAlign w:val="bottom"/>
            <w:tcBorders>
              <w:bottom w:val="single" w:sz="8" w:color="E5FFFF"/>
            </w:tcBorders>
          </w:tcPr>
          <w:p>
            <w:pPr>
              <w:spacing w:after="0"/>
              <w:rPr>
                <w:sz w:val="18"/>
                <w:szCs w:val="18"/>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Diluted loss per share</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(0.12</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Group excluded the dilutive effect of 1,721,817 SARs and 368,437 RSUs in calculating diluted EPS for the three months ended September 30, 2016, as they were anti-dilutive (September 30, 2015: 877,200 SARs and 220,017 RSUs).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35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nine months ended</w:t>
            </w:r>
          </w:p>
        </w:tc>
      </w:tr>
      <w:tr>
        <w:trPr>
          <w:trHeight w:val="216"/>
        </w:trPr>
        <w:tc>
          <w:tcPr>
            <w:tcW w:w="7900" w:type="dxa"/>
            <w:vAlign w:val="bottom"/>
          </w:tcPr>
          <w:p>
            <w:pPr>
              <w:spacing w:after="0"/>
              <w:rPr>
                <w:sz w:val="18"/>
                <w:szCs w:val="18"/>
                <w:color w:val="auto"/>
              </w:rPr>
            </w:pPr>
          </w:p>
        </w:tc>
        <w:tc>
          <w:tcPr>
            <w:tcW w:w="19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90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Basic earnings/(loss) per share</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Profit/(loss) for the period attributable to owners of the Group</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5,303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(52,808)</w:t>
            </w: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Less: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Dividend on preferred stock</w:t>
            </w: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(4,864)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(7,547)</w:t>
            </w: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Profit/(loss) for the period available to owners of the Group</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439</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(60,355</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80,496,252</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80,528,389</w:t>
            </w:r>
          </w:p>
        </w:tc>
        <w:tc>
          <w:tcPr>
            <w:tcW w:w="100" w:type="dxa"/>
            <w:vAlign w:val="bottom"/>
            <w:tcBorders>
              <w:bottom w:val="single" w:sz="8" w:color="E5FFFF"/>
            </w:tcBorders>
          </w:tcPr>
          <w:p>
            <w:pPr>
              <w:spacing w:after="0"/>
              <w:rPr>
                <w:sz w:val="18"/>
                <w:szCs w:val="18"/>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Basic earnings/(loss) per share</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0.01</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Diluted earnings/(loss) per share</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Profit/(loss) for the period available to owners of the Group used in the calculation of diluted</w:t>
            </w:r>
          </w:p>
        </w:tc>
        <w:tc>
          <w:tcPr>
            <w:tcW w:w="15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4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4"/>
        </w:trPr>
        <w:tc>
          <w:tcPr>
            <w:tcW w:w="7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earnings per share</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439</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(60,355)</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80,496,252</w:t>
            </w:r>
          </w:p>
        </w:tc>
        <w:tc>
          <w:tcPr>
            <w:tcW w:w="44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80,528,389</w:t>
            </w:r>
          </w:p>
        </w:tc>
        <w:tc>
          <w:tcPr>
            <w:tcW w:w="100" w:type="dxa"/>
            <w:vAlign w:val="bottom"/>
          </w:tcPr>
          <w:p>
            <w:pPr>
              <w:spacing w:after="0"/>
              <w:rPr>
                <w:sz w:val="18"/>
                <w:szCs w:val="18"/>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Dilutive potential ordinary shares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142,600</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earnings per share</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80,638,852</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80,528,389</w:t>
            </w:r>
          </w:p>
        </w:tc>
        <w:tc>
          <w:tcPr>
            <w:tcW w:w="100" w:type="dxa"/>
            <w:vAlign w:val="bottom"/>
            <w:tcBorders>
              <w:bottom w:val="single" w:sz="8" w:color="E5FFFF"/>
            </w:tcBorders>
          </w:tcPr>
          <w:p>
            <w:pPr>
              <w:spacing w:after="0"/>
              <w:rPr>
                <w:sz w:val="18"/>
                <w:szCs w:val="18"/>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Diluted earnings/(loss) per share</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0.01</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Group excluded the dilutive effect of 1,721,817 SARs and 368,437 RSUs in calculating diluted EPS for the nine months ended September 30, 2016, as they were anti-dilutive (September 30, 2015: 579,986 SARs).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October 2016, GasLog entered into a time charter party agreement with a subsidiary of Centrica plc to charter Hull No. 2212 for a period of seven years, commencing in 2019.</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 xml:space="preserve">On October 31, 2016, GasLog took delivery of the </w:t>
      </w:r>
      <w:r>
        <w:rPr>
          <w:rFonts w:ascii="Arial" w:cs="Arial" w:eastAsia="Arial" w:hAnsi="Arial"/>
          <w:sz w:val="18"/>
          <w:szCs w:val="18"/>
          <w:i w:val="1"/>
          <w:iCs w:val="1"/>
          <w:color w:val="auto"/>
        </w:rPr>
        <w:t>GasLog Gibraltar</w:t>
      </w:r>
      <w:r>
        <w:rPr>
          <w:rFonts w:ascii="Arial" w:cs="Arial" w:eastAsia="Arial" w:hAnsi="Arial"/>
          <w:sz w:val="18"/>
          <w:szCs w:val="18"/>
          <w:color w:val="auto"/>
        </w:rPr>
        <w:t>, an LNG carrier of 174,000 cubic meters capacity with tri-fuel diesel electric propulsion constructed by Samsung.</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 xml:space="preserve">On November 1, 2016, GasLog completed the sale of 100% of the ownership interest in GAS-seven Ltd., the entity which owns </w:t>
      </w:r>
      <w:r>
        <w:rPr>
          <w:rFonts w:ascii="Arial" w:cs="Arial" w:eastAsia="Arial" w:hAnsi="Arial"/>
          <w:sz w:val="18"/>
          <w:szCs w:val="18"/>
          <w:i w:val="1"/>
          <w:iCs w:val="1"/>
          <w:color w:val="auto"/>
        </w:rPr>
        <w:t>GasLog Seattle</w:t>
      </w:r>
      <w:r>
        <w:rPr>
          <w:rFonts w:ascii="Arial" w:cs="Arial" w:eastAsia="Arial" w:hAnsi="Arial"/>
          <w:sz w:val="18"/>
          <w:szCs w:val="18"/>
          <w:color w:val="auto"/>
        </w:rPr>
        <w:t>, to GasLog Partners, for an aggregate purchase price of $189,000, including $1,000 of positive net working capital.</w:t>
      </w:r>
    </w:p>
    <w:p>
      <w:pPr>
        <w:spacing w:after="0" w:line="170"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On November 2, 2016, the board of directors declared a quarterly cash dividend of $0.14 per common share payable on November 24, 2016 to shareholders of record as of November 14,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3"/>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lvl w:ilvl="1">
      <w:lvlJc w:val="left"/>
      <w:lvlText w:val="(%2)"/>
      <w:numFmt w:val="decimal"/>
      <w:start w:val="1"/>
    </w:lvl>
  </w:abstractNum>
  <w:abstractNum w:abstractNumId="11">
    <w:nsid w:val="7C83E458"/>
    <w:multiLevelType w:val="hybridMultilevel"/>
    <w:lvl w:ilvl="0">
      <w:lvlJc w:val="left"/>
      <w:lvlText w:val="%1."/>
      <w:numFmt w:val="decimal"/>
      <w:start w:val="2"/>
    </w:lvl>
    <w:lvl w:ilvl="1">
      <w:lvlJc w:val="left"/>
      <w:lvlText w:val="%2"/>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lvl w:ilvl="1">
      <w:lvlJc w:val="left"/>
      <w:lvlText w:val="(%2)"/>
      <w:numFmt w:val="lowerRoman"/>
      <w:start w:val="1"/>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lowerRoman"/>
      <w:start w:val="3"/>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
      <w:numFmt w:val="bullet"/>
      <w:start w:val="1"/>
    </w:lvl>
    <w:lvl w:ilvl="1">
      <w:lvlJc w:val="left"/>
      <w:lvlText w:val="(%2)"/>
      <w:numFmt w:val="lowerRoman"/>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4"/>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2019-12-08T21:52:44Z</dcterms:created>
  <dcterms:modified xsi:type="dcterms:W3CDTF">2019-12-08T21:52:44Z</dcterms:modified>
</cp:coreProperties>
</file>