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899"/>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1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2017</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176"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GasLog Ltd.</w:t>
      </w:r>
    </w:p>
    <w:p>
      <w:pPr>
        <w:spacing w:after="0" w:line="18" w:lineRule="exact"/>
        <w:rPr>
          <w:sz w:val="24"/>
          <w:szCs w:val="24"/>
          <w:color w:val="auto"/>
        </w:rPr>
      </w:pPr>
    </w:p>
    <w:p>
      <w:pPr>
        <w:jc w:val="center"/>
        <w:ind w:right="-899"/>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899"/>
        <w:spacing w:after="0"/>
        <w:rPr>
          <w:sz w:val="20"/>
          <w:szCs w:val="20"/>
          <w:color w:val="auto"/>
        </w:rPr>
      </w:pPr>
      <w:r>
        <w:rPr>
          <w:rFonts w:ascii="Arial" w:cs="Arial" w:eastAsia="Arial" w:hAnsi="Arial"/>
          <w:sz w:val="18"/>
          <w:szCs w:val="18"/>
          <w:color w:val="auto"/>
        </w:rPr>
        <w:t>c/o GasLog Monaco S.A.M.</w:t>
      </w:r>
    </w:p>
    <w:p>
      <w:pPr>
        <w:jc w:val="center"/>
        <w:ind w:right="-899"/>
        <w:spacing w:after="0" w:line="234" w:lineRule="auto"/>
        <w:rPr>
          <w:sz w:val="20"/>
          <w:szCs w:val="20"/>
          <w:color w:val="auto"/>
        </w:rPr>
      </w:pPr>
      <w:r>
        <w:rPr>
          <w:rFonts w:ascii="Arial" w:cs="Arial" w:eastAsia="Arial" w:hAnsi="Arial"/>
          <w:sz w:val="18"/>
          <w:szCs w:val="18"/>
          <w:color w:val="auto"/>
        </w:rPr>
        <w:t>Gildo Pastor Center</w:t>
      </w:r>
    </w:p>
    <w:p>
      <w:pPr>
        <w:jc w:val="center"/>
        <w:ind w:right="-899"/>
        <w:spacing w:after="0" w:line="235" w:lineRule="auto"/>
        <w:rPr>
          <w:sz w:val="20"/>
          <w:szCs w:val="20"/>
          <w:color w:val="auto"/>
        </w:rPr>
      </w:pPr>
      <w:r>
        <w:rPr>
          <w:rFonts w:ascii="Arial" w:cs="Arial" w:eastAsia="Arial" w:hAnsi="Arial"/>
          <w:sz w:val="18"/>
          <w:szCs w:val="18"/>
          <w:color w:val="auto"/>
        </w:rPr>
        <w:t>7 Rue du Gabian</w:t>
      </w:r>
    </w:p>
    <w:p>
      <w:pPr>
        <w:jc w:val="center"/>
        <w:ind w:right="-899"/>
        <w:spacing w:after="0" w:line="235" w:lineRule="auto"/>
        <w:rPr>
          <w:sz w:val="20"/>
          <w:szCs w:val="20"/>
          <w:color w:val="auto"/>
        </w:rPr>
      </w:pPr>
      <w:r>
        <w:rPr>
          <w:rFonts w:ascii="Arial" w:cs="Arial" w:eastAsia="Arial" w:hAnsi="Arial"/>
          <w:sz w:val="18"/>
          <w:szCs w:val="18"/>
          <w:color w:val="auto"/>
        </w:rPr>
        <w:t>MC 98000, Monaco</w:t>
      </w:r>
    </w:p>
    <w:p>
      <w:pPr>
        <w:spacing w:after="0" w:line="1" w:lineRule="exact"/>
        <w:rPr>
          <w:sz w:val="24"/>
          <w:szCs w:val="24"/>
          <w:color w:val="auto"/>
        </w:rPr>
      </w:pPr>
    </w:p>
    <w:p>
      <w:pPr>
        <w:jc w:val="center"/>
        <w:ind w:right="-899"/>
        <w:spacing w:after="0"/>
        <w:rPr>
          <w:sz w:val="20"/>
          <w:szCs w:val="20"/>
          <w:color w:val="auto"/>
        </w:rPr>
      </w:pPr>
      <w:r>
        <w:rPr>
          <w:rFonts w:ascii="Arial" w:cs="Arial" w:eastAsia="Arial" w:hAnsi="Arial"/>
          <w:sz w:val="18"/>
          <w:szCs w:val="18"/>
          <w:color w:val="auto"/>
        </w:rPr>
        <w:t>(Address of principal executive office)</w:t>
      </w:r>
    </w:p>
    <w:p>
      <w:pPr>
        <w:spacing w:after="0" w:line="198" w:lineRule="exact"/>
        <w:rPr>
          <w:sz w:val="24"/>
          <w:szCs w:val="24"/>
          <w:color w:val="auto"/>
        </w:rPr>
      </w:pPr>
    </w:p>
    <w:p>
      <w:pPr>
        <w:ind w:right="1320"/>
        <w:spacing w:after="0" w:line="481"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þ Form 40-F o</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101(b)(1):________</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540"/>
          </w:cols>
          <w:pgMar w:left="240" w:top="225" w:right="1119" w:bottom="1440" w:gutter="0" w:footer="0" w:header="0"/>
        </w:sectPr>
      </w:pPr>
    </w:p>
    <w:bookmarkStart w:id="1" w:name="page2"/>
    <w:bookmarkEnd w:id="1"/>
    <w:p>
      <w:pPr>
        <w:ind w:firstLine="648"/>
        <w:spacing w:after="0" w:line="246" w:lineRule="auto"/>
        <w:rPr>
          <w:sz w:val="20"/>
          <w:szCs w:val="20"/>
          <w:color w:val="auto"/>
        </w:rPr>
      </w:pPr>
      <w:r>
        <w:rPr>
          <w:rFonts w:ascii="Arial" w:cs="Arial" w:eastAsia="Arial" w:hAnsi="Arial"/>
          <w:sz w:val="18"/>
          <w:szCs w:val="18"/>
          <w:color w:val="auto"/>
        </w:rPr>
        <w:t>The press release issued by GasLog Ltd. on March 13, 2017 relating to its public offering of senior unsecured notes due 2024 is included as Exhibit 99.1 and is incorporated herein by reference.</w:t>
      </w:r>
    </w:p>
    <w:p>
      <w:pPr>
        <w:spacing w:after="0" w:line="18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EXHIBIT LIST</w:t>
      </w:r>
    </w:p>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dated March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20"/>
          </w:cols>
          <w:pgMar w:left="240" w:top="422" w:right="8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March 13, 2017</w:t>
      </w:r>
    </w:p>
    <w:p>
      <w:pPr>
        <w:ind w:left="5620"/>
        <w:spacing w:after="0"/>
        <w:rPr>
          <w:sz w:val="20"/>
          <w:szCs w:val="20"/>
          <w:color w:val="auto"/>
        </w:rPr>
      </w:pPr>
      <w:r>
        <w:rPr>
          <w:rFonts w:ascii="Arial" w:cs="Arial" w:eastAsia="Arial" w:hAnsi="Arial"/>
          <w:sz w:val="18"/>
          <w:szCs w:val="18"/>
          <w:color w:val="auto"/>
        </w:rPr>
        <w:t>GASLOG LTD.,</w:t>
      </w:r>
    </w:p>
    <w:p>
      <w:pPr>
        <w:spacing w:after="0" w:line="19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-1905</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8"/>
          <w:szCs w:val="18"/>
          <w:color w:val="auto"/>
        </w:rPr>
        <w:t>Name: Paul Wogan</w:t>
      </w:r>
    </w:p>
    <w:p>
      <w:pPr>
        <w:ind w:left="6120"/>
        <w:spacing w:after="0"/>
        <w:tabs>
          <w:tab w:leader="none" w:pos="66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400"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Public Offering of Senior Notes Due 2024</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MONACO — March 13, 2017 — </w:t>
      </w:r>
      <w:r>
        <w:rPr>
          <w:rFonts w:ascii="Arial" w:cs="Arial" w:eastAsia="Arial" w:hAnsi="Arial"/>
          <w:sz w:val="18"/>
          <w:szCs w:val="18"/>
          <w:color w:val="auto"/>
        </w:rPr>
        <w:t>GasLog Ltd. (“GasLog” or the “Company”) (NYSE:GLOG), an international owner, operator and manager of</w:t>
      </w:r>
      <w:r>
        <w:rPr>
          <w:rFonts w:ascii="Arial" w:cs="Arial" w:eastAsia="Arial" w:hAnsi="Arial"/>
          <w:sz w:val="18"/>
          <w:szCs w:val="18"/>
          <w:b w:val="1"/>
          <w:bCs w:val="1"/>
          <w:color w:val="auto"/>
        </w:rPr>
        <w:t xml:space="preserve"> </w:t>
      </w:r>
      <w:r>
        <w:rPr>
          <w:rFonts w:ascii="Arial" w:cs="Arial" w:eastAsia="Arial" w:hAnsi="Arial"/>
          <w:sz w:val="18"/>
          <w:szCs w:val="18"/>
          <w:color w:val="auto"/>
        </w:rPr>
        <w:t>liquefied natural gas (“LNG”) carriers, announced today that it plans to offer $ 250 million aggregate principal amount of senior unsecured notes due 2024 (the “Notes”) in a public offering under its effective shelf registration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use the net proceeds from the offering for repayment of debt and general corporate purposes, including working capital.</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Stifel, Nicolaus &amp; Company, Incorporated and DNB Markets, Inc. are acting as joint book-running managers and structuring agents of the offering.</w:t>
      </w:r>
    </w:p>
    <w:p>
      <w:pPr>
        <w:spacing w:after="0" w:line="18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offering is being made only by means of a prospectus supplement and accompanying base prospectus. When available, the prospectus supplement and accompanying base prospectus relating to the offering may be obtained from Stifel, Nicolaus &amp; Company, Incorporated, Attention: Syndicate Department, One South Street, 15th Floor, Baltimore, MD 21202, telephone: (855) 300-7136, email: syndprospectus@stifel.com or DNB Markets, Inc., 200 Park Ave, Floor 31, New York, NY 10166, telephone: (212) 681-3800.</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now includes nine LNG carriers in operation owned by GasLog’s subsidiary, GasLog Partners. GasLog’s principal executive offices are at Gildo Pastor Center, 7 Rue du Gabian, MC 98000, Monaco.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Jamie Buckland - Head of Investor Relations</w:t>
      </w:r>
    </w:p>
    <w:p>
      <w:pPr>
        <w:spacing w:after="0" w:line="234" w:lineRule="auto"/>
        <w:rPr>
          <w:sz w:val="20"/>
          <w:szCs w:val="20"/>
          <w:color w:val="auto"/>
        </w:rPr>
      </w:pPr>
      <w:r>
        <w:rPr>
          <w:rFonts w:ascii="Arial" w:cs="Arial" w:eastAsia="Arial" w:hAnsi="Arial"/>
          <w:sz w:val="18"/>
          <w:szCs w:val="18"/>
          <w:color w:val="auto"/>
        </w:rPr>
        <w:t>Phone: +44-203-388-3116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198" w:lineRule="exact"/>
        <w:rPr>
          <w:sz w:val="20"/>
          <w:szCs w:val="20"/>
          <w:color w:val="auto"/>
        </w:rPr>
      </w:pPr>
    </w:p>
    <w:p>
      <w:pPr>
        <w:ind w:left="660" w:right="80" w:hanging="328"/>
        <w:spacing w:after="0" w:line="24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LNG shipping market conditions and trends, including spot and long-term charter rates, ship values, factors affecting supply and demand of LNG and LNG shipping and technological advancements and opportunities for the profitable operation of LNG carriers;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exposure to spot market and fluctuations in spot charter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60" w:right="64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04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60" w:right="18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 w:lineRule="exact"/>
        <w:rPr>
          <w:rFonts w:ascii="Arial" w:cs="Arial" w:eastAsia="Arial" w:hAnsi="Arial"/>
          <w:sz w:val="18"/>
          <w:szCs w:val="18"/>
          <w:color w:val="auto"/>
        </w:rPr>
      </w:pPr>
    </w:p>
    <w:p>
      <w:pPr>
        <w:ind w:left="660" w:right="58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1, 2017 and available at http://www.sec.gov.</w:t>
      </w:r>
    </w:p>
    <w:p>
      <w:pPr>
        <w:spacing w:after="0" w:line="1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60"/>
      </w:cols>
      <w:pgMar w:left="240" w:top="42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2019-12-07T17:02:43Z</dcterms:created>
  <dcterms:modified xsi:type="dcterms:W3CDTF">2019-12-07T17:02:43Z</dcterms:modified>
</cp:coreProperties>
</file>