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100"/>
        <w:spacing w:after="0"/>
        <w:rPr>
          <w:sz w:val="20"/>
          <w:szCs w:val="20"/>
          <w:color w:val="auto"/>
        </w:rPr>
      </w:pPr>
      <w:r>
        <w:rPr>
          <w:rFonts w:ascii="Arial" w:cs="Arial" w:eastAsia="Arial" w:hAnsi="Arial"/>
          <w:sz w:val="24"/>
          <w:szCs w:val="24"/>
          <w:b w:val="1"/>
          <w:bCs w:val="1"/>
          <w:color w:val="auto"/>
        </w:rPr>
        <w:t>SECURITIES AND EXCHANGE COMMISSION</w:t>
      </w:r>
    </w:p>
    <w:p>
      <w:pPr>
        <w:spacing w:after="0" w:line="10"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 PURSUANT TO RULE 13a-16 OR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15d-16 UNDER THE 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March, 2020.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001-35466</w:t>
      </w:r>
    </w:p>
    <w:p>
      <w:pPr>
        <w:spacing w:after="0" w:line="290" w:lineRule="exact"/>
        <w:rPr>
          <w:sz w:val="24"/>
          <w:szCs w:val="24"/>
          <w:color w:val="auto"/>
        </w:rPr>
      </w:pPr>
    </w:p>
    <w:p>
      <w:pPr>
        <w:jc w:val="center"/>
        <w:ind w:right="-1100"/>
        <w:spacing w:after="0"/>
        <w:rPr>
          <w:sz w:val="20"/>
          <w:szCs w:val="20"/>
          <w:color w:val="auto"/>
        </w:rPr>
      </w:pPr>
      <w:r>
        <w:rPr>
          <w:rFonts w:ascii="Arial" w:cs="Arial" w:eastAsia="Arial" w:hAnsi="Arial"/>
          <w:sz w:val="43"/>
          <w:szCs w:val="43"/>
          <w:b w:val="1"/>
          <w:bCs w:val="1"/>
          <w:color w:val="auto"/>
        </w:rPr>
        <w:t>GasLog Ltd.</w:t>
      </w:r>
    </w:p>
    <w:p>
      <w:pPr>
        <w:spacing w:after="0" w:line="75"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52" w:lineRule="exact"/>
        <w:rPr>
          <w:sz w:val="24"/>
          <w:szCs w:val="24"/>
          <w:color w:val="auto"/>
        </w:rPr>
      </w:pPr>
    </w:p>
    <w:p>
      <w:pPr>
        <w:ind w:left="4600"/>
        <w:spacing w:after="0"/>
        <w:rPr>
          <w:sz w:val="20"/>
          <w:szCs w:val="20"/>
          <w:color w:val="auto"/>
        </w:rPr>
      </w:pPr>
      <w:r>
        <w:rPr>
          <w:rFonts w:ascii="Arial" w:cs="Arial" w:eastAsia="Arial" w:hAnsi="Arial"/>
          <w:sz w:val="18"/>
          <w:szCs w:val="18"/>
          <w:color w:val="auto"/>
        </w:rPr>
        <w:t>c/o GasLog Monaco S.A.M.</w:t>
      </w:r>
    </w:p>
    <w:p>
      <w:pPr>
        <w:spacing w:after="0" w:line="23"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Gildo Pastor Center</w:t>
      </w:r>
    </w:p>
    <w:p>
      <w:pPr>
        <w:spacing w:after="0" w:line="23" w:lineRule="exact"/>
        <w:rPr>
          <w:sz w:val="24"/>
          <w:szCs w:val="24"/>
          <w:color w:val="auto"/>
        </w:rPr>
      </w:pPr>
    </w:p>
    <w:p>
      <w:pPr>
        <w:ind w:left="5020"/>
        <w:spacing w:after="0"/>
        <w:rPr>
          <w:sz w:val="20"/>
          <w:szCs w:val="20"/>
          <w:color w:val="auto"/>
        </w:rPr>
      </w:pPr>
      <w:r>
        <w:rPr>
          <w:rFonts w:ascii="Arial" w:cs="Arial" w:eastAsia="Arial" w:hAnsi="Arial"/>
          <w:sz w:val="18"/>
          <w:szCs w:val="18"/>
          <w:color w:val="auto"/>
        </w:rPr>
        <w:t>7 Rue du Gabian</w:t>
      </w:r>
    </w:p>
    <w:p>
      <w:pPr>
        <w:spacing w:after="0" w:line="23"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MC 98000, Monaco</w:t>
      </w:r>
    </w:p>
    <w:p>
      <w:pPr>
        <w:spacing w:after="0" w:line="23" w:lineRule="exact"/>
        <w:rPr>
          <w:sz w:val="24"/>
          <w:szCs w:val="24"/>
          <w:color w:val="auto"/>
        </w:rPr>
      </w:pPr>
    </w:p>
    <w:p>
      <w:pPr>
        <w:ind w:left="4240"/>
        <w:spacing w:after="0"/>
        <w:rPr>
          <w:sz w:val="20"/>
          <w:szCs w:val="20"/>
          <w:color w:val="auto"/>
        </w:rPr>
      </w:pPr>
      <w:r>
        <w:rPr>
          <w:rFonts w:ascii="Arial" w:cs="Arial" w:eastAsia="Arial" w:hAnsi="Arial"/>
          <w:sz w:val="18"/>
          <w:szCs w:val="18"/>
          <w:color w:val="auto"/>
        </w:rPr>
        <w:t>(Address of principal executive office)</w:t>
      </w:r>
    </w:p>
    <w:p>
      <w:pPr>
        <w:spacing w:after="0" w:line="23"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283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283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3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516255</wp:posOffset>
            </wp:positionV>
            <wp:extent cx="71532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435" w:right="1440" w:bottom="1440" w:gutter="0" w:footer="0" w:header="0"/>
        </w:sectPr>
      </w:pPr>
    </w:p>
    <w:bookmarkStart w:id="1" w:name="page2"/>
    <w:bookmarkEnd w:id="1"/>
    <w:p>
      <w:pPr>
        <w:ind w:firstLine="946"/>
        <w:spacing w:after="0" w:line="277" w:lineRule="auto"/>
        <w:rPr>
          <w:sz w:val="20"/>
          <w:szCs w:val="20"/>
          <w:color w:val="auto"/>
        </w:rPr>
      </w:pPr>
      <w:r>
        <w:rPr>
          <w:rFonts w:ascii="Arial" w:cs="Arial" w:eastAsia="Arial" w:hAnsi="Arial"/>
          <w:sz w:val="18"/>
          <w:szCs w:val="18"/>
          <w:color w:val="auto"/>
        </w:rPr>
        <w:t>The press release issued by GasLog Ltd. on March 6, 2020 announcing the availability of its Annual Report on Form 20-F is included as Exhibit 99.1 and is incorporated herein by reference.</w:t>
      </w:r>
    </w:p>
    <w:p>
      <w:pPr>
        <w:spacing w:after="0" w:line="17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March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80"/>
          </w:cols>
          <w:pgMar w:left="320" w:top="341" w:right="79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9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6, 2020</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GASLOG LTD.,</w:t>
      </w:r>
    </w:p>
    <w:p>
      <w:pPr>
        <w:spacing w:after="0" w:line="14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22860</wp:posOffset>
            </wp:positionV>
            <wp:extent cx="32575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ind w:left="6200"/>
              <w:spacing w:after="0"/>
              <w:rPr>
                <w:sz w:val="20"/>
                <w:szCs w:val="20"/>
                <w:color w:val="auto"/>
              </w:rPr>
            </w:pPr>
            <w:r>
              <w:rPr>
                <w:rFonts w:ascii="Arial" w:cs="Arial" w:eastAsia="Arial" w:hAnsi="Arial"/>
                <w:sz w:val="18"/>
                <w:szCs w:val="18"/>
                <w:color w:val="auto"/>
              </w:rPr>
              <w:t>Name:</w:t>
            </w:r>
          </w:p>
        </w:tc>
        <w:tc>
          <w:tcPr>
            <w:tcW w:w="4460" w:type="dxa"/>
            <w:vAlign w:val="bottom"/>
          </w:tcPr>
          <w:p>
            <w:pPr>
              <w:ind w:left="120"/>
              <w:spacing w:after="0"/>
              <w:rPr>
                <w:sz w:val="20"/>
                <w:szCs w:val="20"/>
                <w:color w:val="auto"/>
              </w:rPr>
            </w:pPr>
            <w:r>
              <w:rPr>
                <w:rFonts w:ascii="Arial" w:cs="Arial" w:eastAsia="Arial" w:hAnsi="Arial"/>
                <w:sz w:val="18"/>
                <w:szCs w:val="18"/>
                <w:color w:val="auto"/>
              </w:rPr>
              <w:t>Paul A. Wogan</w:t>
            </w:r>
          </w:p>
        </w:tc>
      </w:tr>
      <w:tr>
        <w:trPr>
          <w:trHeight w:val="230"/>
        </w:trPr>
        <w:tc>
          <w:tcPr>
            <w:tcW w:w="6820" w:type="dxa"/>
            <w:vAlign w:val="bottom"/>
          </w:tcPr>
          <w:p>
            <w:pPr>
              <w:ind w:left="6200"/>
              <w:spacing w:after="0"/>
              <w:rPr>
                <w:sz w:val="20"/>
                <w:szCs w:val="20"/>
                <w:color w:val="auto"/>
              </w:rPr>
            </w:pPr>
            <w:r>
              <w:rPr>
                <w:rFonts w:ascii="Arial" w:cs="Arial" w:eastAsia="Arial" w:hAnsi="Arial"/>
                <w:sz w:val="18"/>
                <w:szCs w:val="18"/>
                <w:color w:val="auto"/>
              </w:rPr>
              <w:t>Title:</w:t>
            </w:r>
          </w:p>
        </w:tc>
        <w:tc>
          <w:tcPr>
            <w:tcW w:w="446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r>
        <w:trPr>
          <w:trHeight w:val="348"/>
        </w:trPr>
        <w:tc>
          <w:tcPr>
            <w:tcW w:w="6820" w:type="dxa"/>
            <w:vAlign w:val="bottom"/>
            <w:tcBorders>
              <w:bottom w:val="single" w:sz="8" w:color="808080"/>
            </w:tcBorders>
          </w:tcPr>
          <w:p>
            <w:pPr>
              <w:spacing w:after="0"/>
              <w:rPr>
                <w:sz w:val="24"/>
                <w:szCs w:val="24"/>
                <w:color w:val="auto"/>
              </w:rPr>
            </w:pPr>
          </w:p>
        </w:tc>
        <w:tc>
          <w:tcPr>
            <w:tcW w:w="4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Press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Announces Availability of its Annual Report on Form 20-F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2019</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PIRAEUS, GREECE – March 6, 2020 </w:t>
      </w:r>
      <w:r>
        <w:rPr>
          <w:rFonts w:ascii="Arial" w:cs="Arial" w:eastAsia="Arial" w:hAnsi="Arial"/>
          <w:sz w:val="18"/>
          <w:szCs w:val="18"/>
          <w:color w:val="auto"/>
        </w:rPr>
        <w:t>- GasLog Ltd. (GasLog) (NYSE: GLOG), an international owner, operator and manager of liquefied natural gas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(“LNG”) carriers, announced today that its Annual Report on Form 20-F for the fiscal year ended December 31, 2019 (the “Annual Report”) has been filed with the U.S. Securities and Exchange Commission and can be accessed on the Company’s website, </w:t>
      </w:r>
      <w:r>
        <w:rPr>
          <w:rFonts w:ascii="Arial" w:cs="Arial" w:eastAsia="Arial" w:hAnsi="Arial"/>
          <w:sz w:val="18"/>
          <w:szCs w:val="18"/>
          <w:u w:val="single" w:color="auto"/>
          <w:color w:val="auto"/>
        </w:rPr>
        <w:t>http://www.gaslogltd.com</w:t>
      </w:r>
      <w:r>
        <w:rPr>
          <w:rFonts w:ascii="Arial" w:cs="Arial" w:eastAsia="Arial" w:hAnsi="Arial"/>
          <w:sz w:val="18"/>
          <w:szCs w:val="18"/>
          <w:color w:val="auto"/>
        </w:rPr>
        <w:t>, in the “Investors” section under “SEC Filings”.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Shareholders may also request a hard copy of the Annual Report, which includes the Company’s complete 2019 audited financial statements, free of charge by contacting Philip Corbett or Joseph Nelson at: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ir@gaslogltd.com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Ltd.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GasLog is an international owner, operator and manager of LNG carriers providing support to international energy companies as part of their LNG logistics chain. GasLog’s consolidated fleet consists of 35 LNG carriers. Of these vessels, 19 (12 on the water and seven on order) are owned by GasLog, one has been sold to a subsidiary of Mitsui &amp; Co. Ltd. and leased back to GasLog under a long-term bareboat charter and the remaining 15 LNG carriers are owned by the Company’s subsidiary, GasLog Partners. GasLog’s principal executive offices are at 69 Akti Miaouli, 18537 Piraeus, Greece. Visit GasLog’s website at http://www.gaslogltd.com.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Philip Corbett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Deputy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 ir@gaslogltd.com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2020-03-06T06:04:54Z</dcterms:created>
  <dcterms:modified xsi:type="dcterms:W3CDTF">2020-03-06T06:04:54Z</dcterms:modified>
</cp:coreProperties>
</file>