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left="1700" w:right="900"/>
        <w:spacing w:after="0" w:line="261"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0"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001-35466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5"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GasLog Ltd.</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c/o GasLog LNG Services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Pireaus Greece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+30 210 459 1000</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3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Common Shares, par value $0.01 per share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(Title of each class of securities covered by this Form)</w:t>
      </w:r>
    </w:p>
    <w:p>
      <w:pPr>
        <w:spacing w:after="0" w:line="15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Series A Preference Shares, $0.01 par value per share*</w:t>
      </w:r>
      <w:r>
        <w:rPr>
          <w:rFonts w:ascii="Arial" w:cs="Arial" w:eastAsia="Arial" w:hAnsi="Arial"/>
          <w:sz w:val="29"/>
          <w:szCs w:val="29"/>
          <w:b w:val="1"/>
          <w:bCs w:val="1"/>
          <w:color w:val="FFFFFF"/>
          <w:vertAlign w:val="superscript"/>
        </w:rPr>
        <w:t>[1]</w:t>
      </w:r>
    </w:p>
    <w:p>
      <w:pPr>
        <w:jc w:val="center"/>
        <w:ind w:right="-1120"/>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0139"/>
          </w:cols>
          <w:pgMar w:left="320" w:top="814" w:right="1440" w:bottom="1440" w:gutter="0" w:footer="0" w:header="0"/>
        </w:sectPr>
      </w:pPr>
    </w:p>
    <w:p>
      <w:pPr>
        <w:spacing w:after="0" w:line="248"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282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282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Rule 15d-6</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260" w:space="400"/>
            <w:col w:w="5479"/>
          </w:cols>
          <w:pgMar w:left="320" w:top="814" w:right="1440"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Approximate number of holders of record as of the certification or notice date: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0" w:lineRule="exact"/>
        <w:rPr>
          <w:sz w:val="24"/>
          <w:szCs w:val="24"/>
          <w:color w:val="auto"/>
        </w:rPr>
      </w:pPr>
    </w:p>
    <w:p>
      <w:pPr>
        <w:ind w:left="140" w:hanging="132"/>
        <w:spacing w:after="0"/>
        <w:tabs>
          <w:tab w:leader="none" w:pos="1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Explanatory Note: </w:t>
      </w:r>
      <w:r>
        <w:rPr>
          <w:rFonts w:ascii="Arial" w:cs="Arial" w:eastAsia="Arial" w:hAnsi="Arial"/>
          <w:sz w:val="16"/>
          <w:szCs w:val="16"/>
          <w:color w:val="auto"/>
        </w:rPr>
        <w:t>For the avoidance of doubt, the Series A Preference Shares will remain registered at this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GasLog Ltd. has caused this certification/notice to be signed on its behalf by the undersigned duly authorized person.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2021-06-21T15:41:42Z</dcterms:created>
  <dcterms:modified xsi:type="dcterms:W3CDTF">2021-06-21T15:41:42Z</dcterms:modified>
</cp:coreProperties>
</file>