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105410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0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20" w:right="140" w:hanging="638"/>
        <w:spacing w:after="0" w:line="250" w:lineRule="auto"/>
        <w:tabs>
          <w:tab w:leader="none" w:pos="11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 w:lineRule="exact"/>
        <w:rPr>
          <w:sz w:val="24"/>
          <w:szCs w:val="24"/>
          <w:color w:val="auto"/>
        </w:rPr>
      </w:pPr>
    </w:p>
    <w:p>
      <w:pPr>
        <w:ind w:left="1120" w:hanging="638"/>
        <w:spacing w:after="0"/>
        <w:tabs>
          <w:tab w:leader="none" w:pos="11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19" w:lineRule="exact"/>
        <w:rPr>
          <w:sz w:val="24"/>
          <w:szCs w:val="24"/>
          <w:color w:val="auto"/>
        </w:rPr>
      </w:pPr>
    </w:p>
    <w:p>
      <w:pPr>
        <w:ind w:left="1120" w:right="40" w:hanging="638"/>
        <w:spacing w:after="0" w:line="263" w:lineRule="auto"/>
        <w:tabs>
          <w:tab w:leader="none" w:pos="11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ind w:left="1120" w:right="340" w:hanging="638"/>
        <w:spacing w:after="0" w:line="260" w:lineRule="auto"/>
        <w:tabs>
          <w:tab w:leader="none" w:pos="11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83820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1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10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Bermuda</w:t>
      </w:r>
    </w:p>
    <w:p>
      <w:pPr>
        <w:spacing w:after="0" w:line="10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18537 Piraeus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Greece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Alexandros Laios,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GasLog LNG Services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18537 Piraeus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+30 210 459 1000 Facsimile: +30 210 459 1242</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114300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Series A Preference Shares, $0.01 par value per</w:t>
            </w:r>
          </w:p>
        </w:tc>
        <w:tc>
          <w:tcPr>
            <w:tcW w:w="160" w:type="dxa"/>
            <w:vAlign w:val="bottom"/>
          </w:tcPr>
          <w:p>
            <w:pPr>
              <w:spacing w:after="0"/>
              <w:rPr>
                <w:sz w:val="16"/>
                <w:szCs w:val="16"/>
                <w:color w:val="auto"/>
              </w:rPr>
            </w:pPr>
          </w:p>
        </w:tc>
        <w:tc>
          <w:tcPr>
            <w:tcW w:w="3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r>
      <w:tr>
        <w:trPr>
          <w:trHeight w:val="234"/>
        </w:trPr>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GLOG PR A</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FOR WHICH THERE IS A REPORTING OBLIGATION PURSUANT TO SECTION 15(d) OF THE ACT: </w:t>
      </w:r>
      <w:r>
        <w:rPr>
          <w:rFonts w:ascii="Times New Roman" w:cs="Times New Roman" w:eastAsia="Times New Roman" w:hAnsi="Times New Roman"/>
          <w:sz w:val="18"/>
          <w:szCs w:val="18"/>
          <w:color w:val="auto"/>
        </w:rPr>
        <w:t>None</w:t>
      </w:r>
    </w:p>
    <w:p>
      <w:pPr>
        <w:spacing w:after="0" w:line="10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4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95,389,062 common shares of the Company’s common stock and 200,000 Series A Preference Shares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63"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4" w:lineRule="exact"/>
        <w:rPr>
          <w:sz w:val="20"/>
          <w:szCs w:val="20"/>
          <w:color w:val="auto"/>
        </w:rPr>
      </w:pPr>
    </w:p>
    <w:p>
      <w:pPr>
        <w:spacing w:after="0" w:line="207" w:lineRule="exact"/>
        <w:tabs>
          <w:tab w:leader="none" w:pos="2900" w:val="left"/>
          <w:tab w:leader="none" w:pos="5660" w:val="left"/>
          <w:tab w:leader="none" w:pos="76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4" w:lineRule="exact"/>
        <w:rPr>
          <w:sz w:val="20"/>
          <w:szCs w:val="20"/>
          <w:color w:val="auto"/>
        </w:rPr>
      </w:pPr>
    </w:p>
    <w:p>
      <w:pPr>
        <w:ind w:right="320"/>
        <w:spacing w:after="0" w:line="231" w:lineRule="exact"/>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MS PGothic" w:cs="MS PGothic" w:eastAsia="MS PGothic" w:hAnsi="MS PGothic"/>
          <w:sz w:val="18"/>
          <w:szCs w:val="18"/>
          <w:color w:val="auto"/>
        </w:rPr>
        <w:t>☐</w:t>
      </w:r>
    </w:p>
    <w:p>
      <w:pPr>
        <w:spacing w:after="0" w:line="50" w:lineRule="exact"/>
        <w:rPr>
          <w:sz w:val="20"/>
          <w:szCs w:val="20"/>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6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371" w:lineRule="exact"/>
        <w:rPr>
          <w:sz w:val="20"/>
          <w:szCs w:val="20"/>
          <w:color w:val="auto"/>
        </w:rPr>
      </w:pPr>
    </w:p>
    <w:p>
      <w:pPr>
        <w:sectPr>
          <w:pgSz w:w="11900" w:h="16838" w:orient="portrait"/>
          <w:cols w:equalWidth="0" w:num="3">
            <w:col w:w="2300" w:space="720"/>
            <w:col w:w="5560" w:space="720"/>
            <w:col w:w="620"/>
          </w:cols>
          <w:pgMar w:left="980" w:top="661" w:right="999" w:bottom="1440" w:gutter="0" w:footer="0" w:header="0"/>
          <w:type w:val="continuous"/>
        </w:sect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8360"/>
        <w:spacing w:after="0" w:line="196" w:lineRule="exact"/>
        <w:rPr>
          <w:sz w:val="20"/>
          <w:szCs w:val="20"/>
          <w:color w:val="auto"/>
        </w:rPr>
      </w:pPr>
      <w:r>
        <w:rPr>
          <w:rFonts w:ascii="Times New Roman" w:cs="Times New Roman" w:eastAsia="Times New Roman" w:hAnsi="Times New Roman"/>
          <w:sz w:val="17"/>
          <w:szCs w:val="17"/>
          <w:color w:val="auto"/>
        </w:rPr>
        <w:t xml:space="preserve">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 </w:t>
      </w:r>
      <w:r>
        <w:rPr>
          <w:rFonts w:ascii="MS PGothic" w:cs="MS PGothic" w:eastAsia="MS PGothic" w:hAnsi="MS PGothic"/>
          <w:sz w:val="17"/>
          <w:szCs w:val="17"/>
          <w:color w:val="auto"/>
        </w:rPr>
        <w:t>☐</w:t>
      </w:r>
    </w:p>
    <w:p>
      <w:pPr>
        <w:spacing w:after="0" w:line="15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557530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172085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EE"/>
                <w:w w:val="99"/>
              </w:rPr>
              <w:t>ABOUT THIS REPORT</w:t>
            </w:r>
          </w:p>
        </w:tc>
        <w:tc>
          <w:tcPr>
            <w:tcW w:w="7340" w:type="dxa"/>
            <w:vAlign w:val="bottom"/>
            <w:gridSpan w:val="27"/>
            <w:vMerge w:val="restart"/>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53"/>
        </w:trPr>
        <w:tc>
          <w:tcPr>
            <w:tcW w:w="1620" w:type="dxa"/>
            <w:vAlign w:val="bottom"/>
            <w:tcBorders>
              <w:bottom w:val="single" w:sz="8" w:color="0000EE"/>
            </w:tcBorders>
            <w:gridSpan w:val="8"/>
            <w:vMerge w:val="continue"/>
          </w:tcPr>
          <w:p>
            <w:pPr>
              <w:spacing w:after="0"/>
              <w:rPr>
                <w:sz w:val="12"/>
                <w:szCs w:val="12"/>
                <w:color w:val="auto"/>
              </w:rPr>
            </w:pPr>
          </w:p>
        </w:tc>
        <w:tc>
          <w:tcPr>
            <w:tcW w:w="7340" w:type="dxa"/>
            <w:vAlign w:val="bottom"/>
            <w:gridSpan w:val="27"/>
            <w:vMerge w:val="continue"/>
          </w:tcPr>
          <w:p>
            <w:pPr>
              <w:spacing w:after="0"/>
              <w:rPr>
                <w:sz w:val="12"/>
                <w:szCs w:val="12"/>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FORWARD-LOOKING STATEMENTS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iv</w:t>
            </w:r>
          </w:p>
        </w:tc>
        <w:tc>
          <w:tcPr>
            <w:tcW w:w="0" w:type="dxa"/>
            <w:vAlign w:val="bottom"/>
          </w:tcPr>
          <w:p>
            <w:pPr>
              <w:spacing w:after="0"/>
              <w:rPr>
                <w:sz w:val="1"/>
                <w:szCs w:val="1"/>
                <w:color w:val="auto"/>
              </w:rPr>
            </w:pPr>
          </w:p>
        </w:tc>
      </w:tr>
      <w:tr>
        <w:trPr>
          <w:trHeight w:val="183"/>
        </w:trPr>
        <w:tc>
          <w:tcPr>
            <w:tcW w:w="50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5"/>
              </w:rPr>
              <w:t>PART I</w:t>
            </w:r>
          </w:p>
        </w:tc>
        <w:tc>
          <w:tcPr>
            <w:tcW w:w="300" w:type="dxa"/>
            <w:vAlign w:val="bottom"/>
            <w:tcBorders>
              <w:top w:val="single" w:sz="8" w:color="0000EE"/>
            </w:tcBorders>
            <w:gridSpan w:val="5"/>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KEY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4.A.</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7.</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8.</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FINANCIAL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9.</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THE OFFER AND LISTING</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10.</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ADDITIONAL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11.</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12.</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PART II</w:t>
            </w:r>
          </w:p>
        </w:tc>
        <w:tc>
          <w:tcPr>
            <w:tcW w:w="1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13.</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14.</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15.</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16.</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[RESERVED]</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16.A.</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Borders>
              <w:top w:val="single" w:sz="8" w:color="0000EE"/>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16.B.</w:t>
            </w:r>
          </w:p>
        </w:tc>
        <w:tc>
          <w:tcPr>
            <w:tcW w:w="10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9"/>
              </w:rPr>
              <w:t>CODE OF ETHICS</w:t>
            </w:r>
          </w:p>
        </w:tc>
        <w:tc>
          <w:tcPr>
            <w:tcW w:w="1760" w:type="dxa"/>
            <w:vAlign w:val="bottom"/>
            <w:tcBorders>
              <w:top w:val="single" w:sz="8" w:color="0000EE"/>
            </w:tcBorders>
            <w:gridSpan w:val="10"/>
          </w:tcPr>
          <w:p>
            <w:pPr>
              <w:spacing w:after="0"/>
              <w:rPr>
                <w:sz w:val="15"/>
                <w:szCs w:val="15"/>
                <w:color w:val="auto"/>
              </w:rPr>
            </w:pPr>
          </w:p>
        </w:tc>
        <w:tc>
          <w:tcPr>
            <w:tcW w:w="5000" w:type="dxa"/>
            <w:vAlign w:val="bottom"/>
            <w:gridSpan w:val="14"/>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7"/>
              </w:rPr>
              <w:t>ITEM 16.C.</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16.D.</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8"/>
              </w:rPr>
              <w:t>ITEM 16.E.</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Borders>
              <w:top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9"/>
              </w:rPr>
              <w:t>ITEM 16.F.</w:t>
            </w:r>
          </w:p>
        </w:tc>
        <w:tc>
          <w:tcPr>
            <w:tcW w:w="100" w:type="dxa"/>
            <w:vAlign w:val="bottom"/>
          </w:tcPr>
          <w:p>
            <w:pPr>
              <w:spacing w:after="0"/>
              <w:rPr>
                <w:sz w:val="15"/>
                <w:szCs w:val="15"/>
                <w:color w:val="auto"/>
              </w:rPr>
            </w:pPr>
          </w:p>
        </w:tc>
        <w:tc>
          <w:tcPr>
            <w:tcW w:w="6440" w:type="dxa"/>
            <w:vAlign w:val="bottom"/>
            <w:tcBorders>
              <w:top w:val="single" w:sz="8" w:color="0000EE"/>
            </w:tcBorders>
            <w:gridSpan w:val="26"/>
          </w:tcPr>
          <w:p>
            <w:pPr>
              <w:spacing w:after="0" w:line="183" w:lineRule="exact"/>
              <w:rPr>
                <w:sz w:val="20"/>
                <w:szCs w:val="20"/>
                <w:color w:val="auto"/>
              </w:rPr>
            </w:pPr>
            <w:r>
              <w:rPr>
                <w:rFonts w:ascii="Times New Roman" w:cs="Times New Roman" w:eastAsia="Times New Roman" w:hAnsi="Times New Roman"/>
                <w:sz w:val="16"/>
                <w:szCs w:val="16"/>
                <w:color w:val="0000EE"/>
              </w:rPr>
              <w:t>CHANGE IN COMPANY’S CERTIFYING ACCOUNTANT</w:t>
            </w:r>
          </w:p>
        </w:tc>
        <w:tc>
          <w:tcPr>
            <w:tcW w:w="1620" w:type="dxa"/>
            <w:vAlign w:val="bottom"/>
            <w:gridSpan w:val="2"/>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16.G.</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CORPORATE GOVERNANCE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w w:val="96"/>
              </w:rPr>
              <w:t>ITEM 16.H.</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16.I.</w:t>
            </w:r>
          </w:p>
        </w:tc>
        <w:tc>
          <w:tcPr>
            <w:tcW w:w="100" w:type="dxa"/>
            <w:vAlign w:val="bottom"/>
          </w:tcPr>
          <w:p>
            <w:pPr>
              <w:spacing w:after="0"/>
              <w:rPr>
                <w:sz w:val="15"/>
                <w:szCs w:val="15"/>
                <w:color w:val="auto"/>
              </w:rPr>
            </w:pPr>
          </w:p>
        </w:tc>
        <w:tc>
          <w:tcPr>
            <w:tcW w:w="806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3140" w:type="dxa"/>
            <w:vAlign w:val="bottom"/>
            <w:gridSpan w:val="10"/>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5"/>
          </w:tcPr>
          <w:p>
            <w:pPr>
              <w:spacing w:after="0" w:line="183" w:lineRule="exact"/>
              <w:rPr>
                <w:sz w:val="20"/>
                <w:szCs w:val="20"/>
                <w:color w:val="auto"/>
              </w:rPr>
            </w:pPr>
            <w:r>
              <w:rPr>
                <w:rFonts w:ascii="Times New Roman" w:cs="Times New Roman" w:eastAsia="Times New Roman" w:hAnsi="Times New Roman"/>
                <w:sz w:val="16"/>
                <w:szCs w:val="16"/>
                <w:color w:val="0000EE"/>
              </w:rPr>
              <w:t>ITEM 16.K. CYBERSECURITY</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8"/>
              </w:rPr>
              <w:t>PART III</w:t>
            </w:r>
          </w:p>
        </w:tc>
        <w:tc>
          <w:tcPr>
            <w:tcW w:w="160" w:type="dxa"/>
            <w:vAlign w:val="bottom"/>
            <w:tcBorders>
              <w:top w:val="single" w:sz="8" w:color="0000EE"/>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17.</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FINANCIAL STATEMENTS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94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18.</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FINANCIAL STATEMENTS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94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ITEM 19.</w:t>
            </w:r>
          </w:p>
        </w:tc>
        <w:tc>
          <w:tcPr>
            <w:tcW w:w="8160" w:type="dxa"/>
            <w:vAlign w:val="bottom"/>
            <w:gridSpan w:val="29"/>
          </w:tcPr>
          <w:p>
            <w:pPr>
              <w:ind w:left="100"/>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380" w:type="dxa"/>
            <w:vAlign w:val="bottom"/>
            <w:gridSpan w:val="13"/>
          </w:tcPr>
          <w:p>
            <w:pPr>
              <w:spacing w:after="0" w:line="20" w:lineRule="exact"/>
              <w:rPr>
                <w:sz w:val="1"/>
                <w:szCs w:val="1"/>
                <w:color w:val="auto"/>
              </w:rPr>
            </w:pPr>
          </w:p>
        </w:tc>
        <w:tc>
          <w:tcPr>
            <w:tcW w:w="4940" w:type="dxa"/>
            <w:vAlign w:val="bottom"/>
            <w:gridSpan w:val="1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tcBorders>
              <w:bottom w:val="single" w:sz="8" w:color="0000EE"/>
            </w:tcBorders>
            <w:gridSpan w:val="22"/>
          </w:tcPr>
          <w:p>
            <w:pPr>
              <w:spacing w:after="0" w:line="183" w:lineRule="exact"/>
              <w:rPr>
                <w:sz w:val="20"/>
                <w:szCs w:val="20"/>
                <w:color w:val="auto"/>
              </w:rPr>
            </w:pPr>
            <w:r>
              <w:rPr>
                <w:rFonts w:ascii="Times New Roman" w:cs="Times New Roman" w:eastAsia="Times New Roman" w:hAnsi="Times New Roman"/>
                <w:sz w:val="16"/>
                <w:szCs w:val="16"/>
                <w:color w:val="0000EE"/>
                <w:w w:val="99"/>
              </w:rPr>
              <w:t>INDEX TO CONSOLIDATED FINANCIAL STATEMENTS</w:t>
            </w:r>
          </w:p>
        </w:tc>
        <w:tc>
          <w:tcPr>
            <w:tcW w:w="4940" w:type="dxa"/>
            <w:vAlign w:val="bottom"/>
            <w:gridSpan w:val="13"/>
          </w:tcPr>
          <w:p>
            <w:pPr>
              <w:spacing w:after="0"/>
              <w:rPr>
                <w:sz w:val="15"/>
                <w:szCs w:val="15"/>
                <w:color w:val="auto"/>
              </w:rPr>
            </w:pP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ABOUT THIS REPORT</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144" w:lineRule="exact"/>
        <w:rPr>
          <w:sz w:val="20"/>
          <w:szCs w:val="20"/>
          <w:color w:val="auto"/>
        </w:rPr>
      </w:pPr>
    </w:p>
    <w:p>
      <w:pPr>
        <w:ind w:left="680" w:right="140" w:hanging="321"/>
        <w:spacing w:after="0" w:line="27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the “Company”, the “Group”, “we”, “our”, “us” or similar terms refer to GasLog Ltd. or any one or more of its subsidiaries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100" w:lineRule="exact"/>
        <w:rPr>
          <w:rFonts w:ascii="Times New Roman" w:cs="Times New Roman" w:eastAsia="Times New Roman" w:hAnsi="Times New Roman"/>
          <w:sz w:val="18"/>
          <w:szCs w:val="18"/>
          <w:color w:val="auto"/>
        </w:rPr>
      </w:pPr>
    </w:p>
    <w:p>
      <w:pPr>
        <w:ind w:left="680" w:right="460" w:hanging="321"/>
        <w:spacing w:after="0" w:line="28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9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refers to GasLog Partners GP LLC, the general partner of GasLog Partners;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LNG Services” refers to GasLog LNG Services Ltd., our wholly owned subsidiary;</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Carriers” refers to GasLog Carriers Ltd., our wholly owned subsidiary;</w:t>
      </w:r>
    </w:p>
    <w:p>
      <w:pPr>
        <w:spacing w:after="0" w:line="171" w:lineRule="exact"/>
        <w:rPr>
          <w:rFonts w:ascii="Times New Roman" w:cs="Times New Roman" w:eastAsia="Times New Roman" w:hAnsi="Times New Roman"/>
          <w:sz w:val="18"/>
          <w:szCs w:val="18"/>
          <w:color w:val="auto"/>
        </w:rPr>
      </w:pPr>
    </w:p>
    <w:p>
      <w:pPr>
        <w:ind w:left="680" w:right="340" w:hanging="321"/>
        <w:spacing w:after="0" w:line="297"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vessels” or “our ships” refers to the LNG carriers owned or controlled by the Company and its subsidiaries, excluding Egypt LNG Shipping Ltd. (in which we hold a 25.0% equity interest);</w:t>
      </w:r>
    </w:p>
    <w:p>
      <w:pPr>
        <w:spacing w:after="0" w:line="81"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of GasLog for a purchase price of $5.80 in cash per share (the “GEPIF Transaction”). Following the consummation of the GEPIF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shares of GasLog and GEPIF holds approximately 45%;</w:t>
      </w:r>
    </w:p>
    <w:p>
      <w:pPr>
        <w:spacing w:after="0" w:line="97"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refers to GEPIF III Crown Bidco L.P.;</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“Blenheim Special” refers to Blenheim Special Investments Holding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“Olympic LNG” refers to Olympic LNG Investments Ltd., a wholly owned affiliate of the Onassis Foundation;</w:t>
      </w:r>
    </w:p>
    <w:p>
      <w:pPr>
        <w:spacing w:after="0" w:line="17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with GasLog Partners” refers to the agreement and plan of merger dated as of April 6, 2023, with GasLog Partners, the general partner and Saturn Merger Sub LLC, a wholly owned subsidiary of GasLog (“Merger Sub”), pursuant to which Merger Sub merged with and into the Partnership, with the Partnership surviving as a direct subsidiary of GasLog, and GasLog acquired the outstanding common units of the Partnership not beneficially owned by GasLog for overall consideration of $8.65 per common unit in cash (the “ GasLog Partners Transaction”), consisting in part of a special distribution by the Partnership of $3.28 per common unit in cash (the “Special Distribution”) that was distributed to the Partnership’s unitholders in connection with the closing of the GasLog Partners Transaction and the remainder was paid by GasLog as merger consideration at the closing of the GasLog Partners Transaction on July 13, 2023;</w:t>
      </w:r>
    </w:p>
    <w:p>
      <w:pPr>
        <w:spacing w:after="0" w:line="1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refers to Shell plc, or any one or more of its subsidiaries;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“BG Group” refers to BG Group plc. BG Group was acquired by Shell on February 15, 2016;</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“MSL” refers to Methane Services Limited, a subsidiary of Shell;</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“Hanwha” refers to Hanwha Ocean Co. Ltd. (formerly Daewoo Shipbuilding and Marine Engineering Co.,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“DESFA” refers to the Hellenic Gas Transmission System Operator (DESFA)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refers to TotalEnergies Gas &amp; Power Limited, a wholly owned subsidiary of TotalEnergies SE;</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“Centrica” refers to Pioneer Shipping Limited, a wholly owned subsidiary of Centrica plc;</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“Cheniere” refers to Cheniere Marketing International LLP, a wholly owned subsidiary of Cheniere Energy, Inc.;</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“Trafigura” refers to Trafigura Maritime Logistics PTE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“Egypt LNG” refers to Egypt LNG Shipping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“Gunvor” refers to Clearlake Shipping Pte. Ltd., a wholly owned subsidiary of Gunvor Group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“Endesa” refers to Endesa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“Kansai” refers to KE Fuel International Co.,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“Jera” refers to LNG Marine Transport Limited, the principal LNG shipping entity of Japan’s Jera Co., Inc.;</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“Tokyo LNG” refers to Tokyo LNG Tanker Co.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“CNTIC VPower” refers to CNTIC VPower Energy Ltd., an independent Chinese energy company;</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charterer” refers to a Southeast Asian charterer;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“Woodside” refers to Woodside Energy Shipping Singapore Pte.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 190 Leasing” refers to Sea 190 Leasing Co. Limited, an indirectly owned subsidiary of CMB Financial Leasing Co. Ltd.;</w:t>
      </w:r>
    </w:p>
    <w:p>
      <w:pPr>
        <w:spacing w:after="0" w:line="182" w:lineRule="exact"/>
        <w:rPr>
          <w:rFonts w:ascii="Times New Roman" w:cs="Times New Roman" w:eastAsia="Times New Roman" w:hAnsi="Times New Roman"/>
          <w:sz w:val="17"/>
          <w:szCs w:val="17"/>
          <w:color w:val="auto"/>
        </w:rPr>
      </w:pPr>
    </w:p>
    <w:p>
      <w:pPr>
        <w:ind w:left="680" w:right="10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 Kuo Shipping” refers to Hai Kuo Shipping 2051G Limited, a wholly owned subsidiary of ICBC Financial Leasing Co., Ltd.;</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“Mitsui” refers to Mitsui &amp; Co., Ltd. and “Lepta Shipping” refers to Lepta Shipping Co., Ltd., a subsidiary of Mitsui.;</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“CDBL” refers to a wholly owned subsidiary of China Development Bank Financial Leasing Co.,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“CMBFL” refers to CMB Financial Leasing Co.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“Gastrade” refers to Gastrade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“Ceres Shipping” refers to Ceres Shipping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refers to the New York Stock Exchange;</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International Financial Reporting Standards;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 refers to, and amounts are presented in, U.S. dollars;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refers to liquefied natural gas;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“FSRUs” refers to Floating Storage and Regasification Units;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“FSUs” refers to Floating Storage Units;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“TFDE” refers to tri-fuel diesel electric engine propulsion;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“Steam” refers to steam turbine propulsion;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“X-DF” refers to low pressure dual fuel two-stroke engine propulsion manufactured by Winterthur Gas &amp; Diesel;</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“MEGI” refers to M-type, electronically controlled, gas injection; and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8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0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charter hire rates, vessel utilization and vessel values;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the spot market and fluctuations in spot charter rates;</w:t>
      </w:r>
    </w:p>
    <w:p>
      <w:pPr>
        <w:spacing w:after="0" w:line="171" w:lineRule="exact"/>
        <w:rPr>
          <w:rFonts w:ascii="Times New Roman" w:cs="Times New Roman" w:eastAsia="Times New Roman" w:hAnsi="Times New Roman"/>
          <w:sz w:val="18"/>
          <w:szCs w:val="18"/>
          <w:color w:val="auto"/>
        </w:rPr>
      </w:pPr>
    </w:p>
    <w:p>
      <w:pPr>
        <w:jc w:val="both"/>
        <w:ind w:left="680" w:right="22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0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expenses, including crew wages, maintenance, dry-docking and insurance costs and bunker prices;</w:t>
      </w:r>
    </w:p>
    <w:p>
      <w:pPr>
        <w:spacing w:after="0" w:line="171" w:lineRule="exact"/>
        <w:rPr>
          <w:rFonts w:ascii="Times New Roman" w:cs="Times New Roman" w:eastAsia="Times New Roman" w:hAnsi="Times New Roman"/>
          <w:sz w:val="18"/>
          <w:szCs w:val="18"/>
          <w:color w:val="auto"/>
        </w:rPr>
      </w:pPr>
    </w:p>
    <w:p>
      <w:pPr>
        <w:ind w:left="680" w:right="240" w:hanging="321"/>
        <w:spacing w:after="0" w:line="29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off-hire days and dry-docking requirements including our ability to complete scheduled dry-dockings on time and within budget;</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long-term relationships and enter into time charters with new and existing customers;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effects of COVID-19 and any other pandemics on our workforce, business, operations and financial condition;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for crude oil, petroleum products and natural gas;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ownership of our charterers;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performance of their obligations under our time charters and other contracts;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 and expenses, financial condition, liquidity and cash available for dividends and distributions;</w:t>
      </w:r>
    </w:p>
    <w:p>
      <w:pPr>
        <w:spacing w:after="0" w:line="171"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and bond facilities;</w:t>
      </w:r>
    </w:p>
    <w:p>
      <w:pPr>
        <w:spacing w:after="0" w:line="101" w:lineRule="exact"/>
        <w:rPr>
          <w:rFonts w:ascii="Times New Roman" w:cs="Times New Roman" w:eastAsia="Times New Roman" w:hAnsi="Times New Roman"/>
          <w:sz w:val="18"/>
          <w:szCs w:val="18"/>
          <w:color w:val="auto"/>
        </w:rPr>
      </w:pPr>
    </w:p>
    <w:p>
      <w:pPr>
        <w:ind w:left="680" w:right="240" w:hanging="321"/>
        <w:spacing w:after="0" w:line="29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pending or recent acquisitions of or orders for ships or other assets, business strategy, areas of possible expansion and expected capital spending;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it may take to construct and deliver newbuildings and the useful lives of our ships;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currencies and interest rates;</w:t>
      </w:r>
    </w:p>
    <w:p>
      <w:pPr>
        <w:spacing w:after="0" w:line="171" w:lineRule="exact"/>
        <w:rPr>
          <w:rFonts w:ascii="Times New Roman" w:cs="Times New Roman" w:eastAsia="Times New Roman" w:hAnsi="Times New Roman"/>
          <w:sz w:val="18"/>
          <w:szCs w:val="18"/>
          <w:color w:val="auto"/>
        </w:rPr>
      </w:pPr>
    </w:p>
    <w:p>
      <w:pPr>
        <w:ind w:left="680" w:right="40" w:hanging="321"/>
        <w:spacing w:after="0" w:line="27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1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ship operation, including the discharge of pollutants;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 and the availability of skilled labor, ship crews and management;</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shipping routes due to accidents, diseases, pandemics, political events, piracy or acts by terrorists;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w:t>
      </w:r>
    </w:p>
    <w:p>
      <w:pPr>
        <w:spacing w:after="0" w:line="157" w:lineRule="exact"/>
        <w:rPr>
          <w:rFonts w:ascii="Times New Roman" w:cs="Times New Roman" w:eastAsia="Times New Roman" w:hAnsi="Times New Roman"/>
          <w:sz w:val="18"/>
          <w:szCs w:val="18"/>
          <w:color w:val="auto"/>
        </w:rPr>
      </w:pPr>
    </w:p>
    <w:p>
      <w:pPr>
        <w:ind w:left="680" w:right="220" w:hanging="321"/>
        <w:spacing w:after="0" w:line="297"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malfunction or disruption of information technology systems and networks that our operations rely on or any impact of a possible cybersecurity event; and</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“Item 3. Key Information—D. Risk Factors” of this annual report.</w:t>
      </w:r>
    </w:p>
    <w:p>
      <w:pPr>
        <w:spacing w:after="0" w:line="2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140" w:hanging="332"/>
        <w:spacing w:after="0" w:line="500" w:lineRule="auto"/>
        <w:tabs>
          <w:tab w:leader="none" w:pos="2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80" w:hanging="332"/>
        <w:spacing w:after="0" w:line="500" w:lineRule="auto"/>
        <w:tabs>
          <w:tab w:leader="none" w:pos="2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Preference Shares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29" w:lineRule="exact"/>
        <w:rPr>
          <w:sz w:val="20"/>
          <w:szCs w:val="20"/>
          <w:color w:val="auto"/>
        </w:rPr>
      </w:pPr>
    </w:p>
    <w:p>
      <w:pPr>
        <w:ind w:left="680" w:right="160" w:hanging="321"/>
        <w:spacing w:after="0" w:line="269"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Preference Shares.</w:t>
      </w:r>
    </w:p>
    <w:p>
      <w:pPr>
        <w:spacing w:after="0" w:line="120" w:lineRule="exact"/>
        <w:rPr>
          <w:rFonts w:ascii="Times New Roman" w:cs="Times New Roman" w:eastAsia="Times New Roman" w:hAnsi="Times New Roman"/>
          <w:sz w:val="18"/>
          <w:szCs w:val="18"/>
          <w:color w:val="auto"/>
        </w:rPr>
      </w:pPr>
    </w:p>
    <w:p>
      <w:pPr>
        <w:ind w:left="680" w:right="140" w:hanging="321"/>
        <w:spacing w:after="0" w:line="27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dividends on our Preference Shares.</w:t>
      </w:r>
    </w:p>
    <w:p>
      <w:pPr>
        <w:spacing w:after="0" w:line="104" w:lineRule="exact"/>
        <w:rPr>
          <w:rFonts w:ascii="Times New Roman" w:cs="Times New Roman" w:eastAsia="Times New Roman" w:hAnsi="Times New Roman"/>
          <w:sz w:val="18"/>
          <w:szCs w:val="18"/>
          <w:color w:val="auto"/>
        </w:rPr>
      </w:pPr>
    </w:p>
    <w:p>
      <w:pPr>
        <w:jc w:val="both"/>
        <w:ind w:left="680" w:right="180" w:hanging="321"/>
        <w:spacing w:after="0" w:line="28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96"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dividends on our Preference Shares.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values may fluctuate substantially, which has resulted in non-cash impairment charges on our Steam vessels in previous years. A further decline in ship values in the future could impact our compliance with the covenants in our loan agreements and, if the values are lower at a time when we are attempting to dispose of ships, cause us to incur an additional loss.</w:t>
      </w:r>
    </w:p>
    <w:p>
      <w:pPr>
        <w:spacing w:after="0" w:line="96"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COVID-19, the spread of new variants and related governmental responses thereto may have further negative effects on the global economy, energy demand and on our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9" w:lineRule="exact"/>
        <w:rPr>
          <w:sz w:val="20"/>
          <w:szCs w:val="20"/>
          <w:color w:val="auto"/>
        </w:rPr>
      </w:pPr>
    </w:p>
    <w:p>
      <w:pPr>
        <w:ind w:left="680" w:right="10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maintain relationships with existing customers, establish new customer relationships and obtain new time charter contracts for existing vessels, for which we face considerable competition from other established companies with significant resources, as well as recent and potential future new entrants.</w:t>
      </w:r>
    </w:p>
    <w:p>
      <w:pPr>
        <w:spacing w:after="0" w:line="96" w:lineRule="exact"/>
        <w:rPr>
          <w:rFonts w:ascii="Times New Roman" w:cs="Times New Roman" w:eastAsia="Times New Roman" w:hAnsi="Times New Roman"/>
          <w:sz w:val="18"/>
          <w:szCs w:val="18"/>
          <w:color w:val="auto"/>
        </w:rPr>
      </w:pPr>
    </w:p>
    <w:p>
      <w:pPr>
        <w:ind w:left="680" w:right="14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96" w:lineRule="exact"/>
        <w:rPr>
          <w:rFonts w:ascii="Times New Roman" w:cs="Times New Roman" w:eastAsia="Times New Roman" w:hAnsi="Times New Roman"/>
          <w:sz w:val="18"/>
          <w:szCs w:val="18"/>
          <w:color w:val="auto"/>
        </w:rPr>
      </w:pPr>
    </w:p>
    <w:p>
      <w:pPr>
        <w:ind w:left="680" w:right="260" w:hanging="321"/>
        <w:spacing w:after="0" w:line="27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01" w:lineRule="exact"/>
        <w:rPr>
          <w:rFonts w:ascii="Times New Roman" w:cs="Times New Roman" w:eastAsia="Times New Roman" w:hAnsi="Times New Roman"/>
          <w:sz w:val="18"/>
          <w:szCs w:val="18"/>
          <w:color w:val="auto"/>
        </w:rPr>
      </w:pPr>
    </w:p>
    <w:p>
      <w:pPr>
        <w:ind w:left="680" w:right="460" w:hanging="321"/>
        <w:spacing w:after="0" w:line="29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the four newbuildings we have on order are subject to risks that could cause delays in the delivery of the ships, which could adversely affect our results of operations and cash flows.</w:t>
      </w:r>
    </w:p>
    <w:p>
      <w:pPr>
        <w:spacing w:after="0" w:line="95" w:lineRule="exact"/>
        <w:rPr>
          <w:rFonts w:ascii="Times New Roman" w:cs="Times New Roman" w:eastAsia="Times New Roman" w:hAnsi="Times New Roman"/>
          <w:sz w:val="18"/>
          <w:szCs w:val="18"/>
          <w:color w:val="auto"/>
        </w:rPr>
      </w:pPr>
    </w:p>
    <w:p>
      <w:pPr>
        <w:ind w:left="680" w:right="2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take delivery of our newbuildings or any secondhand ships we may acquire, we will need to expand our staff and crew. If we cannot recruit and retain employees and provide adequate compensation, our business, financial condition, results of operations and cash flows may be adversely affected.</w:t>
      </w:r>
    </w:p>
    <w:p>
      <w:pPr>
        <w:spacing w:after="0" w:line="96"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information systems to conduct our business and failure to protect these systems against security breaches could materially disrupt our business and results of operations.</w:t>
      </w:r>
    </w:p>
    <w:p>
      <w:pPr>
        <w:spacing w:after="0" w:line="107" w:lineRule="exact"/>
        <w:rPr>
          <w:rFonts w:ascii="Times New Roman" w:cs="Times New Roman" w:eastAsia="Times New Roman" w:hAnsi="Times New Roman"/>
          <w:sz w:val="18"/>
          <w:szCs w:val="18"/>
          <w:color w:val="auto"/>
        </w:rPr>
      </w:pPr>
    </w:p>
    <w:p>
      <w:pPr>
        <w:ind w:left="680" w:right="6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and foreclosure on our ships.</w:t>
      </w:r>
    </w:p>
    <w:p>
      <w:pPr>
        <w:spacing w:after="0" w:line="163" w:lineRule="exact"/>
        <w:rPr>
          <w:rFonts w:ascii="Times New Roman" w:cs="Times New Roman" w:eastAsia="Times New Roman" w:hAnsi="Times New Roman"/>
          <w:sz w:val="18"/>
          <w:szCs w:val="18"/>
          <w:color w:val="auto"/>
        </w:rPr>
      </w:pPr>
    </w:p>
    <w:p>
      <w:pPr>
        <w:ind w:left="680" w:right="80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We must make substantial capital expenditures to fund any additional ships we may acquire in the future. In addition we cannot guarantee that renewal, replacement or new lines of credit will be available or will be available on similar or more favorable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Shares</w:t>
      </w:r>
    </w:p>
    <w:p>
      <w:pPr>
        <w:spacing w:after="0" w:line="229" w:lineRule="exact"/>
        <w:rPr>
          <w:sz w:val="20"/>
          <w:szCs w:val="20"/>
          <w:color w:val="auto"/>
        </w:rPr>
      </w:pPr>
    </w:p>
    <w:p>
      <w:pPr>
        <w:ind w:left="680" w:right="100" w:hanging="321"/>
        <w:spacing w:after="0" w:line="29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Preference Shares are subordinated to our indebtedness and other liabilities and investors’ interests could be diluted by the issuance of additional preference shares and by other transactions.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Preference Shares have extremely limited voting rights.</w:t>
      </w:r>
    </w:p>
    <w:p>
      <w:pPr>
        <w:spacing w:after="0" w:line="238" w:lineRule="exact"/>
        <w:rPr>
          <w:rFonts w:ascii="Times New Roman" w:cs="Times New Roman" w:eastAsia="Times New Roman" w:hAnsi="Times New Roman"/>
          <w:sz w:val="18"/>
          <w:szCs w:val="18"/>
          <w:color w:val="auto"/>
        </w:rPr>
      </w:pPr>
    </w:p>
    <w:p>
      <w:pPr>
        <w:ind w:left="680" w:right="300" w:hanging="321"/>
        <w:spacing w:after="0" w:line="29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Shares represent perpetual equity interests and holders have no right to receive any greater payment than the liquidation preference regardless of the circumstances.</w:t>
      </w:r>
    </w:p>
    <w:p>
      <w:pPr>
        <w:spacing w:after="0" w:line="162" w:lineRule="exact"/>
        <w:rPr>
          <w:rFonts w:ascii="Times New Roman" w:cs="Times New Roman" w:eastAsia="Times New Roman" w:hAnsi="Times New Roman"/>
          <w:sz w:val="18"/>
          <w:szCs w:val="18"/>
          <w:color w:val="auto"/>
        </w:rPr>
      </w:pPr>
    </w:p>
    <w:p>
      <w:pPr>
        <w:ind w:left="680" w:right="220" w:hanging="321"/>
        <w:spacing w:after="0" w:line="274"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close of the GEPIF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Preference Shares.</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February 29, 2024, our owned and bareboat fleet consists of 37 LNG carriers (32 on the water, four newbuilds and one vessel ready to be sold as an FSRU). 20 of our owned and bareboat vessels and our four newbuild vessels currently operate or will operate under long-term time charters (defined as those with initial duration of more than three years). 12 of our vessels are currently trading in the short-term spot market (defined as contracts with initial duration of less than three years), while one vessel is ready to be sold as an FSRU. Six of the 12 vessels operating in the short-term spot market, consisting of one Steam vessel and five TFDEs, are due to come off charter in 2024. The charterers for four of the TFDEs under long-term time charters have extension options. On redelivery, if the charterers do not exercise any extension option, the vessels will trade in the short-term spot market unless we are able to secure new long-term charters.</w:t>
      </w:r>
    </w:p>
    <w:p>
      <w:pPr>
        <w:spacing w:after="0" w:line="192"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Four of the vessels operating in the short-term spot market are Steam vessels. Our Steam vessels are less efficient and have higher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with such charters is now generally anywhere between six months and three years.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20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dividends on our Preference Shares, as well as our ability to meet certain of our debt obligations and covenants.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a total of 924 open vessel days during 2024. A failure to obtain charters at acceptable rates on our vessels could adversely affect our business, financial condition, results of operations and cash flows, including cash available for dividends on our Preference Shares.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dividends on our Preference Shares.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but still remain extremely volatile. As vessels currently operating under multi-year charters redeliver together with uncommitted newbuilds from the extensive orderbook,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dividends on our Preference Shares.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current levels of demand, we currently believe that the global LNG carrier fleet may experience high levels of utilization over the next one to two years, though the supply of LNG carriers has been increasing as a result of the ordering and delivery of new ships. Ordering increased significantly in 2022 and 2023, despite shipyard prices for newbuild vessels rising substantially, as a result of a renewed focus on energy security, diversification and investment in LNG infrastructure after the geopolitical events surrounding the Russia-Ukraine conflict and the decline of Russian pipeline flows to Europe by about 90%.</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According to Poten &amp; Partners Group, Inc. (“Poten”), as of January 31, 2023, the global trading fleet of conventional LNG carriers (&gt;100,000 cbm) consisted of 606 vessels, with another 288 LNG carriers on order (with delivery up to 2028, 174 were ordered in 2022), of which 22 do not have multi-year charters. The majority of these vessels are tied to new projects, including about 20% of confirmed vessel orders tied to Qatar’s North Field Expansion project, and therefore likely to not negatively impact the supply-demand for vessels, unless the Qatar project is delayed.</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Any future expansion of the global LNG carrier fleet in excess of the demand for LNG shipping will likely have a negative impact on charter hire rates, vessel utilization and vessel values, however it has become difficult to secure additional berths and with prices for new vessels exceeding $265.0 million, order levels declined in 2023 compared to 2022 and are expected to continue to decline due to high prices, scarcity of available slots and available deliveries of new vessels from 2027 onwards. If charter hire rates are lower when we are seeking new employment, or if we are unable to secure employment for our vessels trading in the spot and short-term markets, as a result of increased competition from modern vessels, our revenues and cash flows, including cash available for dividends on our Preference Shares, may decline.</w:t>
      </w:r>
    </w:p>
    <w:p>
      <w:pPr>
        <w:spacing w:after="0" w:line="1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dividends on our Preference Shares.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relating to,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(“IMO”) has become effective, governing ballast water management systems on oceangoing ships. The IMO has also established progressive standards limiting emissions from ships (adopted by the Marine Environment Protection Committee “MEPC” 75) which began in 2023 and will continue towards 2030 and 2050 emissions reduction goals effective from January 1, 2024. The EU has incorporated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out periods) and set out new disclosure rules for companies regarding annual reporting about compliance with green criteria. The rules came into effect on January 1, 2023.</w:t>
      </w:r>
    </w:p>
    <w:p>
      <w:pPr>
        <w:spacing w:after="0" w:line="1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2023, the International Sustainability Standards Board (“ISSB”) issued IFRS S1 </w:t>
      </w:r>
      <w:r>
        <w:rPr>
          <w:rFonts w:ascii="Times New Roman" w:cs="Times New Roman" w:eastAsia="Times New Roman" w:hAnsi="Times New Roman"/>
          <w:sz w:val="18"/>
          <w:szCs w:val="18"/>
          <w:i w:val="1"/>
          <w:iCs w:val="1"/>
          <w:color w:val="auto"/>
        </w:rPr>
        <w:t>General Requirements for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Sustainability - related Financial Information </w:t>
      </w:r>
      <w:r>
        <w:rPr>
          <w:rFonts w:ascii="Times New Roman" w:cs="Times New Roman" w:eastAsia="Times New Roman" w:hAnsi="Times New Roman"/>
          <w:sz w:val="18"/>
          <w:szCs w:val="18"/>
          <w:color w:val="auto"/>
        </w:rPr>
        <w:t>and IFRS S2</w:t>
      </w:r>
      <w:r>
        <w:rPr>
          <w:rFonts w:ascii="Times New Roman" w:cs="Times New Roman" w:eastAsia="Times New Roman" w:hAnsi="Times New Roman"/>
          <w:sz w:val="18"/>
          <w:szCs w:val="18"/>
          <w:i w:val="1"/>
          <w:iCs w:val="1"/>
          <w:color w:val="auto"/>
        </w:rPr>
        <w:t xml:space="preserve"> Climate - related Disclosures</w:t>
      </w:r>
      <w:r>
        <w:rPr>
          <w:rFonts w:ascii="Times New Roman" w:cs="Times New Roman" w:eastAsia="Times New Roman" w:hAnsi="Times New Roman"/>
          <w:sz w:val="18"/>
          <w:szCs w:val="18"/>
          <w:color w:val="auto"/>
        </w:rPr>
        <w:t>. The objective of IFRS S1 and IFRS S2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an entity to disclose information about its sustainability - related risks and opportunities and climate - related risks and opportunities, respectively, that is useful to users of general purpose financial reports in making decisions relating to providing resources to the entity. IFRS S1 is effective for annual reporting periods beginning on or after January 1, 2024 with earlier application permitted as long as IFRS S2 is also applied. IFRS S2 is effective for annual reporting periods beginning on or after January 1, 2024 with earlier application permitted as long as IFRS S1 is also applied. We expect that these standards may have an impact on our financial reporting requirements.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8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7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resulted in non-cash impairment charges on our Steam vessels in previous years. A further decline in ship values in the future could impact our compliance with the covenants in our loan agreement and, if the values are lower at a time when we are attempting to dispose of ships, cause us to incur a loss.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the market value of our ships decline, we may be required to record impairment charges in our financial statements which could adversely affect our results of operations. A further decline in ship values at a time when we are attempting to dispose of ships, could cause us to incur a loss, similar to the aggregate impairment loss of $11.7 million recognized during the year ended December 31, 2023 in relation to the sale of one Steam vessel and the sale and leaseback of two TFDE vessels. See “Item 5. Operating and Financial Review and Prospects—E. Critical Accounting Estimates—Impairment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dividends on our Preference Shares.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emissions restrictions may adversely impact our results of operations, financial condition and ability to pay dividends on our Preference Shares.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greenhouse gas emissions from ships. These regulatory measures may include adoption of cap and trade regimes, carbon taxes, increased efficiency standards and incentives or mandates for renewable energy. Although emissions of greenhouse gases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(“MARPOL Convention”). In May 2023, regulations for the EU-wide trading scheme for industrial GHG emissions, the EU Emissions Trading System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apply to methane and nitrous oxide emissions beginning in 2026. Shipping companies will need to buy and surrender allowances that correspond to the emissions covered by the system. Compliance with these and any future changes in laws and regulations relating to climate change could increase the costs of operating and maintaining our ships and could require us to install new emission controls, as well as acquire emissions allowances, pay taxes related to our greenhouse gas emissions or administer and manage a greenhouse gas emissions program. Such compliance could also affect our revenues and significantly change the market in which we compete, which may adversely affect any strategic growth opportunities.</w:t>
      </w:r>
    </w:p>
    <w:p>
      <w:pPr>
        <w:spacing w:after="0" w:line="19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is increasing focus on the environmental footprint of the energy and transportation sectors from governments, regulators, shareholders, customers, environmental pressure groups and other stakeholders. This has been manifested recently by the fact that some of our charterers have set specific carbon emissions targets, covering all of their activities and products and those of their suppliers. GasLog’s vessels on charter to those charterers and other energy companies form part of their supply chain may be captured within their targets. In addition, many large financial institutions are under pressure to both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entered into force on November 1, 2022 and require ships to reduce GHG emissions using technological and operational approaches to improve energy efficiency and that provide important building blocks for future GHG reduction measures. Additionally, in July 2023, the IMO adopted the 2023 IMO Strategy on Reduction of GHG Emissions from Ships, a framework for Member States that provides new mid-term emissions reduction goals and guidance. Implementation of the framework may require additional capital expenditures to achieve compliance with new emissions reduction targets across the shipping sector and increased use of zero or near-zero GHG emission technologies, among other obligations.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the cash available for dividends on our Preference Shares.</w:t>
      </w:r>
    </w:p>
    <w:p>
      <w:pPr>
        <w:spacing w:after="0" w:line="19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continuation of COVID-19, the spread of new variants or the occurrence of another epidemic and related governmental responses thereto may have negative effects on the global economy, energy demand and on our results of operations and financial condition.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introduced uncertainty in a number of areas of our business, including operational, commercial, administrative and financial activities. In 2020, oil and natural gas prices were adversely impacted by lower industrial demand resulting from the COVID-19 pandemic. Although the LNG market has improved since 2021, this improvement may not be sustainable in the long-term if new variants or other epidemics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ongoing spread of COVID-19, emergence of new variants or the occurrence of another epidemic, may negatively affect our business and operations, the health of our crews and the availability of our fleet, as well as our financial position and prospects. The onset of the COVID-19 pandemic resulted in numerous actions taken by governments and governmental agencies in an attempt to mitigate the spread or any resurgence of the virus, including travel bans, quarantines and other emergency public health measures such as lockdowns. While many of these measures have since been relaxed, we cannot predict whether and to what degree such measures will be reinstated in the event of any resurgence in COVID-19 or any variants thereof or the occurrence of another epidemic. Any future reduction in LNG demand and further closure of, or restricted access to, ports and terminals in regions affected by a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12 of our vessels currently trading in the short-term spot market, any additional exposure to the spot market or extended periods of idle time between charters could adversely affect our future liquidity, results of operations and cash flows.</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occurrence or reoccurrence of any of the foregoing events or other epidemics, an increase in the severity or duration of COVID-19 or other epidemic or a recession or market correction resulting from the spread of COVID-19 or another virus could have a material adverse effect on the global economy, energy demand and our business.</w:t>
      </w:r>
    </w:p>
    <w:p>
      <w:pPr>
        <w:spacing w:after="0" w:line="17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7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events or other failures of operational and information technology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caused by mechanical failure, human error, war, terrorism, disease (such as the outbreak of COVID-19 and variants that may emerge) and related governmental responses thereto, or political action in various countries;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on our Preference Shares, could be materially and adversely affected. The impact of any limitation in the operation of our ships or any early charter termination would be amplified, as a substantial portion of our cash flows and income is dependent on the revenues earned by the chartering of our 32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our ability to pay cash dividends on our Preference Shares.</w:t>
      </w:r>
    </w:p>
    <w:p>
      <w:pPr>
        <w:spacing w:after="0" w:line="1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 Any delay or cost overrun of the dry-docking could have a material adverse effect on our business, results of operations and financial condition and could significantly reduce or eliminate our ability to pay dividends on our Preference Shares.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dividends on our Preference Shares, could be adversely affected. The upcoming dry-dockings of vessels in operation are expected to be carried out in 2024 (four vessels), 2025 (eleven vessels), 2026 (eight vessels) and 2028 (five vessels).</w:t>
      </w:r>
    </w:p>
    <w:p>
      <w:pPr>
        <w:spacing w:after="0" w:line="18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holders of our Preference Shares, as well as our ability to obtain debt financing for ships with older technology whose market values have experienced a significant decline.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dividends on our Preference Shares.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8" w:lineRule="exact"/>
        <w:rPr>
          <w:sz w:val="20"/>
          <w:szCs w:val="20"/>
          <w:color w:val="auto"/>
        </w:rPr>
      </w:pPr>
    </w:p>
    <w:p>
      <w:pPr>
        <w:ind w:left="680" w:right="2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natural gas. A return to low natural gas prices globally, which has occurred in 2023, may limit the willingness and ability of developers of new LNG infrastructure projects to approve the development of such new projects;</w:t>
      </w:r>
    </w:p>
    <w:p>
      <w:pPr>
        <w:spacing w:after="0" w:line="175" w:lineRule="exact"/>
        <w:rPr>
          <w:rFonts w:ascii="Times New Roman" w:cs="Times New Roman" w:eastAsia="Times New Roman" w:hAnsi="Times New Roman"/>
          <w:sz w:val="18"/>
          <w:szCs w:val="18"/>
          <w:color w:val="auto"/>
        </w:rPr>
      </w:pPr>
    </w:p>
    <w:p>
      <w:pPr>
        <w:jc w:val="both"/>
        <w:ind w:left="680" w:right="580" w:hanging="321"/>
        <w:spacing w:after="0" w:line="312"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39" w:lineRule="exact"/>
        <w:rPr>
          <w:rFonts w:ascii="Times New Roman" w:cs="Times New Roman" w:eastAsia="Times New Roman" w:hAnsi="Times New Roman"/>
          <w:sz w:val="17"/>
          <w:szCs w:val="17"/>
          <w:color w:val="auto"/>
        </w:rPr>
      </w:pPr>
    </w:p>
    <w:p>
      <w:pPr>
        <w:ind w:left="680" w:right="34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161"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for example, COVID-19, safety and terrorism;</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leading to warmer winters in the northern hemisphere and lower gas demand in the traditional peak heating season;</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25"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regasification or consumption;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2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and oil prices are subject to volatility due to global events outside of our control, including the events in Russia and Ukraine. A continuation of the recent volatility in natural gas and oil prices may adversely affect our growth prospects and results of operations.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Natural gas prices are likely to continue to face volatility given the constrained supply outlook following the cessation of pipeline flows from Russia to Europe and suspected sabotage of the Nord Stream 1 and 2 pipelines.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p>
      <w:pPr>
        <w:spacing w:after="0" w:line="183"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petroleum products and coal;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exploration, development, production, transportation and distribution of natural gas;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 and coal;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military conflicts; and</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coal and alternate sources of natural gas in gas importing and consuming countries.</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With 12 vessels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76" w:lineRule="exact"/>
        <w:rPr>
          <w:sz w:val="20"/>
          <w:szCs w:val="20"/>
          <w:color w:val="auto"/>
        </w:rPr>
      </w:pPr>
    </w:p>
    <w:p>
      <w:pPr>
        <w:ind w:left="680" w:right="2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linked to the price of crude oil;</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161" w:lineRule="exact"/>
        <w:rPr>
          <w:rFonts w:ascii="Times New Roman" w:cs="Times New Roman" w:eastAsia="Times New Roman" w:hAnsi="Times New Roman"/>
          <w:sz w:val="18"/>
          <w:szCs w:val="18"/>
          <w:color w:val="auto"/>
        </w:rPr>
      </w:pPr>
    </w:p>
    <w:p>
      <w:pPr>
        <w:ind w:left="680" w:right="220" w:hanging="321"/>
        <w:spacing w:after="0" w:line="312"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compliance with covenants in loan documentation.</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new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regulating shipping, introduced and adopted two new measures, the EEXI and CII, the requirements of which entered into force on January 1, 2023 and are expected to have an impact on our fleet in the short and long-term. Pursuant to the EEXI regulation, Steam vessels require an Engine Power Limitation which will have an impact on the vessels’ maximum attainable speed. The CII regulation may also have an impact on our Steam and TFDE vessels, although the operative form of the regulatory framework and the consequences of non-compliance have yet to be defined by IMO, making it difficult to assess the size and timing of any associated risks. However, any impact of the CII is likely to impact smaller and less efficient Steam vessels first.</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continuation of COVID-19 and high inflation experienced in 2022 and 2023.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on our Preference Shares.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15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on our Preference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payment of dividends to holders of our Preference Shares. In particular, our ships frequent LNG terminals in countries including Egypt, Nigeria, Equatorial Guinea and Trinidad, as well as transit through the Gulf of Aden and the Strait of Hormuz. The recent Houthi seizures and attacks on commercial vessels in the Red Sea and the Gulf of Aden has caused additional volatility in the energy markets and caused concerns of supply disruption as some companies have decided to reroute vessels to avoid the Suez Canal and Red Sea. Future hostilities or other political instability in the geographic regions where we operate or may operate could have a material adverse effect on our business, financial condition, results of operations and cash flows, including cash available for payment of dividends to holders of our Preference Shares.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hostilities between Russia and Ukraine, and attendant sanctions promulgated by the United States, the European Union (“EU”) and other countries may also adversely impact our business, especially given Russia’s role as a major global exporter of crude oil and natural gas and the imposition of a price cap on Russian-origin oil announced by the U.S., EU and several other countries in December 2022.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5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Terrorist attacks, piracy and the current conflicts in Russia, Ukraine, the Middle East, Israel, Palestine, the Gulf of Aden, the Red Sea and elsewhere, as well as other current and future conflicts and political change, may adversely affect our business, financial condition, results of operations and cash flows, including cash available for dividends on our Preference Shares.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ongoing conflicts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Recent events in the Israel-Palestine conflict have created additional concerns for the stability of the supply of energy as the conflict could broaden or escalate.</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the past, political conflicts have also resulted in attacks on ships, mining of waterways and other efforts to disrupt international shipping, particularly in the Arabian Gulf region and West Africa. The recent Houthi seizures and attacks on commercial vessels in the Red Sea and the Gulf of Aden have impacted the global economy as some companies have decided to reroute vessels to avoid the Suez Canal and Red Sea. This has caused additional volatility in the energy markets and concerns of supply disruption. Acts of terrorism and piracy have also affected ships trading in regions such as the South China Sea and West Africa. Any terrorist attacks targeted at ships may in the future have a material negative effect on our business, financial condition, results of operations and cash flows and could directly impact our ships or our customers.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lease or manage could be required to call at ports located in countries that are subject to restrictions imposed by the United States and other governments.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 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on our Preference Shares.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European Union Code of Conduct Group periodically assesses the tax policies of a range of countries including Bermuda, where our vessel owning entities are incorporated, and the Marshall Islands and British Virgin Islands, where we also have affiliated entities incorporated. Currently, Bermuda, the British Virgin Islands and the Marshall Islands have all committed to comply with the European Union Code of Conduct Group’s requirements on economic substance and each country has previously passed legislation in the form of the Bermuda Economic Substance Act of 2018, the British Virgin Islands Economic Substance Act of 2018 and the Marshall Islands Economic Substance Regulations, 2018, as amended. In 2023, the European Union Code of Conduct Group decided to include Marshall Islands on the list of non - cooperative jurisdictions for tax purposes from February 2023 to October 2023. If the European Union Code of Conduct Group decides to include Bermuda or Marshall Islands on the non - cooperative jurisdiction list in the future, we may be subject to additional reporting requirements or other requirements that may have an adverse effect on our business.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 attacks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on our Preference Shares.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on our Preference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on our Preference Shares.</w:t>
      </w:r>
    </w:p>
    <w:p>
      <w:pPr>
        <w:spacing w:after="0" w:line="18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5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our results of operations, financial condition and ability to pay distributions.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Most recently, certain public shareholders exercised their dissension rights in connection with the GEPIF Transaction and sought appraisal for the fair value of their common shares; in January 2022, we entered into a Deed of Settlement, pursuant to which we agreed to pay the dissenting shareholders an aggregate of approximately $3.5 million in order to settle the claim. While we are not aware of any additional actions relating to the GEPIF Transaction at this time, it is possible that we may be involved in such actions in the future.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maintain relationships with existing customers, establish new customer relationships and obtain new time charter contracts for existing vessels, for which we face considerable competition from other established companies with significant resources, as well as recent and potential future new entrants.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One of our principal objectives is to enter into multi-year, fixed-rate charters for our open on-the-water vessels and for potential additional newbuild vessels. We are seeking to enter into long-term time charter contracts for some or all of the 12 vessels currently trading in the short-term spot market (as defined those contracts with initial duration of less than three years). We will also seek to enter into new time charter contracts upon the expiration or early termination of our existing charter arrangements. The process of obtaining multi-year, fixed rate charters for LNG carriers is highly competitive and generally involves an intensive screening process by potential new customers and the submission of competitive bids. The process is lengthy and the LNG carrier time charters are awarded based upon a variety of factors relating to the ship and the ship operator, including:</w:t>
      </w:r>
    </w:p>
    <w:p>
      <w:pPr>
        <w:spacing w:after="0" w:line="18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2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Some of these competitors have significantly greater financial resources and larger fleets than we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dividends on our Preference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30.2%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dividends on our Preference Shares.</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of their suppliers across the entire value chain, including the shipping and transportation segment. There is also increasing focus on the environmental footprint of marine transportation. Our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pay cash dividends on our Preference Shares.</w:t>
      </w:r>
    </w:p>
    <w:p>
      <w:pPr>
        <w:spacing w:after="0" w:line="184"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3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and management of third party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for the four newbuildings we have on order are subject to risks that could cause delays in the delivery of the ships, which could adversely affect our results of operations and cash flows.</w:t>
      </w:r>
    </w:p>
    <w:p>
      <w:pPr>
        <w:spacing w:after="0" w:line="15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four contracted newbuildings are scheduled to be delivered to us during 2024 and 2025. Significant delays in the delivery of these ships,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on our Preference Shares. In addition, the delivery of any of these ships with substantial defects or unexpected operational problems could have similar consequences.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completion and delivery of newbuildings or conversions could be delayed because of:</w:t>
      </w:r>
    </w:p>
    <w:p>
      <w:pPr>
        <w:spacing w:after="0" w:line="225"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engineering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disturbances at the shipyard;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other financial crisis of the shipbuilder;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backlog of orders at the shipyard;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disturbances;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or a catastrophic event, such as a major earthquake or fire;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diseases or pandemics, including COVID-19;</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changes to the original vessel specifications;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the receipt of necessary construction materials, such as steel;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finance the construction or conversion of the vessels;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requisite permits or approvals.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delivery of a vessel is materially delayed, it could adversely affect our business, financial condition, results of operations and cash flows, including cash available for dividends on our Preference Shares.</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75"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Material increases in crew costs could adversely affect our business, financial condition, results of operations and cash flows, including cash available for dividends on our Preference Shares.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on our Preference Shares.</w:t>
      </w:r>
    </w:p>
    <w:p>
      <w:pPr>
        <w:spacing w:after="0" w:line="16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systems to conduct our business and failure to protect these systems against security breaches could materially disrupt our business and adversely affect our results of operations.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GasLog’s business operations could be targeted by individuals or groups seeking to sabotage or disrupt GasLog’s information and operational technology systems and networks, or to steal data. A successful cyber-attack could materially disrupt GasLog’s operations, including the safety and integrity of our operations or lead to unauthorized release of information or alteration of information on its systems. Any such attack or other breach of GasLog’s information technology systems could have a material adverse effect on GasLog’s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in place safety and security measures on our vessels and onshore operations to secure our vessels against cybersecurity incidents. We also have processes to oversee and identify cybersecurity risks from cybersecurity threats associated with the use of suppliers, vendors, third-party service providers and IT support companies. For a description of the measures taken and the processes in place to manage these risks, see “Item 16.K. Cybersecurity”.</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 on May 25, 2018 and applies globally to all of our activities conducted from an establishment in the EU, to related products and services that we offer to EU customers and to non 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 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92"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Changes in the nature of cyber threats and/or changes to industry standards and regulations may require additional expenses to ensure compliance or might require us to adopt additional procedures for monitoring cybersecurity, which could require significant additional expenses and/or capital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further expanding our fleet in the future.</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Times New Roman" w:cs="Times New Roman" w:eastAsia="Times New Roman" w:hAnsi="Times New Roman"/>
          <w:sz w:val="18"/>
          <w:szCs w:val="18"/>
          <w:i w:val="1"/>
          <w:iCs w:val="1"/>
          <w:color w:val="auto"/>
        </w:rPr>
        <w:t xml:space="preserve">Alexandroupolis </w:t>
      </w:r>
      <w:r>
        <w:rPr>
          <w:rFonts w:ascii="Times New Roman" w:cs="Times New Roman" w:eastAsia="Times New Roman" w:hAnsi="Times New Roman"/>
          <w:sz w:val="18"/>
          <w:szCs w:val="18"/>
          <w:color w:val="auto"/>
        </w:rPr>
        <w:t>and the eight vessels acquired from MSL in 2014 and 2015. Our future growth will depend on numerous factors,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including our ability to:</w:t>
      </w:r>
    </w:p>
    <w:p>
      <w:pPr>
        <w:spacing w:after="0" w:line="180"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attractive ship acquisition opportunities and consummate such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newbuilding contracts at acceptable prices;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equity and debt financing on acceptable terms;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charter arrangements on terms acceptable to us and to our lenders;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additional suitably qualified and experienced seafarers and shore-based employees;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meet technical and safety performance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joint ventures;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expansion of our operations to integrate the new ships into our fleet.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not be successful in executing any future growth plans, and we cannot give any assurances that we will not incur significant expenses and losses in connection with such growth efforts.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62"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form of credit or financial assistance to, or enter into any non-arms’ length transactions with, us or any of our affiliates;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charter;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shipbuilding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manager of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part or in full.</w:t>
      </w:r>
    </w:p>
    <w:p>
      <w:pPr>
        <w:spacing w:after="0" w:line="176"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Our credit facilities and bonds, including the 2029 Notes and the NOK 2024 Bonds defined below, also impose specified financial covenants that apply to us and our subsidiaries on a consolidated basis. These financial covenants generally include the following:</w:t>
      </w:r>
    </w:p>
    <w:p>
      <w:pPr>
        <w:spacing w:after="0" w:line="140"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our total assets must not exceed 75.0%;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at least $75.0 million;</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equivalents and short-term investments are at least $110.0 million;</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pay dividends subject to no event of default having occurred or occurring as a consequence of the payment of such dividends;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adjusted net worth must be not less than $350.0 million.</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 120.0% of the total facility amount of the $2.8 billion Five-year Sustainability-linked Senior Secured Reducing Revolving Credit Facility (the “Sustainability Facility”), (2) in the case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sale and leaseback transaction with Sea 190 Leasing (the “GasLog Hong Kong SLB”), 100% and (3) in the case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sale and leaseback transaction with Hai Kuo Shipping (the “GasLog Houston SLB”), 110% of the outstanding amount under the applicable facility. If we fail to comply with these covenants and are not able to obtain covenant waivers or modifications, our lenders could require us to make cancellations and/or prepayments or provide additional collateral sufficient to bring us into compliance with such covenants and, if we fail to do so, our lenders could accelerate our indebtedness.</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addition, the terms of the Norwegian Kroner (“NOK”) denominated bonds issued under the agreement signed on November 27, 2019, between GasLog and the bond trustee, as amended (the “NOK 2024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 See “Item 5. Operating and Financial Review and Prospects—B. Liquidity and Capital Resources—Bonds”.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September 24, 2021, GasLog entered into a Note Purchase Agreement (the “Note Purchase Agreement”) with certain affiliates of The Carlyle Group and EIG (such affiliates, the “Purchasers”) and Wilmington Trust (London) Limited, as administrative agent, for an amount of up to $325.0 million of 7.75% Notes due in 2029 (the “2029 Notes”). The Note Purchase Agreement requires that GasLog comply with financial covenants that are identical to GasLog’s financial covenants, and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particular, the terms of the 2029 Notes, impose certain restrictions on GasLog and our wholly owned subsidiaries; for the avoidance of doubt these do not include the Partnership and its subsidiaries. These restrictions generally limit our ability to, among other things:</w:t>
      </w:r>
    </w:p>
    <w:p>
      <w:pPr>
        <w:spacing w:after="0" w:line="176" w:lineRule="exact"/>
        <w:rPr>
          <w:sz w:val="20"/>
          <w:szCs w:val="20"/>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 in relation to indebtedness above an aggregate amount of $30.0 million; certain exceptions apply mainly for indebtedness incurred in the normal course of business;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new vessels unless the Charter Coverage Ratio on a pro-forma basis is either above what it would have been without the acquisition and incurrence of the associated debt or above pre-determined thresholds for the remaining tenor of the 2029 Notes;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second-hand vessels unless the Charter Coverage Ratio on a pro-forma basis is above pre-determined thresholds for the remaining tenor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or other corporate reconstruction transactions;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ships or shares in subsidiaries if the net proceeds are above $10.0 million unless such proceeds are applied towards prepayment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loans to third parties except in the ordinary course of business;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any dividend payment of distribution, that in aggregate exceed during any calendar year $1.10/share.</w:t>
      </w:r>
    </w:p>
    <w:p>
      <w:pPr>
        <w:spacing w:after="0" w:line="22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GasLog may make any amount of Distributions, so long as the Group’s cash and cash equivalents and short-term investments exceed $150.0 million, provided that GasLog can demonstrate by delivering a compliance certificate to the administrative agent that no event of default is continuing or would result from such Distributions.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on our Preference Shares. In addition, a default under one of our credit facilities could result in the cross-acceleration of our other indebtedness. For more information regarding our credit facilities, please read “Item 5. Operating and Financial Review and Prospects—B. Liquidity and Capital Resources —Credit Facilities”.</w:t>
      </w:r>
    </w:p>
    <w:p>
      <w:pPr>
        <w:spacing w:after="0" w:line="19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pursuing other business opportunities and paying dividends on our Preference Shares.</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an aggregate of $3.1 billion of indebtedness outstanding under our credit agreements, the NOK 2024 Bonds and the 2029 Notes, of which $107.9 million was repayable within one year, and finance lease liabilities of $383.4 million, of which $71.0 million was repayable within one year. We may incur additional indebtedness in the future as we grow our fleet. This level of debt could have important consequences to us, including the following:</w:t>
      </w:r>
    </w:p>
    <w:p>
      <w:pPr>
        <w:spacing w:after="0" w:line="180" w:lineRule="exact"/>
        <w:rPr>
          <w:sz w:val="20"/>
          <w:szCs w:val="20"/>
          <w:color w:val="auto"/>
        </w:rPr>
      </w:pPr>
    </w:p>
    <w:p>
      <w:pPr>
        <w:ind w:left="680" w:right="4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substantial portion of our cash flow to make principal and interest payments on our debt, reducing the funds that would otherwise be available for operations, future business opportunities and dividends on our Preference Shares;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on us to maintain minimum levels of liquidity as a percentage of our total debt, reducing the funds that would otherwise be available for operations, future business opportunities and dividends on our Preference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borrowing could increase as we become more leveraged;</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make us more vulnerable than our competitors with less debt to competitive pressures or a downturn in our industry or the economy generally;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our flexibility in responding to changing business and economic conditions; and</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satisfy the restrictions included in any of our financing agreements or are otherwise in default under any of those agreements, as a result of our debt levels or otherwise, we will not be able to pay cash dividends on our Preference Shares.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8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We must make substantial capital expenditures to fund any additional ships we may acquire in the future. In addition we cannot guarantee that renewal, replacement or new lines of credit will be available or will be available on similar or more favorable terms.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operating cash flow will be sufficient to meet our anticipated cash requirements for at least the next 12 months. However, we are obligated to make substantial capital expenditures to fund our commitments for the four newbuildings we have on order. As of December 31, 2023, the total remaining balance of the contract prices of the four LNG carriers on order was $576.7 million, of which $330.5 million is due within 12 months and will be funded by the four sale and leaseback agreements entered into on July 6, 2022 with CMBFL. See “Item 5. Operating and Financial Review and Prospects—B. Liquidity and Capital Resources”. The delivery installments, which are anticipated on various dates in 2024 and 2025, are subject to a fair market value test, whereby we will receive an aggregate amount of financing of 92.5% of the lower of the newbuilding contract price and the fair market value at the time of delivery. As of December 31, 2023, GasLog had available $542.5 million under the Sustainability Facility. Subsequently, in January 2024, GasLog prepaid $49.0 million of the outstanding Sustainability Facility increasing its availability to $591.5 million.</w:t>
      </w:r>
    </w:p>
    <w:p>
      <w:pPr>
        <w:spacing w:after="0" w:line="1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we are unable to draw down the amounts committed under the CMBFL sale and leaseback agreements, whether due to failure to comply with the terms of such agreements or the lenders’ failure to fund the committed amounts, or 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four contracted newbuildings. If we fail to meet our payment obligations under a shipbuilding contract, we would be in default under the applicable contract and the shipbuilder would have the option of cancelling the contract and retaining any previously funded installment payments.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on our Preference Shares.</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choose to make substantial further capital expenditures to expand the size of our fleet and/or to convert existing LNG carriers to FSRUs/FSUs in the future. We expect to finance the cost of any new vessels, including conversion costs through available cash, cash from operations and debt or equity financings. Our ability to obtain bank financing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Even if we are successful in obtaining the necessary funds, the terms of any debt financings could limit our ability further to expand our fleet and to pay dividends on our Preference Shares.</w:t>
      </w:r>
    </w:p>
    <w:p>
      <w:pPr>
        <w:spacing w:after="0" w:line="189"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Securing access to additional funds in advance of the maturity of our debt facilities cannot be assured on the same or similar terms. Debt financing, if available, may involve covenants restricting our operations or our ability to incur additional debt or to pay dividends on our Preference Shares.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our business, financial condition, results of operations and cash flows, including cash available for dividends on our Preference Shares.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future ability to raise capital to repay or refinance our debt obligations or to fund our maintenance or growth capital expenditures will depend on certain financial, business and other factors, many of which are beyond our control. To the extent that we are unable to finance these obligations and expenditures with cash from operations or incremental bank loans or by issuing debt or equity securities, our ability to make cash dividends may be diminished, or our financial leverage may increase, or holders of our Preference Shares may be diluted. Our business may be adversely affected if we need to access sources of funding which are more expensive and/or more restrictive.</w:t>
      </w:r>
    </w:p>
    <w:p>
      <w:pPr>
        <w:spacing w:after="0" w:line="18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fund our existing and future debt obligations and capital expenditures and any future growth, we will be required to use cash from operations, undrawn cash under our Sustainability Facility, incur additional borrowings, and/or seek to access other financing sources. Our access to potential funding sources and our future financial and operating performance will be affected by prevailing economic conditions and financial, business, regulatory and other factors, many of which are beyond our control. Continuing concerns over COVID-19, inflation, rising interest rates, energy costs, geopolitical issues, including acts of war and the availability and cost of credit have contributed to increased volatility and diminished expectations for the economy and the markets going forward. If we are unable to raise additional bank financing or generate sufficient cash flow to meet our debt, capital expenditure and other business requirements, we may be forced to take actions such as:</w:t>
      </w:r>
    </w:p>
    <w:p>
      <w:pPr>
        <w:spacing w:after="0" w:line="192"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waivers or consents from our creditors;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debt or equity capital;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dividends;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delaying or cancelling our business activities, acquisitions, investments or capital expenditures;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bankruptcy protection.</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dividends on our Preference Shares. Our ability to obtain bank financing or to access the capital markets may be limited by our financial condition at the time of any such financing or offering as well as by adverse market conditions. Even if we are successful in obtaining the necessary funds, the terms of such financings could limit our ability to pay cash dividends on our Preference Shares or operate our business as currently conducted. In addition, incurring additional debt may significantly increase our interest expense and financial leverage, and issuing additional securities may result in significant dilution of holders of our Preference Shares and would increase the aggregate amount of cash required to maintain our quarterly dividends to shareholders. Our liquidity position could be challenged in the future, and we may need to raise equity in order to remain in compliance with the financial covenants in our loan facilities.</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pay our preference dividends or to redeem our Preference Shares may be limited by the amount of cash we generate from operations, by restrictions in our credit facilities and by additional factors unrelated to our profitability.</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183" w:lineRule="exact"/>
        <w:rPr>
          <w:sz w:val="20"/>
          <w:szCs w:val="20"/>
          <w:color w:val="auto"/>
        </w:rPr>
      </w:pPr>
    </w:p>
    <w:p>
      <w:pPr>
        <w:ind w:left="680" w:right="16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LNG shipping market conditions and trends, including charter rates, ship values, factors affecting supply and demand, technological advancements and opportunities for the profitable operations of LNG carriers;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specified financial covenants in our loan facilities, NOK 2024 Bonds and as corporate guarantor for certain loan facilities on a consolidated basis;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charters for our vessels at acceptable rates;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hire payments we obtain from our charters as well as our ability to re-charter the vessels and the rates obtained upon the expiration of our existing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fleet expansion and associated uses of our cash as well as any financing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performance by our charterers of their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newbuild vessels and the beginning of payments under charters relating to those vessels;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 such as the costs of crews, lubricants and insurance, as well as the costs of repairs, maintenance or modifications of our ships;</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unscheduled off-hire days for our fleet and the timing of, and number of days required for, scheduled dry-docking of our ships;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global and regional economic or political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and maritime self-regulatory organization standards on the conduct of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basis of taxation of our activities in various jurisdictions;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established by our board of directors.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information regarding the dividend payment restrictions in our financing agreements, see “—Risks Inherent in an Investment in GasLog—Our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80"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amount of cash we generate from our operations may differ materially from our profit or loss for the period, which will be affected by non-cash items. We may incur other expenses or liabilities that could reduce or eliminate the cash available for dividends.</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Our subsidiaries conduct substantially all of our operations and own all of our operating assets, including our ships. As of February 29, 2024, we have no significant assets other than the equity interests in our subsidiaries. As a result, our ability to pay our obligations and to make dividend payments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dividends. If we are unable to obtain funds from our subsidiaries, our board of directors may exercise its discretion not to declare or pay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and interest rates could result in financial losses for us.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As a result, we are exposed to foreign exchange risk. However, we also maintain cash balances in euros, which amounted to approximately $14.7 million as of December 31, 2023.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on our Preference Shares.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enter into derivative contracts from time to time for purposes of managing our exposure to fluctuations in interest rates applicable to floating rate indebtedness. As of December 31, 2023, we had three Cross Currency Swaps, or “CCSs”, to exchange interest payments and principal on maturity on the same terms as the NOK 2024 Bonds, in order to hedge the variability of the functional currency equivalent cash flows on the NOK 2024 Bonds. As of December 31, 2023, the three CCSs had a notional amount of $98.6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forward foreign exchange contracts from time to time for purposes of managing our exposure to fluctuations in foreign exchange rates applicable to payments in foreign currencies (mainly Euros, British Pounds Sterling, Singapore dollars and Japanese Yen). As of December 31, 2023, we had 80 forward foreign exchange contracts in place with an aggregate notional amount of €111.5 million and 13 forward foreign exchange contracts in place with an aggregate notional amount of S$10.5 million. The changes in the fair value of these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and compliance with the market value adjusted net worth covenants in our credit facilities.</w:t>
      </w:r>
    </w:p>
    <w:p>
      <w:pPr>
        <w:spacing w:after="0" w:line="18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 For example, for the year ended December 31, 2023, 30.2% of our revenues derived from subsidiaries of Shell.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on our Preference Shares.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Increasing demands are placed on our management as a result of our growth. As we expand operations, we must monitor our operations, control costs and maintain quality control.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 Mr. Livanos or one or more of our senior executives ceased to be affiliated with us, we may be unable to recruit other employees with equivalent talent and experience, and our business and financial condition could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Shares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securities laws of the United States and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9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permitted by these exemptions, as well as by our bye-laws and the laws of Bermuda, we may have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Accordingly, in the future you may not have the same protections afforded to shareholders of companies that are subject to all of the NYSE corporate governance requirements.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Preference Shares are subordinated to our indebtedness and other liabilities and investors’ interests could be diluted by the issuance of additional preference shares and by other transactions.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Preference Shares are subordinated to all of our existing and any future debt obligations. As of December 31, 2023, we had $3.1 billion of outstanding borrowings. Our existing indebtedness restricts, and our future indebtedness may include restrictions on, our ability to pay dividends on our Preference Shares.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Shares have extremely limited voting rights.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close of the GEPIF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GEPIF Transaction on June 9, 2021, certain existing shareholders, including Blenheim Holdings, which is wholly owned by the Livanos family, and Olympic LNG, hold approximately 55.2% of the outstanding common shares of GasLog and GEPIF holds approximately 44.8%. As noted above, the holders of our Preferences Shares generally have no voting rights on most matters. See Item 3.D. – Risk Factors – Risks Relating to Our Securities. As a result of the foregoing, the Rolling Shareholders have effective control over our corporate strategy and the outcome of significant corporate matters, and investors may be prevented from influencing such matters including:</w:t>
      </w:r>
    </w:p>
    <w:p>
      <w:pPr>
        <w:spacing w:after="0" w:line="187" w:lineRule="exact"/>
        <w:rPr>
          <w:sz w:val="20"/>
          <w:szCs w:val="20"/>
          <w:color w:val="auto"/>
        </w:rPr>
      </w:pPr>
    </w:p>
    <w:p>
      <w:pPr>
        <w:ind w:left="680" w:right="10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it, any determinations with respect to our operations, business direction and policies, including the appointment and removal of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or other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disposition of substantially all our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interests of the Rolling Shareholders may be different from yours. These actions may take place even if the holders of our Preference Shares are opposed and therefore may adversely affect the market value of our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Preference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would reduce our earnings.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GasLog expects to qualify for the statutory tax exemption for the year of 2023 or for future years. Even if we do not qualify for such an exemption, we do not currently expect any resulting U.S. federal income tax liability to be material or materially reduce the earnings available for dividends on our Preference Shares. For a more detailed discussion, see the section entitled “Item 10. Additional Information—E. Tax Considerations—Material U.S. Federal Income Tax Considerations—U.S. Taxation of Our Operating Income”.</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treated as a “passive foreign investment company”, certain adverse U.S. Federal income tax consequences could result to U.S. shareholders.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Based on our proposed method of operation, we do not believe that GasLog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GasLog could constitute a PFIC for a future tax year if there were to be changes in the nature and extent of our operations.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If the IRS were to find that GasLog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 and Significant Tax Consequences” for a more detailed discussion of the U.S. Federal income tax consequences to U.S. shareholders if GasLog Ltd. is treated as a PFIC.</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company and its founders have a long history in shipping and in LNG carriers. One of our largest shareholders is Ceres Shipping, whose founding family’s shipping activities commenced more than 100 years ago and which is currently controlled by our Chairman, Peter G. Livanos. Ceres Shipping owns its shareholding in GasLog through its wholly owned subsidiary, Blenheim Holdings. Ceres Shipping entered the LNG sector in 2001 by undertaking the management of BG Group’s owned fleet of LNG carriers through our subsidiary GasLog LNG Services, and in 2003 GasLog was incorporated. Until 2010, when we took delivery of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our business principally consisted of providing technical ship 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8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from GasLog, in exchange for (i) 162,358 common units and 9,822,358 subordinated units issued to GasLog representing a 49.8% ownership interest and all of the incentive distribution rights that entitled GasLog to increasing percentages of the cash that the Partnership distributed in excess of $0.43125 per unit per quarter,</w:t>
      </w:r>
    </w:p>
    <w:p>
      <w:pPr>
        <w:spacing w:after="0" w:line="1" w:lineRule="exact"/>
        <w:rPr>
          <w:sz w:val="20"/>
          <w:szCs w:val="20"/>
          <w:color w:val="auto"/>
        </w:rPr>
      </w:pPr>
    </w:p>
    <w:p>
      <w:pPr>
        <w:ind w:right="20" w:firstLine="8"/>
        <w:spacing w:after="0" w:line="252"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400,913 general partner units issued to GasLog Partners GP LLC, a wholly owned subsidiary of GasLog, representing a 2.0% general partner interest and (iii) $65.7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GasLog Partners’ IPO, the Partnership has completed follow-on equity offerings as set out below, the proceeds of which have been used for general corporate purposes including partially funding the acquisition of the GasLog subsidiaries that owned the vessels listed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Equity Offering</w:t>
            </w:r>
          </w:p>
        </w:tc>
        <w:tc>
          <w:tcPr>
            <w:tcW w:w="220" w:type="dxa"/>
            <w:vAlign w:val="bottom"/>
          </w:tcPr>
          <w:p>
            <w:pPr>
              <w:spacing w:after="0"/>
              <w:rPr>
                <w:sz w:val="13"/>
                <w:szCs w:val="13"/>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Equity Offering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Vessels Purchased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Acquisition</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0" w:type="dxa"/>
            <w:vAlign w:val="bottom"/>
          </w:tcPr>
          <w:p>
            <w:pPr>
              <w:spacing w:after="0"/>
              <w:rPr>
                <w:sz w:val="1"/>
                <w:szCs w:val="1"/>
                <w:color w:val="auto"/>
              </w:rPr>
            </w:pPr>
          </w:p>
        </w:tc>
      </w:tr>
      <w:tr>
        <w:trPr>
          <w:trHeight w:val="128"/>
        </w:trPr>
        <w:tc>
          <w:tcPr>
            <w:tcW w:w="39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September 29, 2014</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133.0 million</w:t>
            </w: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Methane Rita Andrea</w:t>
            </w:r>
          </w:p>
        </w:tc>
        <w:tc>
          <w:tcPr>
            <w:tcW w:w="2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September 29, 2014</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offering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i w:val="1"/>
                <w:iCs w:val="1"/>
                <w:color w:val="auto"/>
              </w:rPr>
              <w:t>Methane Jane</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Elizabeth</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June 26, 2015</w:t>
            </w:r>
          </w:p>
        </w:tc>
        <w:tc>
          <w:tcPr>
            <w:tcW w:w="146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171.8 million</w:t>
            </w:r>
          </w:p>
        </w:tc>
        <w:tc>
          <w:tcPr>
            <w:tcW w:w="1260" w:type="dxa"/>
            <w:vAlign w:val="bottom"/>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Methane Alison</w:t>
            </w:r>
          </w:p>
        </w:tc>
        <w:tc>
          <w:tcPr>
            <w:tcW w:w="14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July 1, 2015</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equity offering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Victoria, Methane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 xml:space="preserve">Shirley Elisabeth </w:t>
            </w:r>
            <w:r>
              <w:rPr>
                <w:rFonts w:ascii="Times New Roman" w:cs="Times New Roman" w:eastAsia="Times New Roman" w:hAnsi="Times New Roman"/>
                <w:sz w:val="14"/>
                <w:szCs w:val="14"/>
                <w:color w:val="auto"/>
              </w:rPr>
              <w:t>and</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Methane Heather</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Sally</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August 5, 2016</w:t>
            </w:r>
          </w:p>
        </w:tc>
        <w:tc>
          <w:tcPr>
            <w:tcW w:w="1460" w:type="dxa"/>
            <w:vAlign w:val="bottom"/>
            <w:gridSpan w:val="2"/>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32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52.3 million</w:t>
            </w:r>
          </w:p>
        </w:tc>
        <w:tc>
          <w:tcPr>
            <w:tcW w:w="12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GasLog Seattle</w:t>
            </w:r>
          </w:p>
        </w:tc>
        <w:tc>
          <w:tcPr>
            <w:tcW w:w="1480" w:type="dxa"/>
            <w:vAlign w:val="bottom"/>
            <w:gridSpan w:val="2"/>
            <w:shd w:val="clear" w:color="auto" w:fill="CCEEFF"/>
          </w:tcPr>
          <w:p>
            <w:pPr>
              <w:ind w:left="200"/>
              <w:spacing w:after="0" w:line="153" w:lineRule="exact"/>
              <w:rPr>
                <w:sz w:val="20"/>
                <w:szCs w:val="20"/>
                <w:color w:val="auto"/>
              </w:rPr>
            </w:pPr>
            <w:r>
              <w:rPr>
                <w:rFonts w:ascii="Times New Roman" w:cs="Times New Roman" w:eastAsia="Times New Roman" w:hAnsi="Times New Roman"/>
                <w:sz w:val="14"/>
                <w:szCs w:val="14"/>
                <w:color w:val="auto"/>
              </w:rPr>
              <w:t>November 1, 2016</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offering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January 27, 2017</w:t>
            </w:r>
          </w:p>
        </w:tc>
        <w:tc>
          <w:tcPr>
            <w:tcW w:w="1460" w:type="dxa"/>
            <w:vAlign w:val="bottom"/>
            <w:gridSpan w:val="2"/>
          </w:tcPr>
          <w:p>
            <w:pPr>
              <w:ind w:left="220"/>
              <w:spacing w:after="0" w:line="153"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3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78.2 million</w:t>
            </w:r>
          </w:p>
        </w:tc>
        <w:tc>
          <w:tcPr>
            <w:tcW w:w="1260" w:type="dxa"/>
            <w:vAlign w:val="bottom"/>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GasLog Greece</w:t>
            </w:r>
          </w:p>
        </w:tc>
        <w:tc>
          <w:tcPr>
            <w:tcW w:w="148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equity offering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May 15, 2017</w:t>
            </w:r>
          </w:p>
        </w:tc>
        <w:tc>
          <w:tcPr>
            <w:tcW w:w="14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3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138.8 million</w:t>
            </w:r>
          </w:p>
        </w:tc>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i w:val="1"/>
                <w:iCs w:val="1"/>
                <w:color w:val="auto"/>
              </w:rPr>
              <w:t>GasLog Geneva</w:t>
            </w:r>
          </w:p>
        </w:tc>
        <w:tc>
          <w:tcPr>
            <w:tcW w:w="14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July 3, 2017</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offering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May 16, 2017 onwards</w:t>
            </w:r>
          </w:p>
        </w:tc>
        <w:tc>
          <w:tcPr>
            <w:tcW w:w="1460" w:type="dxa"/>
            <w:vAlign w:val="bottom"/>
            <w:gridSpan w:val="2"/>
          </w:tcPr>
          <w:p>
            <w:pPr>
              <w:ind w:left="220"/>
              <w:spacing w:after="0" w:line="124" w:lineRule="exact"/>
              <w:rPr>
                <w:sz w:val="20"/>
                <w:szCs w:val="20"/>
                <w:color w:val="auto"/>
              </w:rPr>
            </w:pPr>
            <w:r>
              <w:rPr>
                <w:rFonts w:ascii="Times New Roman" w:cs="Times New Roman" w:eastAsia="Times New Roman" w:hAnsi="Times New Roman"/>
                <w:sz w:val="14"/>
                <w:szCs w:val="14"/>
                <w:color w:val="auto"/>
              </w:rPr>
              <w:t>Common equity</w:t>
            </w:r>
          </w:p>
        </w:tc>
        <w:tc>
          <w:tcPr>
            <w:tcW w:w="3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color w:val="auto"/>
              </w:rPr>
              <w:t>123.4 million</w:t>
            </w:r>
          </w:p>
        </w:tc>
        <w:tc>
          <w:tcPr>
            <w:tcW w:w="12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Solaris</w:t>
            </w:r>
          </w:p>
        </w:tc>
        <w:tc>
          <w:tcPr>
            <w:tcW w:w="148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color w:val="auto"/>
              </w:rPr>
              <w:t>October 20, 2017</w:t>
            </w: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146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color w:val="auto"/>
              </w:rPr>
              <w:t>offering through 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(through December</w:t>
            </w:r>
          </w:p>
        </w:tc>
        <w:tc>
          <w:tcPr>
            <w:tcW w:w="126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Methane Becki Anne</w:t>
            </w:r>
          </w:p>
        </w:tc>
        <w:tc>
          <w:tcPr>
            <w:tcW w:w="148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color w:val="auto"/>
              </w:rPr>
              <w:t>November 14, 2018</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at-the-market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31, 2020)</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offering which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commenced in May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2017 (the “ATM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Programme”)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January 17, 2018</w:t>
            </w:r>
          </w:p>
        </w:tc>
        <w:tc>
          <w:tcPr>
            <w:tcW w:w="14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3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111.0 million</w:t>
            </w:r>
          </w:p>
        </w:tc>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i w:val="1"/>
                <w:iCs w:val="1"/>
                <w:color w:val="auto"/>
              </w:rPr>
              <w:t>GasLog Gibraltar</w:t>
            </w:r>
          </w:p>
        </w:tc>
        <w:tc>
          <w:tcPr>
            <w:tcW w:w="14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offering</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November 15, 2018</w:t>
            </w:r>
          </w:p>
        </w:tc>
        <w:tc>
          <w:tcPr>
            <w:tcW w:w="14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96.3 million</w:t>
            </w:r>
          </w:p>
        </w:tc>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i w:val="1"/>
                <w:iCs w:val="1"/>
                <w:color w:val="auto"/>
              </w:rPr>
              <w:t>GasLog Glasgow</w:t>
            </w:r>
          </w:p>
        </w:tc>
        <w:tc>
          <w:tcPr>
            <w:tcW w:w="148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4"/>
                <w:szCs w:val="14"/>
                <w:color w:val="auto"/>
              </w:rPr>
              <w:t>April 1, 2019</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offering</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June 24, 2019, the Partnership Agreement was amended, effective June 30, 2019, to eliminate the general partner’s incentive distribution rights (the “IDRs”) in exchange for the issuance by the Partnership to GasLog of 2,532,911 common units and 2,490,000 Class B units (of which 415,000 were Class B-1 units, 415,000 were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On July 1, 2020, 2021, 2022, and 2023 the 415,000 Class B-1 units, the 415,000 Class B-2 units, the 415,000 Class B-3 units and the 415,000 Class B-4 units were converted into 415,000, 415,000, 415,000, and 415,000 common units, respectively. The remaining Class B units were cancelled following the completion of the GasLog Partners Transaction described below.</w:t>
      </w:r>
    </w:p>
    <w:p>
      <w:pPr>
        <w:spacing w:after="0" w:line="18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and 4,000,000 common shares purchased by Olympic LNG.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22, 2021, we announced that GasLog had entered into a Merger Agreement with GEPIF. Under the Merger Agreement, GEPIF would acquire all of the outstanding common shares of GasLog that are not held by the Rolling Shareholders of GasLog in exchange for $5.80 in cash per common share. On June 9, 2021, we announced the completion of the GEPIF Transaction with GEPIF following the special general meeting of GasLog’s shareholders held virtually on June 4, 2021, where the GEPIF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 Trading in GasLog’s common shares on the NYSE, was suspended with immediate effect and the delisting of the common shares from the NYSE became effective on June 21, 2021. GasLog’s 8.75% Series A Cumulative Redeemable Perpetual Preference Shares remain outstanding and continue to trade on the NYSE. Following the consummation of the GEPIF Transaction on June 9, 2021, certain existing shareholders, including Blenheim Holdings, which is wholly owned by the Livanos family, and Olympic LNG, hold approximately 55.2% of the outstanding common shares of GasLog and GEPIF holds approximately 44.8%. In addition, Peter G. Livanos holds a proxy to vote the shares of the Rolling Shareholders, and as a result of holding such proxy, controls more than a majority of the voting stock of the Company and controls the right to appoint a majority of the board of the Company.</w:t>
      </w:r>
    </w:p>
    <w:p>
      <w:pPr>
        <w:spacing w:after="0" w:line="19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On April 6, 2023, GasLog entered into the Merger Agreement with GasLog Partners, the general partner and the Merger Sub. Pursuant to the Merger Agreement with GasLog Partners, (i) Merger Sub merged with and into the Partnership, with the Partnership surviving as a direct subsidiary of GasLog, and (ii) GasLog acquired the outstanding common units of the Partnership not beneficially owned by GasLog for overall consideration of $8.65 per common unit in cash, consisting in part of a special distribution by the Partnership of $3.28 per common unit in cash that was distributed to the Partnership’s unitholders in connection with the closing of the GasLog Partners Transaction and the remainder was paid by GasLog as merger consideration at the closing of the GasLog Partners Transaction.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conflicts committee of the Partnership’s board of directors (the “Conflicts Committee”), comprised solely of independent directors and advised by its own independent legal and financial advisors, unanimously recommended that the Partnership’s board of directors approve the Merger Agreement with GasLog Partners and determined that the GasLog Partners Transaction was in the best interests of the Partnership and the holders of its common units unaffiliated with GasLog. Acting upon the recommendation and approval of the Conflicts Committee, the Partnership’s board of directors unanimously approved the Merger Agreement with GasLog Partners and the GasLog Partners Transaction and recommended that the common unitholders of the Partnership vote in favor of the GasLog Partners Transaction.</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GasLog Partners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 The payment date for the Special Distribution was July 12, 2023. The GasLog Partners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29, 2024, GasLog holds 100% of the common units of the Partnership.</w:t>
      </w:r>
    </w:p>
    <w:p>
      <w:pPr>
        <w:spacing w:after="0" w:line="225"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 The information contained on or connected to our website is not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 international owner, operator and manager of LNG carriers providing support to international energy companies as part of their LNG logistics chain. Our owned and bareboat fleet as of February 29, 2024, consists of 37 LNG carriers, including 32 ships on the water, four LNG carriers on order at one of the world’s leading LNG shipbuilders, Hanwha and one LNG carrier that is ready to be sold as an FSRU. This includes 14 LNG carriers in GasLog Partners’ owned and bareboat fleet. We currently manage and operate 33 LNG carriers including our 23 owned ships in operation, as well as one LNG carrier that is ready to be sold as an FSRU, one additional LNG carrier in which we have a 25.0% interest and nine vessels secured under long-term bareboat charters from Lepta Shipping, Sea 190 Leasing, Hai Kuo Shipping, CDBL and another unrelated party. We are also supervising the construction of our newbuildings. We operate our vessels under time charters. As of December 31, 2023, these contracts are expected to provide total contracted revenues of $3.7 billion during their initial terms, which expire between 2024 and 2035. During 2023, 2022 and 2021, we generated revenues of $918.0 million, $915.6 million and $809.6 million, respectively. For disaggregation of revenues, see “Item 5. Operating and Financial Review and Prospects—A. Operating Results—Customers”.</w:t>
      </w:r>
    </w:p>
    <w:p>
      <w:pPr>
        <w:spacing w:after="0" w:line="190"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LNG carrier in which we have a 25.0% interest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 2007-built LNG carrier technically managed by us that is currently operating under a 20-year time charter to MSL.</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current time charters have initial terms of up to 12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orderbook of new LNG carriers has staggered delivery dates, facilitating a smooth integration of the ships into our fleet as well as significant annual growth through 2025. This has the additional advantage of spreading our exposure to the re-delivery of these ships over several years upon expiration of their current charters.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Each of our 32 owned and bareboat LNG carriers, the four LNG carriers under construction and the one LNG carrier ready to be sold as an FSRU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which allows us to benefit from economies of scale and operating efficiencies in ship construction, crew training, crew rotation and shared spare parts. Our owned and bareboat fleet has an average age of 8.9 years, making it one of the youngest in the industry. By comparison, as of December 31, 2023, the average age for the global trading LNG carrier fleet including LNG carriers of all sizes, was 10.97 years.</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20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34 ships currently operating under our management.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 wholly owned subsidiary of GasLog acquired a 20% shareholding in Gastrade in 2016. Gastrade is licensed to develop an LNG receiving terminal utilizing an FSRU offshore Alexandroupolis in Northern Greece. The FSRU will be connected to the Greek national grid via a 24km subsea pipeline. A wholly owned subsidiary of GasLog has executed a long-term Operation and Maintenance Agreement with Gastrade under which GasLog will be the operator of the FSRU. This agreement is tied to the Terminal Use Agreement of the Alexandroupolis Project. DEPA, the Greek State Gas Company, acquired a 20% shareholding in Gastrade in 2019. BulgarTransGaz, the Bulgarian State Gas Transportation Company acquired a 20% shareholding in Gastrade in 2020 and DESFA, the Greek National Gas Transmission Operator acquired a 20% shareholding in Gastrade in December 2021. Gastrade signed contracts with the Pipeline EPCI Contractor, the Mooring Contractor and GasLog, as the FSRU provider. Gastrade took Final Investment Decision (“FID”) on the project in January 2022 and the start-up of the LNG regasification terminal in Alexandroupolis is anticipated to occur in the first quarter of 2024. On February 2, 2022, GasLog entered into an agreement for the sale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to Gastrade for $265.1 million, payable in installments, following the completion of its conversion to an FSRU. On February 3, 2022, GasLog, through its subsidiary GAS-fifteen Ltd., issued a Final Notice to Proceed to Keppel Shipyard Ltd. for the conversion of the vessel into an FSRU in connection with the FID taken by Gastrade. In February 2023,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registered under the Greek flag and entered into the shipyard for FSRU conversion. In December 2023,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arrived and moored at its permanent berth which largely marks the completion of construction of the Alexandroupolis Project. The sale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to Gastrade is expected to be completed in the first quarter of 2024 after the completion of the final acceptance tests.</w:t>
      </w:r>
    </w:p>
    <w:p>
      <w:pPr>
        <w:spacing w:after="0" w:line="19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and GasLog’s subsidiary,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CDBL. The vessels were sold and leased back under bareboat charters with CDBL for a period of five years with no repurchase option or obligation.</w:t>
      </w:r>
    </w:p>
    <w:p>
      <w:pPr>
        <w:spacing w:after="0" w:line="174" w:lineRule="exact"/>
        <w:rPr>
          <w:sz w:val="20"/>
          <w:szCs w:val="20"/>
          <w:color w:val="auto"/>
        </w:rPr>
      </w:pPr>
    </w:p>
    <w:p>
      <w:pPr>
        <w:jc w:val="both"/>
        <w:ind w:right="180" w:firstLine="324"/>
        <w:spacing w:after="0" w:line="315" w:lineRule="auto"/>
        <w:rPr>
          <w:sz w:val="20"/>
          <w:szCs w:val="20"/>
          <w:color w:val="auto"/>
        </w:rPr>
      </w:pPr>
      <w:r>
        <w:rPr>
          <w:rFonts w:ascii="Times New Roman" w:cs="Times New Roman" w:eastAsia="Times New Roman" w:hAnsi="Times New Roman"/>
          <w:sz w:val="17"/>
          <w:szCs w:val="17"/>
          <w:color w:val="auto"/>
        </w:rPr>
        <w:t xml:space="preserve">On March 28, 2022, GasLog’s subsidiary, GAS-six Ltd., completed the sale and leaseback of the </w:t>
      </w:r>
      <w:r>
        <w:rPr>
          <w:rFonts w:ascii="Times New Roman" w:cs="Times New Roman" w:eastAsia="Times New Roman" w:hAnsi="Times New Roman"/>
          <w:sz w:val="17"/>
          <w:szCs w:val="17"/>
          <w:i w:val="1"/>
          <w:iCs w:val="1"/>
          <w:color w:val="auto"/>
        </w:rPr>
        <w:t>GasLog Skagen</w:t>
      </w:r>
      <w:r>
        <w:rPr>
          <w:rFonts w:ascii="Times New Roman" w:cs="Times New Roman" w:eastAsia="Times New Roman" w:hAnsi="Times New Roman"/>
          <w:sz w:val="17"/>
          <w:szCs w:val="17"/>
          <w:color w:val="auto"/>
        </w:rPr>
        <w:t xml:space="preserve"> with CDBL. The vessel was sold and leased back under a bareboat charter with CDBL for a period of five years with no repurchase option or obligation.</w:t>
      </w:r>
    </w:p>
    <w:p>
      <w:pPr>
        <w:spacing w:after="0" w:line="13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subsidiary, GAS-twenty Ltd.,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to an unrelated third party.</w:t>
      </w:r>
    </w:p>
    <w:p>
      <w:pPr>
        <w:spacing w:after="0" w:line="158"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party. The vessel was sold and leased back under a bareboat charter until the middle of 2025, with no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obligation.</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subsidiary, GAS-five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w:t>
      </w:r>
    </w:p>
    <w:p>
      <w:pPr>
        <w:spacing w:after="0" w:line="173"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GasLog’s subsidiary, GAS-nine Ltd., completed the sale and leaseback of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w:t>
      </w:r>
    </w:p>
    <w:p>
      <w:pPr>
        <w:spacing w:after="0" w:line="1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Partners, GasLog acquired the outstanding common units of the Partnership not already beneficially owned by GasLog. See “Item 4. Information of the Partnership––A. History and Development of the Partnership”.</w:t>
      </w:r>
    </w:p>
    <w:p>
      <w:pPr>
        <w:spacing w:after="0" w:line="174"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17, 2023, GasLog’s subsidiary, GasLog Hellas-2 Special Maritime Enterprise, completed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to an unrelated third party.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owned vessels and their associated time charters as of February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2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66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8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(cbm)</w:t>
            </w:r>
          </w:p>
        </w:tc>
        <w:tc>
          <w:tcPr>
            <w:tcW w:w="2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(1)</w:t>
            </w: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Period</w:t>
            </w:r>
            <w:r>
              <w:rPr>
                <w:rFonts w:ascii="Times New Roman" w:cs="Times New Roman" w:eastAsia="Times New Roman" w:hAnsi="Times New Roman"/>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960" w:type="dxa"/>
            <w:vAlign w:val="bottom"/>
            <w:tcBorders>
              <w:top w:val="single" w:sz="8" w:color="auto"/>
            </w:tcBorders>
            <w:shd w:val="clear" w:color="auto" w:fill="CCEEFF"/>
          </w:tcPr>
          <w:p>
            <w:pPr>
              <w:ind w:left="6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Alexandroupolis </w:t>
            </w:r>
            <w:r>
              <w:rPr>
                <w:rFonts w:ascii="Times New Roman" w:cs="Times New Roman" w:eastAsia="Times New Roman" w:hAnsi="Times New Roman"/>
                <w:sz w:val="24"/>
                <w:szCs w:val="24"/>
                <w:color w:val="auto"/>
                <w:vertAlign w:val="superscript"/>
              </w:rPr>
              <w:t>(3)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153,600</w:t>
            </w:r>
          </w:p>
        </w:tc>
        <w:tc>
          <w:tcPr>
            <w:tcW w:w="1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Steam</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line="216" w:lineRule="exact"/>
              <w:rPr>
                <w:sz w:val="20"/>
                <w:szCs w:val="20"/>
                <w:color w:val="auto"/>
              </w:rPr>
            </w:pPr>
            <w:r>
              <w:rPr>
                <w:rFonts w:ascii="Times New Roman" w:cs="Times New Roman" w:eastAsia="Times New Roman" w:hAnsi="Times New Roman"/>
                <w:sz w:val="17"/>
                <w:szCs w:val="17"/>
                <w:color w:val="auto"/>
              </w:rPr>
              <w:t xml:space="preserve">Energy Trading Company </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March 2024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Savannah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Multinational Oil and Gas Company</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2024</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2025 </w:t>
            </w:r>
            <w:r>
              <w:rPr>
                <w:rFonts w:ascii="Times New Roman" w:cs="Times New Roman" w:eastAsia="Times New Roman" w:hAnsi="Times New Roman"/>
                <w:sz w:val="25"/>
                <w:szCs w:val="25"/>
                <w:color w:val="auto"/>
                <w:w w:val="96"/>
                <w:vertAlign w:val="superscript"/>
              </w:rPr>
              <w:t>(5)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CNTIC VPower</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Steam</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2024</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2025 </w:t>
            </w:r>
            <w:r>
              <w:rPr>
                <w:rFonts w:ascii="Times New Roman" w:cs="Times New Roman" w:eastAsia="Times New Roman" w:hAnsi="Times New Roman"/>
                <w:sz w:val="25"/>
                <w:szCs w:val="25"/>
                <w:color w:val="auto"/>
                <w:w w:val="96"/>
                <w:vertAlign w:val="superscript"/>
              </w:rPr>
              <w:t>(6)</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2026</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(7)</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Asian LNG buyer</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Steam</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March 2026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Major Energy Exploration Company</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2026</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2027 </w:t>
            </w:r>
            <w:r>
              <w:rPr>
                <w:rFonts w:ascii="Times New Roman" w:cs="Times New Roman" w:eastAsia="Times New Roman" w:hAnsi="Times New Roman"/>
                <w:sz w:val="25"/>
                <w:szCs w:val="25"/>
                <w:color w:val="auto"/>
                <w:w w:val="96"/>
                <w:vertAlign w:val="superscript"/>
              </w:rPr>
              <w:t>(8)</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2026</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Genoa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2027</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2030-2033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Centrica</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April 2027</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2029-2033 </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Centrica</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2027</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2029-2033 </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 2027</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2030-2034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January 2028</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Wellington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2028</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Winchester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2028</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September 2028</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2028</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(7)</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Gladstone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2029</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2032-2035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Endesa</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May 2029</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8"/>
              </w:rPr>
              <w:t xml:space="preserve">2035-2041 </w:t>
            </w:r>
            <w:r>
              <w:rPr>
                <w:rFonts w:ascii="Times New Roman" w:cs="Times New Roman" w:eastAsia="Times New Roman" w:hAnsi="Times New Roman"/>
                <w:sz w:val="25"/>
                <w:szCs w:val="25"/>
                <w:color w:val="auto"/>
                <w:w w:val="98"/>
                <w:vertAlign w:val="superscript"/>
              </w:rPr>
              <w:t>(11)</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Kansai</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April 2030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Singapore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NFE Transport Partners LLC</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2030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55"/>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24"/>
                <w:szCs w:val="24"/>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Jera</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2035-2038 </w:t>
            </w:r>
            <w:r>
              <w:rPr>
                <w:rFonts w:ascii="Times New Roman" w:cs="Times New Roman" w:eastAsia="Times New Roman" w:hAnsi="Times New Roman"/>
                <w:sz w:val="26"/>
                <w:szCs w:val="26"/>
                <w:color w:val="auto"/>
                <w:w w:val="95"/>
                <w:vertAlign w:val="superscript"/>
              </w:rPr>
              <w:t>(12)</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bareboat fleet and their associated time charters as of February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Cargo</w:t>
            </w: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Charter</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22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160" w:type="dxa"/>
            <w:vAlign w:val="bottom"/>
            <w:vMerge w:val="continue"/>
          </w:tcPr>
          <w:p>
            <w:pPr>
              <w:spacing w:after="0"/>
              <w:rPr>
                <w:sz w:val="12"/>
                <w:szCs w:val="12"/>
                <w:color w:val="auto"/>
              </w:rPr>
            </w:pPr>
          </w:p>
        </w:tc>
        <w:tc>
          <w:tcPr>
            <w:tcW w:w="1160" w:type="dxa"/>
            <w:vAlign w:val="bottom"/>
          </w:tcPr>
          <w:p>
            <w:pPr>
              <w:jc w:val="center"/>
              <w:ind w:left="75"/>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4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16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(cbm)</w:t>
            </w:r>
          </w:p>
        </w:tc>
        <w:tc>
          <w:tcPr>
            <w:tcW w:w="14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(1)</w:t>
            </w:r>
          </w:p>
        </w:tc>
        <w:tc>
          <w:tcPr>
            <w:tcW w:w="1140" w:type="dxa"/>
            <w:vAlign w:val="bottom"/>
            <w:tcBorders>
              <w:bottom w:val="single" w:sz="8" w:color="auto"/>
            </w:tcBorders>
          </w:tcPr>
          <w:p>
            <w:pPr>
              <w:ind w:left="340"/>
              <w:spacing w:after="0" w:line="176" w:lineRule="exact"/>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155,000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Centrica</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GasLog Skagen</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1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155,000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Tokyo LNG</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GasLog Saratoga</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155,000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Mitsui</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2024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11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155,000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Woodside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2025</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2026</w:t>
            </w:r>
            <w:r>
              <w:rPr>
                <w:rFonts w:ascii="Times New Roman" w:cs="Times New Roman" w:eastAsia="Times New Roman" w:hAnsi="Times New Roman"/>
                <w:sz w:val="11"/>
                <w:szCs w:val="11"/>
                <w:color w:val="auto"/>
              </w:rPr>
              <w:t xml:space="preserve"> (13)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2007</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145,000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SEA Charterer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GasLog Hong Kong</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2018</w:t>
            </w:r>
          </w:p>
        </w:tc>
        <w:tc>
          <w:tcPr>
            <w:tcW w:w="11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174,000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TotalEnergies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X-DF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3"/>
              </w:rPr>
              <w:t xml:space="preserve">2028 </w:t>
            </w:r>
            <w:r>
              <w:rPr>
                <w:rFonts w:ascii="Times New Roman" w:cs="Times New Roman" w:eastAsia="Times New Roman" w:hAnsi="Times New Roman"/>
                <w:sz w:val="25"/>
                <w:szCs w:val="25"/>
                <w:color w:val="auto"/>
                <w:w w:val="93"/>
                <w:vertAlign w:val="superscript"/>
              </w:rPr>
              <w:t>(14)</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GasLog Salem</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2015</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155,000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Gunvor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Methane Julia Louise</w:t>
            </w: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2010</w:t>
            </w:r>
          </w:p>
        </w:tc>
        <w:tc>
          <w:tcPr>
            <w:tcW w:w="11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170,000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2029-2031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GasLog Houston</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2018</w:t>
            </w:r>
          </w:p>
        </w:tc>
        <w:tc>
          <w:tcPr>
            <w:tcW w:w="11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174,000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X-DF</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11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2031-2034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1568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the Partnership’s owned and bareboat fleet as of February 29, 2024.</w:t>
      </w:r>
    </w:p>
    <w:p>
      <w:pPr>
        <w:spacing w:after="0" w:line="136"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the expiration of the initial term.</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period shown reflects the expiration of the minimum optional period and the maximum optional period.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Alexandroupolis</w:t>
      </w:r>
      <w:r>
        <w:rPr>
          <w:rFonts w:ascii="Times New Roman" w:cs="Times New Roman" w:eastAsia="Times New Roman" w:hAnsi="Times New Roman"/>
          <w:sz w:val="14"/>
          <w:szCs w:val="14"/>
          <w:color w:val="auto"/>
        </w:rPr>
        <w:t xml:space="preserve"> in 2023. The vessel is ready to be sold as an FSRU.</w:t>
      </w:r>
    </w:p>
    <w:p>
      <w:pPr>
        <w:spacing w:after="0" w:line="205"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a Swiss-headquartered energy trading company.</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the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CNTIC VPower may extend the term of the related charter by an additional period of one year, provided that the charterer gives us advance notice of the declaration.</w:t>
      </w:r>
    </w:p>
    <w:p>
      <w:pPr>
        <w:spacing w:after="0" w:line="201" w:lineRule="exact"/>
        <w:rPr>
          <w:rFonts w:ascii="Times New Roman" w:cs="Times New Roman" w:eastAsia="Times New Roman" w:hAnsi="Times New Roman"/>
          <w:sz w:val="11"/>
          <w:szCs w:val="11"/>
          <w:color w:val="auto"/>
        </w:rPr>
      </w:pPr>
    </w:p>
    <w:p>
      <w:pPr>
        <w:ind w:left="340" w:right="260" w:hanging="332"/>
        <w:spacing w:after="0" w:line="236"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vessel is chartered to a wholly owned subsidiary of Shell. 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 xml:space="preserve">GasLog Gladstone </w:t>
      </w:r>
      <w:r>
        <w:rPr>
          <w:rFonts w:ascii="Times New Roman" w:cs="Times New Roman" w:eastAsia="Times New Roman" w:hAnsi="Times New Roman"/>
          <w:sz w:val="14"/>
          <w:szCs w:val="14"/>
          <w:color w:val="auto"/>
        </w:rPr>
        <w:t>by two additional periods of three years, (b) the</w:t>
      </w:r>
      <w:r>
        <w:rPr>
          <w:rFonts w:ascii="Times New Roman" w:cs="Times New Roman" w:eastAsia="Times New Roman" w:hAnsi="Times New Roman"/>
          <w:sz w:val="14"/>
          <w:szCs w:val="14"/>
          <w:i w:val="1"/>
          <w:iCs w:val="1"/>
          <w:color w:val="auto"/>
        </w:rPr>
        <w:t xml:space="preserve"> Methane Julia Louise </w:t>
      </w:r>
      <w:r>
        <w:rPr>
          <w:rFonts w:ascii="Times New Roman" w:cs="Times New Roman" w:eastAsia="Times New Roman" w:hAnsi="Times New Roman"/>
          <w:sz w:val="14"/>
          <w:szCs w:val="14"/>
          <w:color w:val="auto"/>
        </w:rPr>
        <w:t>for a period of either three or five years, (c) the</w:t>
      </w:r>
      <w:r>
        <w:rPr>
          <w:rFonts w:ascii="Times New Roman" w:cs="Times New Roman" w:eastAsia="Times New Roman" w:hAnsi="Times New Roman"/>
          <w:sz w:val="14"/>
          <w:szCs w:val="14"/>
          <w:i w:val="1"/>
          <w:iCs w:val="1"/>
          <w:color w:val="auto"/>
        </w:rPr>
        <w:t xml:space="preserve"> GasLog Greece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Glasgow </w:t>
      </w:r>
      <w:r>
        <w:rPr>
          <w:rFonts w:ascii="Times New Roman" w:cs="Times New Roman" w:eastAsia="Times New Roman" w:hAnsi="Times New Roman"/>
          <w:sz w:val="14"/>
          <w:szCs w:val="14"/>
          <w:color w:val="auto"/>
        </w:rPr>
        <w:t>for a period of five years and (d) the</w:t>
      </w:r>
      <w:r>
        <w:rPr>
          <w:rFonts w:ascii="Times New Roman" w:cs="Times New Roman" w:eastAsia="Times New Roman" w:hAnsi="Times New Roman"/>
          <w:sz w:val="14"/>
          <w:szCs w:val="14"/>
          <w:i w:val="1"/>
          <w:iCs w:val="1"/>
          <w:color w:val="auto"/>
        </w:rPr>
        <w:t xml:space="preserve"> GasLog Geneva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Gibraltar </w:t>
      </w:r>
      <w:r>
        <w:rPr>
          <w:rFonts w:ascii="Times New Roman" w:cs="Times New Roman" w:eastAsia="Times New Roman" w:hAnsi="Times New Roman"/>
          <w:sz w:val="14"/>
          <w:szCs w:val="14"/>
          <w:color w:val="auto"/>
        </w:rPr>
        <w:t>for a period of three years, provided that Shell gives us advance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notice of the declarations.</w:t>
      </w:r>
    </w:p>
    <w:p>
      <w:pPr>
        <w:spacing w:after="0" w:line="178"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the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Centrica has the right to extend the charter by three additional periods of two years, provided that Centrica gives us advance notice of declaration.</w:t>
      </w:r>
    </w:p>
    <w:p>
      <w:pPr>
        <w:spacing w:after="0" w:line="201" w:lineRule="exact"/>
        <w:rPr>
          <w:rFonts w:ascii="Times New Roman" w:cs="Times New Roman" w:eastAsia="Times New Roman" w:hAnsi="Times New Roman"/>
          <w:sz w:val="11"/>
          <w:szCs w:val="11"/>
          <w:color w:val="auto"/>
        </w:rPr>
      </w:pPr>
    </w:p>
    <w:p>
      <w:pPr>
        <w:ind w:left="340" w:right="580" w:hanging="332"/>
        <w:spacing w:after="0" w:line="264"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Cheniere has the right to extend the charters of the </w:t>
      </w:r>
      <w:r>
        <w:rPr>
          <w:rFonts w:ascii="Times New Roman" w:cs="Times New Roman" w:eastAsia="Times New Roman" w:hAnsi="Times New Roman"/>
          <w:sz w:val="14"/>
          <w:szCs w:val="14"/>
          <w:i w:val="1"/>
          <w:iCs w:val="1"/>
          <w:color w:val="auto"/>
        </w:rPr>
        <w:t>GasLog Georgetown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Galveston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Wellington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Winchester</w:t>
      </w:r>
      <w:r>
        <w:rPr>
          <w:rFonts w:ascii="Times New Roman" w:cs="Times New Roman" w:eastAsia="Times New Roman" w:hAnsi="Times New Roman"/>
          <w:sz w:val="14"/>
          <w:szCs w:val="14"/>
          <w:color w:val="auto"/>
        </w:rPr>
        <w:t xml:space="preserve"> by three consecutive periods of three years, two years and two years.</w:t>
      </w:r>
    </w:p>
    <w:p>
      <w:pPr>
        <w:spacing w:after="0" w:line="158"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w:t>
      </w:r>
    </w:p>
    <w:p>
      <w:pPr>
        <w:spacing w:after="0" w:line="205"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Jera has the right to extend the charter by two additional periods of three years, provided that Jera gives us advance notice of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Woodside has the right to extend the charter by an additional period of one year, provided that Woodside gives us advance notice of declaration.</w:t>
      </w:r>
    </w:p>
    <w:p>
      <w:pPr>
        <w:spacing w:after="0" w:line="203" w:lineRule="exact"/>
        <w:rPr>
          <w:rFonts w:ascii="Times New Roman" w:cs="Times New Roman" w:eastAsia="Times New Roman" w:hAnsi="Times New Roman"/>
          <w:sz w:val="11"/>
          <w:szCs w:val="11"/>
          <w:color w:val="auto"/>
        </w:rPr>
      </w:pPr>
    </w:p>
    <w:p>
      <w:pPr>
        <w:ind w:left="340" w:right="280" w:hanging="332"/>
        <w:spacing w:after="0" w:line="261"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TotalEnergies. TotalEnergies has the right to extend the charter for a period of three years, provided that TotalEnergies provides us with advance notice of declaration.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Newbuilds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380" w:type="dxa"/>
            <w:vAlign w:val="bottom"/>
            <w:gridSpan w:val="2"/>
            <w:vMerge w:val="continue"/>
          </w:tcPr>
          <w:p>
            <w:pPr>
              <w:spacing w:after="0"/>
              <w:rPr>
                <w:sz w:val="12"/>
                <w:szCs w:val="12"/>
                <w:color w:val="auto"/>
              </w:rPr>
            </w:pPr>
          </w:p>
        </w:tc>
        <w:tc>
          <w:tcPr>
            <w:tcW w:w="1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cbm</w:t>
            </w:r>
          </w:p>
        </w:tc>
        <w:tc>
          <w:tcPr>
            <w:tcW w:w="2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75"/>
        </w:trPr>
        <w:tc>
          <w:tcPr>
            <w:tcW w:w="1700" w:type="dxa"/>
            <w:vAlign w:val="bottom"/>
            <w:gridSpan w:val="3"/>
            <w:vMerge w:val="continue"/>
          </w:tcPr>
          <w:p>
            <w:pPr>
              <w:spacing w:after="0"/>
              <w:rPr>
                <w:sz w:val="15"/>
                <w:szCs w:val="15"/>
                <w:color w:val="auto"/>
              </w:rPr>
            </w:pPr>
          </w:p>
        </w:tc>
        <w:tc>
          <w:tcPr>
            <w:tcW w:w="138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4"/>
                <w:szCs w:val="14"/>
                <w:b w:val="1"/>
                <w:bCs w:val="1"/>
                <w:color w:val="auto"/>
              </w:rPr>
              <w:t>Delivery</w:t>
            </w:r>
            <w:r>
              <w:rPr>
                <w:rFonts w:ascii="Times New Roman" w:cs="Times New Roman" w:eastAsia="Times New Roman" w:hAnsi="Times New Roman"/>
                <w:sz w:val="20"/>
                <w:szCs w:val="20"/>
                <w:b w:val="1"/>
                <w:bCs w:val="1"/>
                <w:color w:val="auto"/>
                <w:vertAlign w:val="superscript"/>
              </w:rPr>
              <w:t>(1)</w:t>
            </w:r>
          </w:p>
        </w:tc>
        <w:tc>
          <w:tcPr>
            <w:tcW w:w="1380" w:type="dxa"/>
            <w:vAlign w:val="bottom"/>
            <w:gridSpan w:val="2"/>
            <w:vMerge w:val="continue"/>
          </w:tcPr>
          <w:p>
            <w:pPr>
              <w:spacing w:after="0"/>
              <w:rPr>
                <w:sz w:val="15"/>
                <w:szCs w:val="15"/>
                <w:color w:val="auto"/>
              </w:rPr>
            </w:pPr>
          </w:p>
        </w:tc>
        <w:tc>
          <w:tcPr>
            <w:tcW w:w="28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Hull No. 2532</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Q3 2024</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Multinational Oil and Gas Company</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MEGI</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Hull No. 2533</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Q3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Pr>
          <w:p>
            <w:pPr>
              <w:spacing w:after="0"/>
              <w:rPr>
                <w:sz w:val="18"/>
                <w:szCs w:val="18"/>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Mitsui</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Hull No. 2534</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Q3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Woodside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Hull No. 2535</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Q4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Pr>
          <w:p>
            <w:pPr>
              <w:spacing w:after="0"/>
              <w:rPr>
                <w:sz w:val="20"/>
                <w:szCs w:val="20"/>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Woodside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5684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Expected delivery quarters are presented.</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Fleet Characteristics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characteristics of our current owned and bareboat fleet include the following:</w:t>
      </w:r>
    </w:p>
    <w:p>
      <w:pPr>
        <w:spacing w:after="0" w:line="225" w:lineRule="exact"/>
        <w:rPr>
          <w:sz w:val="20"/>
          <w:szCs w:val="20"/>
          <w:color w:val="auto"/>
        </w:rPr>
      </w:pPr>
    </w:p>
    <w:p>
      <w:pPr>
        <w:jc w:val="both"/>
        <w:ind w:left="680" w:right="8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double-hulled, which is standard in the LNG industry;</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existing ships is equipped with a modern Steam turbine or has TFDE or X-DF engine propulsion technology;</w:t>
      </w:r>
    </w:p>
    <w:p>
      <w:pPr>
        <w:spacing w:after="0" w:line="223" w:lineRule="exact"/>
        <w:rPr>
          <w:rFonts w:ascii="Times New Roman" w:cs="Times New Roman" w:eastAsia="Times New Roman" w:hAnsi="Times New Roman"/>
          <w:sz w:val="18"/>
          <w:szCs w:val="18"/>
          <w:color w:val="auto"/>
        </w:rPr>
      </w:pPr>
    </w:p>
    <w:p>
      <w:pPr>
        <w:ind w:left="680" w:right="300" w:hanging="321"/>
        <w:spacing w:after="0" w:line="284"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Bermuda is the flag state of each ship with the exception of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which each have a Greek flag;</w:t>
      </w:r>
    </w:p>
    <w:p>
      <w:pPr>
        <w:spacing w:after="0" w:line="160"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9"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owned and bareboat fleet has an average age of 8.9 years, making it one of the youngest in the industry, compared to an average age of 10.97 years for the global trading LNG carrier fleet including LNG carriers of all sizes as of December 31, 2023.</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owned and bareboat fleet, we have a 25.0% ownership interest in Egypt LNG, an entity whose principal asset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is a 145,000 cbm LNG carrier that was built in 2007. It is currently chartered to MSL under a 20-year time charter, which is subject to extension for up to 10 years at the charterer’s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Fleet</w:t>
      </w:r>
    </w:p>
    <w:p>
      <w:pPr>
        <w:spacing w:after="0" w:line="229"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Through GasLog LNG Services, we provide technical ship management services for one LNG carrier owned by a third party in addition to management of the 33 LNG carriers currently operating in our owned and bareboat fleet. We supervised the construction of each LNG carrier in our managed fleet, and each ship has operated under our technical management since its delivery from the shipyard.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managed, third party owned ship (not including the bareboat vessels):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2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Built</w:t>
            </w: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cbm</w:t>
            </w: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GasLog</w:t>
            </w:r>
          </w:p>
        </w:tc>
        <w:tc>
          <w:tcPr>
            <w:tcW w:w="420" w:type="dxa"/>
            <w:vAlign w:val="bottom"/>
          </w:tcPr>
          <w:p>
            <w:pPr>
              <w:spacing w:after="0"/>
              <w:rPr>
                <w:sz w:val="13"/>
                <w:szCs w:val="13"/>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Ship Owner</w:t>
            </w: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800" w:type="dxa"/>
            <w:vAlign w:val="bottom"/>
            <w:tcBorders>
              <w:top w:val="single" w:sz="8" w:color="auto"/>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Methane Nile Eagle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rPr>
              <w:t xml:space="preserve">Egypt LNG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88"/>
        </w:trPr>
        <w:tc>
          <w:tcPr>
            <w:tcW w:w="2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40" w:right="80" w:hanging="332"/>
        <w:spacing w:after="0" w:line="264" w:lineRule="auto"/>
        <w:tabs>
          <w:tab w:leader="none" w:pos="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Methane Nile Eagle</w:t>
      </w:r>
      <w:r>
        <w:rPr>
          <w:rFonts w:ascii="Times New Roman" w:cs="Times New Roman" w:eastAsia="Times New Roman" w:hAnsi="Times New Roman"/>
          <w:sz w:val="14"/>
          <w:szCs w:val="14"/>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which may be extended upon the charterer’s exercise of its extension options, or upon earlier termination of the charter (as described below) plus or minus a specified number of days which is a standard flexibility offered to the charterer to facilitate the final voyage of the charter. Our charter contracts do not provide the charterers with options to purchase our ships during or upon expiration of the charter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charters for our owned and bareboat 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Market (defined as charter parties with initial duration of more than three years)</w:t>
      </w:r>
    </w:p>
    <w:p>
      <w:pPr>
        <w:spacing w:after="0" w:line="225"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to MSL began upon its acquisition by GasLog in 2015 and will terminate in 2029 following the declaration of the five-year option charter period by MSL. There are no further other options remaining.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began upon delivery to GasLog and will terminate in 2026. MSL has the option to extend the long-term bareboat charter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which is now owned by Lepta Shipping and leased back to GasLog, for an additional period of either three or five years beyond the initial charter expiration date.</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began upon delivery of the ships and will each terminate in 2026. MSL has options to extend the terms of both charters for five years. Each charter requires that the charterer provide the owner with advance notice of its exercise of any extension option.</w:t>
      </w:r>
    </w:p>
    <w:p>
      <w:pPr>
        <w:spacing w:after="0" w:line="17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will both terminate in 2028 following the declaration of the five-year charter extension option by MSL. MSL has the option to further extend the terms of both charters for a period of three years each, all at specified hire rates. These are the final extension options that MSL has.</w:t>
      </w:r>
    </w:p>
    <w:p>
      <w:pPr>
        <w:spacing w:after="0" w:line="17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was delivered from the shipyard in January 2018 and delivered into her time charter with MSL in January 2019. The initial charter term for the ship will terminate in 2028. MSL has options to extend the terms of the charter of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Houston </w:t>
      </w:r>
      <w:r>
        <w:rPr>
          <w:rFonts w:ascii="Times New Roman" w:cs="Times New Roman" w:eastAsia="Times New Roman" w:hAnsi="Times New Roman"/>
          <w:sz w:val="18"/>
          <w:szCs w:val="18"/>
          <w:color w:val="auto"/>
        </w:rPr>
        <w:t>which is now owned by Hai Kuo Shipping and leased back to GasLog, for two consecutive periods of three years each, all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hire rates.</w:t>
      </w:r>
    </w:p>
    <w:p>
      <w:pPr>
        <w:spacing w:after="0" w:line="180" w:lineRule="exact"/>
        <w:rPr>
          <w:sz w:val="20"/>
          <w:szCs w:val="20"/>
          <w:color w:val="auto"/>
        </w:rPr>
      </w:pPr>
    </w:p>
    <w:p>
      <w:pPr>
        <w:jc w:val="both"/>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MSL for the </w:t>
      </w:r>
      <w:r>
        <w:rPr>
          <w:rFonts w:ascii="Times New Roman" w:cs="Times New Roman" w:eastAsia="Times New Roman" w:hAnsi="Times New Roman"/>
          <w:sz w:val="18"/>
          <w:szCs w:val="18"/>
          <w:i w:val="1"/>
          <w:iCs w:val="1"/>
          <w:color w:val="auto"/>
        </w:rPr>
        <w:t>GasLog Genoa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Gladstone</w:t>
      </w:r>
      <w:r>
        <w:rPr>
          <w:rFonts w:ascii="Times New Roman" w:cs="Times New Roman" w:eastAsia="Times New Roman" w:hAnsi="Times New Roman"/>
          <w:sz w:val="18"/>
          <w:szCs w:val="18"/>
          <w:color w:val="auto"/>
        </w:rPr>
        <w:t xml:space="preserve"> began when the ships were delivered from the shipyard in March 2018 and March 2019, respectively. The initial charter terms for the ships will terminate in 2027 and 2029, respectively. MSL has options to extend terms of the charters for two consecutive periods of three years each, all at specified hire rates.</w:t>
      </w:r>
    </w:p>
    <w:p>
      <w:pPr>
        <w:spacing w:after="0" w:line="173"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Total for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began when the ship was delivered from the shipyard in March 2018. The initial charter term will terminate in 2025. Total has the option to extend the term of the charter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which is now owned by Sea 190 Leasing and leased back to GasLog, by a three-year period at a specified hire rate.</w:t>
      </w:r>
    </w:p>
    <w:p>
      <w:pPr>
        <w:spacing w:after="0" w:line="173"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charters to Centrica for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began when the ships were delivered from the shipyard in 2020. The initial charter terms will terminate in 2027. Centrica has the option to extend the term of the charters by three consecutive periods of two years each.</w:t>
      </w:r>
    </w:p>
    <w:p>
      <w:pPr>
        <w:spacing w:after="0" w:line="173"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time charter to Jera for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began upon delivery of the vessel in 2020. The initial charter terms will terminate in 2032. Jera has the option to extend the term of the charter by two consecutive periods of three years.</w:t>
      </w:r>
    </w:p>
    <w:p>
      <w:pPr>
        <w:spacing w:after="0" w:line="15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time charter to Cheniere for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began when the ship was delivered from the shipyard in 2020 and the initial charter terms will terminate in 2027. The time charters for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Wellington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Winchester </w:t>
      </w:r>
      <w:r>
        <w:rPr>
          <w:rFonts w:ascii="Times New Roman" w:cs="Times New Roman" w:eastAsia="Times New Roman" w:hAnsi="Times New Roman"/>
          <w:sz w:val="18"/>
          <w:szCs w:val="18"/>
          <w:color w:val="auto"/>
        </w:rPr>
        <w:t>began upon delivery of the vessels from the shipyard in 2021 and the initial charter terms will terminate in 2028. Cheniere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option to extend the term of each of the charters by three consecutive periods of three years, two years and two years, respectively.</w:t>
      </w:r>
    </w:p>
    <w:p>
      <w:pPr>
        <w:spacing w:after="0" w:line="183"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time charter to Endesa for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began in May 2021. The initial charter term will terminate in 2029. Endesa has the option to extend the term of the charter by two six-year periods beyond the initial charter expiration date.</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commenced a time charter with NFE Transport Partners LLC in April 2023 with original termination in June 2025 that was subsequenty extended by five years and expires in June 2030.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commenced a multi-year time charter with Kansai in October 2023 which will terminate in March 2030.</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time charter to a multinational oil and gas company for the Hull No. 2532 will begin upon delivery of the vessel from the shipyard in 2024 and the initial charter terms will terminate in 2031. The charterer has the option to extend the term of the charter by a period of three years.</w:t>
      </w:r>
    </w:p>
    <w:p>
      <w:pPr>
        <w:spacing w:after="0" w:line="176" w:lineRule="exact"/>
        <w:rPr>
          <w:sz w:val="20"/>
          <w:szCs w:val="20"/>
          <w:color w:val="auto"/>
        </w:rPr>
      </w:pPr>
    </w:p>
    <w:p>
      <w:pPr>
        <w:jc w:val="both"/>
        <w:ind w:right="340" w:firstLine="324"/>
        <w:spacing w:after="0" w:line="312" w:lineRule="auto"/>
        <w:rPr>
          <w:sz w:val="20"/>
          <w:szCs w:val="20"/>
          <w:color w:val="auto"/>
        </w:rPr>
      </w:pPr>
      <w:r>
        <w:rPr>
          <w:rFonts w:ascii="Times New Roman" w:cs="Times New Roman" w:eastAsia="Times New Roman" w:hAnsi="Times New Roman"/>
          <w:sz w:val="17"/>
          <w:szCs w:val="17"/>
          <w:color w:val="auto"/>
        </w:rPr>
        <w:t>Our time charter to Mitsui for the Hull No. 2533 will begin upon delivery of the vessel from the shipyard in 2024 and the initial charter terms will terminate in 2033. Mitsui has the option to extend the term of the charter by two consecutive periods of two years.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time charters to Woodside for the Hull Nos. 2534 and 2535 will begin upon delivery of the vessels from the shipyard in 2025 and the initial charter terms will terminate in 2035. The charterer has the option to extend the term of the charter by two consecutive periods of three years and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Spot Market (defined as charter parties with initial duration of less than three years)</w:t>
      </w:r>
    </w:p>
    <w:p>
      <w:pPr>
        <w:spacing w:after="0" w:line="225" w:lineRule="exact"/>
        <w:rPr>
          <w:sz w:val="20"/>
          <w:szCs w:val="20"/>
          <w:color w:val="auto"/>
        </w:rPr>
      </w:pPr>
    </w:p>
    <w:p>
      <w:pPr>
        <w:jc w:val="both"/>
        <w:ind w:right="3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a major energy exploration company for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in December 2023 and will terminate in March 2026. The charterer has the right to extend the charter by an additional period of one year, provided that the charterer gives us advance notice of the declaration.</w:t>
      </w:r>
    </w:p>
    <w:p>
      <w:pPr>
        <w:spacing w:after="0" w:line="173" w:lineRule="exact"/>
        <w:rPr>
          <w:sz w:val="20"/>
          <w:szCs w:val="20"/>
          <w:color w:val="auto"/>
        </w:rPr>
      </w:pPr>
    </w:p>
    <w:p>
      <w:pPr>
        <w:jc w:val="both"/>
        <w:ind w:right="4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time charter to Gunvor for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began in June 2019. There was a variable rate of hire within an agreed range during the charter period which switched to a specified rate in April 2023 until the charter is terminated in March 2026 following an agreement to extend the charter by three years. The vessel is now owned by a wholly owned subsidiary of CDBL and leased back to GasLog.</w:t>
      </w:r>
    </w:p>
    <w:p>
      <w:pPr>
        <w:spacing w:after="0" w:line="180"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Woodside for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began in March 2023 and will terminate after two years. Woodside has the option to extend the term of the charter by a period of one year, provided that the charterer gives advance notice. The vessel is owned by a wholly owned subsidiary of CDBL and leased back to GasLog.</w:t>
      </w:r>
    </w:p>
    <w:p>
      <w:pPr>
        <w:spacing w:after="0" w:line="17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CNTIC VPower for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began in October 2020 and the charter will terminate in October 2024 following the declaration of the one-year charter extension option by the charterer. CNTIC VPower has the option to extend the term of the charter by a further period of one year, provided that the charterer gives advance notice.</w:t>
      </w:r>
    </w:p>
    <w:p>
      <w:pPr>
        <w:spacing w:after="0" w:line="173"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time charter for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to Cheniere began in December 2020 and the charter will terminate in March 2025 following the charterer’s exercise of its option to extend the term of the charter by one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17"/>
          <w:szCs w:val="17"/>
          <w:color w:val="auto"/>
        </w:rPr>
        <w:t xml:space="preserve"> commenced a three-year charter with a SEA charterer in August 2022 which will terminate in July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is owned by an unrelated party and leased back to GasLog.</w:t>
      </w:r>
    </w:p>
    <w:p>
      <w:pPr>
        <w:spacing w:after="0" w:line="20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commenced a time charter with a multinational oil and gas company in September 2022 which will terminate in July 2024. The charterer has the option to extend the term of the charter by one year.</w:t>
      </w:r>
    </w:p>
    <w:p>
      <w:pPr>
        <w:spacing w:after="0" w:line="15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commenced a two-year time charter with Tokyo LNG in September 2022 which will terminate in September 2024. The vessel is owned by CDBL and leased back to GasLog.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commenced a three-year charter with Mitsui in September 2021 and will be terminated in September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is owned by CDBL and leased back to GasLog.</w:t>
      </w:r>
    </w:p>
    <w:p>
      <w:pPr>
        <w:spacing w:after="0" w:line="20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commenced in March 2023 a one-year time charter with a Swiss-headquartered energy trading company which will terminate in March 2024.</w:t>
      </w:r>
    </w:p>
    <w:p>
      <w:pPr>
        <w:spacing w:after="0" w:line="15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commenced a multi-month time charter with a wholly owned subsidiary of Centrica in June 2023 which will terminate in May 2024. The vessel is owned by a subsidiary of CDBL and leased back to GasLog.</w:t>
      </w:r>
    </w:p>
    <w:p>
      <w:pPr>
        <w:spacing w:after="0" w:line="15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commenced a multi-year time charter agreement with an Asian LNG buyer in October 2023 that will be terminated in March 2026.</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U.S. dollars. Depending on the time charter contract, there are two methods by which the daily hire rate for our owned ships is determined:</w:t>
      </w:r>
    </w:p>
    <w:p>
      <w:pPr>
        <w:spacing w:after="0" w:line="176" w:lineRule="exact"/>
        <w:rPr>
          <w:sz w:val="20"/>
          <w:szCs w:val="20"/>
          <w:color w:val="auto"/>
        </w:rPr>
      </w:pPr>
    </w:p>
    <w:p>
      <w:pPr>
        <w:ind w:left="680" w:hanging="321"/>
        <w:spacing w:after="0" w:line="25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may increase annually at a fixed or floating (index linked percentage). Although the daily amount of the operating cost component is fixed (and potentially subject to a specified annual increase), it is intended to correspond to the costs of operating the ship and related expenses.</w:t>
      </w:r>
    </w:p>
    <w:p>
      <w:pPr>
        <w:spacing w:after="0" w:line="187"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For the vessels operating in the short-term spot market we take advantage of any idle period to enable us to perform the required maintenance. Our ships are being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Our ships are considered to be on a scheduled off-hire under our time charters during such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specified period of time which can vary from charter to charter. In addition, our charterers have the option to terminate a charter if the relevant ship is off-hire for any reason other than scheduled dry-dockings. The number of off-hire days which trigger this option varies dependent on the terms of the individual charter parties.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parallel with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Bareboat Charters</w:t>
      </w:r>
    </w:p>
    <w:p>
      <w:pPr>
        <w:spacing w:after="0" w:line="22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24, 2016, GAS-twenty six Ltd., completed the sale and leaseback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with Lepta Shipping. Lepta Shipping has the right to on-sell and leaseback the vessel. The vessel was sold to Lepta Shipping for a total consideration approximately equivalent to its book value at the time of the sale. GAS-twenty six Ltd. has leased back the vessel under a bareboat charter from Lepta Shipping for a period of up to 20 years. GAS-twenty six Ltd. has the option to re-purchase the vessel on pre-agreed terms no earlier than the end of year ten and no later than the end of year 17 of the bareboat charter.</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21, 2020, GAS-twenty five Ltd., completed the sale and leaseback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with Sea 190 Leasing. The vessel was sold to Sea 190 Leasing. GAS-twenty five Ltd. has leased back the vessel under a bareboat charter from Sea 190 Leasing for a period of up to 12 years. GAS-twenty five Ltd. has the option to re-purchase the vessel on pre-agreed terms no earlier than the end of year one and no later than the end of year 12 of the bareboat charter.</w:t>
      </w:r>
    </w:p>
    <w:p>
      <w:pPr>
        <w:spacing w:after="0" w:line="180"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22, 2021, GAS-twenty four Ltd., completed the sale and leaseback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with Hai Kuo Shipping. The vessel was sold to Hai Kuo Shipping. GAS-twenty four Ltd.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w:t>
      </w:r>
    </w:p>
    <w:p>
      <w:pPr>
        <w:spacing w:after="0" w:line="18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GAS-three Ltd and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Salem </w:t>
      </w:r>
      <w:r>
        <w:rPr>
          <w:rFonts w:ascii="Times New Roman" w:cs="Times New Roman" w:eastAsia="Times New Roman" w:hAnsi="Times New Roman"/>
          <w:sz w:val="18"/>
          <w:szCs w:val="18"/>
          <w:color w:val="auto"/>
        </w:rPr>
        <w:t>respectively with CDBL. The vessels were sold and leased back under bareboat charters with CDBL for a period of five years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repurchase option or obligation.</w:t>
      </w:r>
    </w:p>
    <w:p>
      <w:pPr>
        <w:spacing w:after="0" w:line="173"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28, 2022,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31, 2022, GAS-twenty one Ltd.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with an unrelated party.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was sold and leased back under a bareboat charter until the middle of 2025, with no repurchase option or obligation.</w:t>
      </w:r>
    </w:p>
    <w:p>
      <w:pPr>
        <w:spacing w:after="0" w:line="205"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30, 2023, GAS-five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w:t>
      </w:r>
    </w:p>
    <w:p>
      <w:pPr>
        <w:spacing w:after="0" w:line="158"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30, 2023, GAS-nine Ltd. completed the sale and leaseback of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Shipbuilding Contracts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our active shipbuilding contracts with Hanwha in respect of four newbuildings have an aggregate contract price of approximately $824.4 million. As of December 31, 2023, the aggregate outstanding balance was $576.7 million. All of our obligations under the shipbuilding contracts are payable in U.S. dollars.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our remaining payment obligations under the shipbuilding contracts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5"/>
        </w:trPr>
        <w:tc>
          <w:tcPr>
            <w:tcW w:w="24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December 31, 2023</w:t>
            </w:r>
            <w:r>
              <w:rPr>
                <w:rFonts w:ascii="Times New Roman" w:cs="Times New Roman" w:eastAsia="Times New Roman" w:hAnsi="Times New Roman"/>
                <w:sz w:val="20"/>
                <w:szCs w:val="20"/>
                <w:b w:val="1"/>
                <w:bCs w:val="1"/>
                <w:color w:val="auto"/>
                <w:vertAlign w:val="superscript"/>
              </w:rPr>
              <w:t>(1)</w:t>
            </w:r>
          </w:p>
        </w:tc>
      </w:tr>
      <w:tr>
        <w:trPr>
          <w:trHeight w:val="117"/>
        </w:trPr>
        <w:tc>
          <w:tcPr>
            <w:tcW w:w="248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w:t>
            </w:r>
          </w:p>
        </w:tc>
      </w:tr>
      <w:tr>
        <w:trPr>
          <w:trHeight w:val="173"/>
        </w:trPr>
        <w:tc>
          <w:tcPr>
            <w:tcW w:w="24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 dollars)</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in less than one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330,531</w:t>
            </w:r>
          </w:p>
        </w:tc>
      </w:tr>
      <w:tr>
        <w:trPr>
          <w:trHeight w:val="216"/>
        </w:trPr>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Amounts due in one to three years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246,196</w:t>
            </w:r>
          </w:p>
        </w:tc>
      </w:tr>
      <w:tr>
        <w:trPr>
          <w:trHeight w:val="209"/>
        </w:trPr>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576,727</w:t>
            </w:r>
          </w:p>
        </w:tc>
      </w:tr>
      <w:tr>
        <w:trPr>
          <w:trHeight w:val="20"/>
        </w:trPr>
        <w:tc>
          <w:tcPr>
            <w:tcW w:w="2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5940" w:type="dxa"/>
            <w:vAlign w:val="bottom"/>
          </w:tcPr>
          <w:p>
            <w:pPr>
              <w:spacing w:after="0"/>
              <w:rPr>
                <w:sz w:val="5"/>
                <w:szCs w:val="5"/>
                <w:color w:val="auto"/>
              </w:rPr>
            </w:pPr>
          </w:p>
        </w:tc>
        <w:tc>
          <w:tcPr>
            <w:tcW w:w="1500" w:type="dxa"/>
            <w:vAlign w:val="bottom"/>
          </w:tcPr>
          <w:p>
            <w:pPr>
              <w:spacing w:after="0"/>
              <w:rPr>
                <w:sz w:val="5"/>
                <w:szCs w:val="5"/>
                <w:color w:val="auto"/>
              </w:rPr>
            </w:pPr>
          </w:p>
        </w:tc>
      </w:tr>
    </w:tbl>
    <w:p>
      <w:pPr>
        <w:spacing w:after="0" w:line="4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Installments of $20.5 million have already been paid in 2024 to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shipbuilding contracts provide for the four newbuildings to be delivered and ready for immediate operation on various dates in 2024 and 2025. Each shipbuilding contract requires Hanwha to pay us liquidated damages in the event of certain delays in the delivery of the relevant ship due to Hanwha’s default unless such delays are attributable to a force majeure event or caused by any other permissible reason under the shipbuilding contract and, in the event of a prolonged delay, we would have the right to cancel the contract and receive a refund of any installment payments previously made on the ship.</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ten business days (save for a default relevant to the winding up of the owner or guarantor for which the delay period should not be more than 21 days), Hanwha would have the option of cancelling the applicable shipbuilding contract and retaining any installment payments previously funded by us under the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Management Services and Construction Supervision</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of our owned and bareboat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 ship in which we have a 25.0% ownership interest. During the year ended December 31, 2023, ship management services provided to external customers accounted for approximately 0.1% of our consolidated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Supervision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supervise and manage the construction of our newbuildings through GasLog LNG Services. During the newbuildings process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all of which were constructed at Samsung Heavy Industries Co.,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and Operational Management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ship management agreements, through GasLog LNG Services we manage the day-to-day aspects of ship operations for our owned and bareboat fleet and for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18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case of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the crewing and other operational costs are fully passed-through to the ship owner, and the customer pays us a management fee per month for our technical management services. In connection with our ship management services provided to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we have entered into a consultant service agreement pursuant to which we provide specialized services relating to the management of this LNG carrier. These services include the development and installation of a ship’s ship management system, which includes installing onboard hardware and software systems and providing related training to the ship’s personnel. The terms of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12 of our vessels (eight TFDE and four Steam vessels), we operate in the spot charter market that covers charters of less than three years.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we are one of a small number of large independent owners who focus primarily on modern,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to independent owners, some of the major oil and gas producers own LNG carriers and, in the recent past,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2023, we had an average of 149 full-time employees based in our offices in Piraeus, London and Singapore. In addition to our shore-based employees, we also employed (directly and through manning agents) approximately 2,019 seafaring staff serving on our owned and managed ships. As we grow, GasLog and its affiliates may expect to recruit a number of additional seafarers qualified to staff and operate our newbuildings, as well as a small number of shore-based personnel.</w:t>
      </w:r>
    </w:p>
    <w:p>
      <w:pPr>
        <w:spacing w:after="0" w:line="180"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requires technically skilled officers and personnel with specialized training. Attracting and retaining engaged, resilient, well-qualified seagoing and shore-based personnel is a top priority, and we offer our people competitive compensation, training and development opportunities. Through our ESG strategy, we are constantly aiming to improve the diversity, equity and inclusion of our workforce and management team, granting access and engagement to a wide pool of talent. In addition, we provide intensive onboard training for our officers and crews intended to instill a culture focused on the highest operational and safety standards. As a result, we have historically enjoyed high retention rates. In 2023, our retention rate was 97.3% for senior seagoing officers, 95.5% for other seagoing officers and 92.6% for shore staff.</w:t>
      </w:r>
    </w:p>
    <w:p>
      <w:pPr>
        <w:spacing w:after="0" w:line="189" w:lineRule="exact"/>
        <w:rPr>
          <w:sz w:val="20"/>
          <w:szCs w:val="20"/>
          <w:color w:val="auto"/>
        </w:rPr>
      </w:pPr>
    </w:p>
    <w:p>
      <w:pPr>
        <w:jc w:val="both"/>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compensation and benefit structure and by certain provisions in some of our time charters, including automatic periodic adjustment and cost review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Based on our maintenance standards and the condition of the vessels we expect we will be able to retain the five-year cycle of dry-docking and maintain this assumption for budgeting and operations planning.</w:t>
      </w:r>
    </w:p>
    <w:p>
      <w:pPr>
        <w:spacing w:after="0" w:line="18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All but three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owned fleet and the bareboat vessels as of February 29,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292"/>
              <w:spacing w:after="0" w:line="161" w:lineRule="exact"/>
              <w:rPr>
                <w:sz w:val="20"/>
                <w:szCs w:val="20"/>
                <w:color w:val="auto"/>
              </w:rPr>
            </w:pPr>
            <w:r>
              <w:rPr>
                <w:rFonts w:ascii="Times New Roman" w:cs="Times New Roman" w:eastAsia="Times New Roman" w:hAnsi="Times New Roman"/>
                <w:sz w:val="14"/>
                <w:szCs w:val="14"/>
                <w:b w:val="1"/>
                <w:bCs w:val="1"/>
                <w:color w:val="auto"/>
              </w:rPr>
              <w:t>Dry</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docking</w:t>
            </w:r>
          </w:p>
        </w:tc>
        <w:tc>
          <w:tcPr>
            <w:tcW w:w="0" w:type="dxa"/>
            <w:vAlign w:val="bottom"/>
          </w:tcPr>
          <w:p>
            <w:pPr>
              <w:spacing w:after="0"/>
              <w:rPr>
                <w:sz w:val="1"/>
                <w:szCs w:val="1"/>
                <w:color w:val="auto"/>
              </w:rPr>
            </w:pPr>
          </w:p>
        </w:tc>
      </w:tr>
      <w:tr>
        <w:trPr>
          <w:trHeight w:val="148"/>
        </w:trPr>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Ship Name</w:t>
            </w:r>
            <w:r>
              <w:rPr>
                <w:rFonts w:ascii="Times New Roman" w:cs="Times New Roman" w:eastAsia="Times New Roman" w:hAnsi="Times New Roman"/>
                <w:sz w:val="21"/>
                <w:szCs w:val="21"/>
                <w:b w:val="1"/>
                <w:bCs w:val="1"/>
                <w:color w:val="auto"/>
                <w:vertAlign w:val="superscript"/>
              </w:rPr>
              <w:t>(*)</w:t>
            </w:r>
          </w:p>
        </w:tc>
        <w:tc>
          <w:tcPr>
            <w:tcW w:w="1500" w:type="dxa"/>
            <w:vAlign w:val="bottom"/>
          </w:tcPr>
          <w:p>
            <w:pPr>
              <w:jc w:val="right"/>
              <w:ind w:right="552"/>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73"/>
        </w:trPr>
        <w:tc>
          <w:tcPr>
            <w:tcW w:w="8420" w:type="dxa"/>
            <w:vAlign w:val="bottom"/>
            <w:gridSpan w:val="2"/>
            <w:vMerge w:val="continue"/>
          </w:tcPr>
          <w:p>
            <w:pPr>
              <w:spacing w:after="0"/>
              <w:rPr>
                <w:sz w:val="15"/>
                <w:szCs w:val="15"/>
                <w:color w:val="auto"/>
              </w:rPr>
            </w:pP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Special Survey</w:t>
            </w:r>
          </w:p>
        </w:tc>
        <w:tc>
          <w:tcPr>
            <w:tcW w:w="0" w:type="dxa"/>
            <w:vAlign w:val="bottom"/>
          </w:tcPr>
          <w:p>
            <w:pPr>
              <w:spacing w:after="0"/>
              <w:rPr>
                <w:sz w:val="1"/>
                <w:szCs w:val="1"/>
                <w:color w:val="auto"/>
              </w:rPr>
            </w:pP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Gladstone</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Saratoga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Julia Louise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Savannah</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Salem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Singapore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Wellington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Winchester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Houston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Hong Kong</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Genoa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H2532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H2533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H2534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H2535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15684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0" w:lineRule="exact"/>
        <w:rPr>
          <w:sz w:val="20"/>
          <w:szCs w:val="20"/>
          <w:color w:val="auto"/>
        </w:rPr>
      </w:pPr>
    </w:p>
    <w:p>
      <w:pPr>
        <w:ind w:right="60" w:firstLine="8"/>
        <w:spacing w:after="0" w:line="220" w:lineRule="auto"/>
        <w:tabs>
          <w:tab w:leader="none" w:pos="162"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The next drydockings of the bareboat vessels </w:t>
      </w:r>
      <w:r>
        <w:rPr>
          <w:rFonts w:ascii="Times New Roman" w:cs="Times New Roman" w:eastAsia="Times New Roman" w:hAnsi="Times New Roman"/>
          <w:sz w:val="13"/>
          <w:szCs w:val="13"/>
          <w:i w:val="1"/>
          <w:iCs w:val="1"/>
          <w:color w:val="auto"/>
        </w:rPr>
        <w:t>GasLog Shanghai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GasLog Skagen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Methane Heather Sally</w:t>
      </w:r>
      <w:r>
        <w:rPr>
          <w:rFonts w:ascii="Times New Roman" w:cs="Times New Roman" w:eastAsia="Times New Roman" w:hAnsi="Times New Roman"/>
          <w:sz w:val="13"/>
          <w:szCs w:val="13"/>
          <w:color w:val="auto"/>
        </w:rPr>
        <w:t xml:space="preserve"> and the </w:t>
      </w:r>
      <w:r>
        <w:rPr>
          <w:rFonts w:ascii="Times New Roman" w:cs="Times New Roman" w:eastAsia="Times New Roman" w:hAnsi="Times New Roman"/>
          <w:sz w:val="13"/>
          <w:szCs w:val="13"/>
          <w:i w:val="1"/>
          <w:iCs w:val="1"/>
          <w:color w:val="auto"/>
        </w:rPr>
        <w:t>Alexandroupolis</w:t>
      </w:r>
      <w:r>
        <w:rPr>
          <w:rFonts w:ascii="Times New Roman" w:cs="Times New Roman" w:eastAsia="Times New Roman" w:hAnsi="Times New Roman"/>
          <w:sz w:val="13"/>
          <w:szCs w:val="13"/>
          <w:color w:val="auto"/>
        </w:rPr>
        <w:t>, which is ready to be sold as an FSRU, are not included in the above table since they will not be in our owned and bareboat fleet at the time of their next drydockings.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collisions, explosions, spills and other environmental mishaps, and the liabilities arising from owning and operating ships in international trade.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maintain hull and machinery insurance on all our owned and bareboat ships against marine and war risks at a Total Loss limit amount determined by the most recent brokers’ valuation and our mortgage’s insurance covenants, as deemed to be prudent. In addition, we maintain loss of hire insurance against loss of income as a result of a ship being off-hire or otherwise suffering a loss of operational time for events falling under our hull and machinery insurance. We maintain protection and indemnity insurance on all our owned and bareboat ships up to the maximum insurable limit available at any given time by the International Group of P&amp;I Clubs.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with a maximum of five days for shoreside perils. The hire rate is aligned with or higher than the loss of hire insurance daily sum insured.</w:t>
      </w:r>
    </w:p>
    <w:p>
      <w:pPr>
        <w:spacing w:after="0" w:line="19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the Indian Ocean and Gulf of Aden to insure against potential losses relating to the hijacking of a ship and its crew by pirates. The cover has a maximum of 180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protection and indemnity insurance covering our owned and bareboat ships is provided by P&amp;I associations that are members of the International Group of Protection and Indemnity Clubs, or “International Group”. The 13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insurance coverage for cyber related vessel hull and machinery risks. The policy covers physical damage to any of our vessels up to $50.0 million per vessel with a fleet aggregate limit of $150.0 million for each of the GasLog and GasLog Partners fleets.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also purchased an additional cyber product which complements the existing vessel hull and machinery cyber cover for losses in excess of $0.1 million and up to $10.0 million. It provides coverage irrespective of cause (malicious act, terror or negligence) for the core enterprise risks including:</w:t>
      </w:r>
    </w:p>
    <w:p>
      <w:pPr>
        <w:spacing w:after="0" w:line="176"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Defense Costs and Remediation costs (including public relation costs as remediation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repair/replacement of Loss or Damage to IT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Restoration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Loss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(does not need to be caused by a Physical damage event)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Illegal/unlawful demands (ransom)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E-theft financial Loss (instructions for transfer of money, credit, securities etc.)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provide intensive onboard and ashore training for our officers and crews to instill a culture of the highest operational and safety standards. During 2023, GasLog’s fleet experienced two lost time incidents and seven first aid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Maritime Regulations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95"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w:t>
      </w:r>
    </w:p>
    <w:p>
      <w:pPr>
        <w:spacing w:after="0" w:line="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January 2024, SOLAS 1974 had 168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STCW was adopted on July 7, 1978 and entered into force on April 28, 1984. The main purpose of the Convention is to promote safety of life and property at sea and the protection of the marine environment by establishing in common agreement on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MEPC of the IMO approved amendments to Annex VI regarding particulate matter, nitrogen oxide and sulfur oxide emissions standards. These amendments became effective in July 2010. These requirements established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oil (potentially including undertaking necessary fuel tank modification) to comply with a global sulfur cap of 0.5 percent m/m or be fitted with exhaust gas scrubbers. Additionally, more stringent emission standards may apply in coastal areas designated as Emission Control Areas (“ECAs”). For example, IMO “Tier III” emission standards for nitrous oxide apply in North American and U.S. Caribbean Sea ECAs to all marine diesel engines installed on a ship constructed on or after January 1, 2016. From May 1, 2024, the Mediterranean Sea will become an ECA, with compliance obligations beginning May 1, 2025.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potential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 issued certificate attesting that the required insurance coverage is in force.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IMO has also adopted the International Convention on Civil Liability for Bunker Oil Pollution Damage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w:t>
      </w:r>
    </w:p>
    <w:p>
      <w:pPr>
        <w:spacing w:after="0" w:line="18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94th (Maritime) Session in 2006, which established minimum working and living conditions for seafarers. The convention entered into force August 20, 2013, and amendments were approved by the International Labour Conference at its 103rd Session in 2014. The convention established a single, coherent instrument embodying all up to date standards of existing international maritime labour conventions and recommendations to the extent practicable, as well as the fundamental principles to be found in other international labour conventions.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for all containment and clean-up costs and other damages arising from oil spills from their ships (unless the spill results solely from the act or omission of a third party, an act of God or an act of war). Effective March 23, 2023, OPA increased the limit of liability of responsible parties with respect to ships over 3,000 gross tons to the greater of $2,500 per gross ton or $21.5 million per double hull ship and continues to permit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8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$1.0 billion per incident for our owned ships. We also believe that we will be in substantial compliance with OPA, CERCLA and all applicable state regulations in the ports where our ships will call.</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Clean Water Act of 1972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included numeric effluent limits for ballast water expressed as the maximum concentration of living organisms in ballast water. The VGP also imposed a variety of changes for non ballast water discharges including more stringent Best Management Practices for discharges of oil to 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 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 powered ships.</w:t>
      </w:r>
    </w:p>
    <w:p>
      <w:pPr>
        <w:spacing w:after="0" w:line="192"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CAA also requires states to adopt State Implementation Plans (“SIPs”), which are designed to attain national health 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From May 1, 2024, the Mediterranean Sea will become an ECA, with compliance obligations beginning May 1, 2025. Fuel used by vessels operating in the ECA cannot exceed 0.1% (mass by mass) sulfur. As of January 1, 2016, NO</w:t>
      </w: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8"/>
          <w:szCs w:val="18"/>
          <w:color w:val="auto"/>
        </w:rPr>
        <w:t xml:space="preserve"> after treatment requirements also apply. Our vessels can store and burn low sulfur fuel oil or alternatively burn natural gas which contains no sulfur. Additionally, burning natural gas will ensure compliance with IMO Tier III NO</w:t>
      </w: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8"/>
          <w:szCs w:val="18"/>
          <w:color w:val="auto"/>
        </w:rPr>
        <w:t xml:space="preserve"> emission limitations without the need for after 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 in of Coast Guard approved ballast water management systems (“BWMS”), became effective. The rule requires installation of Coast Guard approved BWMS by new vessels constructed on or after December 1, 2013 and existing vessels as of their first dry docking after January 1, 2016. Several states have adopted legislation and regulations relating to the permitting and management of ballast water discharges.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 dock of all remaining ships. The programme and required funds have been included in our future planning to ensure the fleet remains compliant at all times.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 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MEPC 62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2021, at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entered into force on November 1, 2022 and the requirements for EEXI and CII certification came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reviewed by MARPOL by January 1, 2026. In July 2023, the IMO adopted the 2023 IMO Strategy on Reduction of GHG Emissions from Ships, a framework for Member States that provides new mid-term emissions reduction goals and guidance. The new strategy builds upon the initial greenhouse gas strategy’s levels of ambition. The revised levels of ambition include (1) further decreasing the carbon intensity from ships through improvement of energy efficiency; (2) reducing carbon intensity of international shipping; (3) increasing adoption of zero or near-zero emissions technologies, fuels, and energy sources; and (4) achieving net zero GHG emissions from international shipping. The IMO is also considering the development of a market-based mechanism for greenhouse gas emissions from ships, but it is difficult to predict the potential impact on our operations at this time.</w:t>
      </w:r>
    </w:p>
    <w:p>
      <w:pPr>
        <w:spacing w:after="0" w:line="19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EU, the MRV Regulation (Monitoring, Reporting, Verification), which entered into force on July 1, 2015, requires large vessels entering European Union ports to monitor, report and verify their carbon dioxide emissions as of January 1, 2018. In May 2023, regulations for the EU-wide trading scheme for industrial GHG emissions, the EU Emissions Trading System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apply to methane and nitrous oxide emissions beginning in 2026. Shipping companies will need to buy and surrender allowances that correspond to the emissions covered by the system.</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the EPA has adopted regulations under the CAA to limit greenhouse gas emissions from certain mobile sources, although these requirements do not currently apply to greenhouse gas emissions from ships. In addition, pursuant to the Paris Agreement, the IMO has established a framework for reducing global greenhouse gas emissions from shipping by at least 40% by 2030 and pursuing efforts towards 70% by 2050, compared to 2008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two stroke low-pressure engines, can be considered among the cleanest of large ships in terms of emissions and very adaptable to the usage of newly developed lower and/or zero emission fuels.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9"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to enhance ship-to-ship and ship-to-shore communications;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ship security plans;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GasLog is a holding company incorporated in Bermuda. As of February 29, 2024, we have 55 wholly owned subsidiaries, which are incorporated in the British Virgin Islands, Bermuda, the Marshall Islands, Singapore, Cyprus, Greece, Malta and England and Wales. Of our subsidiaries, 37 either own or leaseback vessels in our fleet or are parties to contracts to obtain newbuild vessels. A list of our subsidiaries is set forth in Exhibit 8.1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 —B. Liquidity and Capital Resources—Credit Facilities”.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occupy office space at 69 Akti Miaouli, Piraeus, GR 18537, Greece, which we lease through our subsidiary, GasLog LNG Services, from an entity controlled by Ceres Shipping; the lease agreement is disclosed and filed with the Greek authorities, and has been entered into at market rates. We also occupy office space at (i) 99 Kings Road, London SW3 4PA, United Kingdom, which we lease through our subsidiary, GasLog Services UK Ltd.; and (ii) ~24-02B Asia Square Tower 2, Singapore, which we lease through our subsidiary, GasLog Asia PTE. Ltd.</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contractual arrangements for our office space in Piraeus, see “Item 7. Major Shareholders and Related Party Transactions—B. Related Party Transactions”.</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8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an international owner, operator and manager of LNG carriers. As of February 29, 2024, our wholly owned fleet consists of 28 LNG carriers, including 23 vessels in operation, four LNG carriers on order at Hanwha and one LNG carrier ready to be sold as an FSRU. In addition, GasLog has leased back under a bareboat charter (i) for a period of up to 20 years one TFDE vessel sold to Lepta Shipping in February 2016; (ii) for a period of up to 12 years one X-DF vessel sold to Sea 190 Leasing in October 2020; (iii) for a period of up to eight years one X-DF vessel sold to Hai Kuo Shipping in January 2021; (iv) for a period of up to five years one TFDE vessel sold to CDBL in October 2021; (v) for a period of up to five years one vessel sold to CDBL in October 2021, (vi) for a period of up to five years one TFDE vessel sold to CDBL in March 2022; (vii) until the middle of 2025 one Steam vessel sold to another unrelated party in October 2022; (viii) for a period of up to five years one TFDE vessel sold to CDBL in March 2023; and (ix) for a period of up to five year one TFDE vessel sold to CDBL in March 2023. We currently manage and operate 34 LNG carriers including 23 of our owned vessels in operation, the nine bareboat vessels, one LNG carrier ready to be sold as an FSRU and one additional LNG carrier in which we have a 25.0% interest. We are also supervising the construction of our four newbuildings. As of February 29, 2024, 24 of our owned and bareboat vessels currently operate or will operate under long-term time charters (defined as those with initial duration of more than three years), and 12 of our vessels currently trade in the short-term spot market (defined as contracts with initial duration of less than three years). As of December 31, 2023, our contracts are expected to provide total contracted revenue of $3.7 billion during their initial terms, which expire between 2024 and 2035.</w:t>
      </w:r>
    </w:p>
    <w:p>
      <w:pPr>
        <w:spacing w:after="0" w:line="194"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additional LNG carrier in which we also have a 25.0% interest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a 2007-built LNG carrier owned by Egypt LNG, technically managed by us and currently operating under a 20-year time charter to a subsidiary of Shell. The information about our owned fleet presented in this report does not include our ownership interest in the </w:t>
      </w:r>
      <w:r>
        <w:rPr>
          <w:rFonts w:ascii="Times New Roman" w:cs="Times New Roman" w:eastAsia="Times New Roman" w:hAnsi="Times New Roman"/>
          <w:sz w:val="18"/>
          <w:szCs w:val="18"/>
          <w:i w:val="1"/>
          <w:iCs w:val="1"/>
          <w:color w:val="auto"/>
        </w:rPr>
        <w:t>Methane Nile Eagle.</w:t>
      </w:r>
    </w:p>
    <w:p>
      <w:pPr>
        <w:spacing w:after="0" w:line="1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 the Chief Executive Officer, reviews the Group’s operating results on a consolidated basis as one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referenced in “Item 3. Key Information—Risk Factors”, oil prices, as measured by the spot price of Brent crude oil experienced a degree of volatility throughout 2023. After declining from a $120 per barrel peak, prices declined to a low near $70 per barrel and fluctuated between this value and the $90 per barrel threshold for much of the year. Prices increased to a high of $96.6 per barrel in late September.</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concern that characterized prices in 2023 was lackluster demand for energy following the lifting of restrictions imposed during the COVID-19 pandemic. This is particularly true of expectations for recovering demand in China after its re-opening. Economic factors also played a role in shaping demand for oil. Inflation as well as the possibility of a recession in both the US and the Eurozone continued to depress economic activity.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Geopolitical risks continue to cause potential concern for supply of oil as well as its orderly movement. Sanctions against Russian entities as well as the imposition of a price cap for the purchase of Russian oil has diverted Russian flows away from Europe towards Asian buyers. As the war in Ukraine continues, further disruptions could arise. Recent events in the Israel-Palestine conflict have created additional concerns for the stability of the supply of oil as the conflict could broaden or escalate. In response to this conflict, Houthi rebels began attacking vessels transiting past the Bab Al-Mandeb strait, causing vessels to divert away from the Suez Canal, resulting in additional volatility in the energy markets and raising concerns of supply disruption.</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Another key driving force impacting oil prices has been the consistent support by the Organization of Petroleum Exporting Countries (“OPEC”). Total OPEC production declined from the peak it reached in September 2022 of nearly 30 million barrels per day to 28.5 million barrels per day in December 2023, about 10% lower than average production between 2010 and 2019.</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Global natural gas prices experienced a significant year on year decline as a result of high inventories and continuing lackluster demand in 2023. Specifically, natural gas prices in the import regions of North-West Europe, as measured by the Title Transfer Facility (“TTF”), fell from $22.1 per million British Thermal Units (“MMBTU”) at the beginning of the year to $11.0 per MMBTU due to high levels of inventories achieved. By the end of 2023 prices had fallen by about 90% compared to their 2022 peak in August 2022 and about 74% from the 2022 average of $40.85 per MMBTU.</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European LNG inventories stood at 86.3% at the end of the year, significantly higher than the five-year seasonal average of 73.9%.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driven by continuing high levels of LNG imports and lower demand.</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Japan Korea Marker (“JKM”) followed a similar declining trajectory through 2023 ending the year at $11.5 per MMBTU due to lack of competition for spot LNG and lackluster demand. Mild weather expectations due to El Nino conditions in the Pacific, switching away from natural gas due to high prices and economic conditions contributed to lower demand, particularly from China who had previously been the largest spot buyer of LNG in the Pacific.</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This dynamic held true and is expected to be re-established in the long term but in 2023 has been superseded by the continued interest of charterers to secure long term charters for existing vessels and intra-basin trade due to significant and inflexible demand from Europe. This trend began in 2021 but defined the 2022 and 2023 chartering markets due to charterers’ preference to be long shipping in order to not be exposed to a volatile market and to ensure sufficient tonnage to service their own volumes as well as any profitable opportunities that may arise.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Supply for 2023 is forecast to be 408.3 million tonnes (“mt”), an increase of 8.2 mt or approximately 2% over 2022, according to Wood Mackenzie. The U.S. led supply growth in 2023, up by approximately 9.1 mt or 11.9% year-over-year primarily due to the return of Freeport to operation and the continued ramp up of Calcasieu Pass.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there was little organic growth, the U.S. became the world’s largest exporter of LNG in 2023 while some exporters such as Nigeria and Angola continued to underproduce. Norway also returned to export levels observed before the fire at Snohvit, providing additional relief to European importers.</w:t>
      </w:r>
    </w:p>
    <w:p>
      <w:pPr>
        <w:spacing w:after="0" w:line="176"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Wood Mackenzie also estimated 2.5% growth 10 mt of LNG supply growth in 2024 or about 2.5% year-over-year. Anticipated increases in U.S. exports are counterbalanced by some decline in exports from Australia. The U.S. is expected to remain the largest exporter of LNG in 2024.</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2023, 5 new LNG liquefaction projects reached FID for a total of 54.15 mt with at least another 100 mt of projects building momentum towards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For the full year 2023, LNG demand was estimated to be approximately 391.3 mt compared to approximately 393 mt for the full year 2022, a decrease of 0.4% according to Wood Mackenzie. Demand was relatively flat year-over-year, albeit at historically high levels. European imports continue to feature prominently, falling only by 7.1 mt compared to 2022, remaining 55% higher than imports in 2021, despite seasonally high inventories achieved throughout the year. Chinese imports began to recover due to reduced competition from Europe, ticking up by 6.5 mt in 2023. Wood Mackenzie forecasts global LNG demand growth of 9.2 mt or 2% year-over-year in 2024. Growth in demand is also constrained by the lack of available supply given the already high utilisation of liquefaction terminals.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LNG shipping spot market, 160,000 cbm 0.1% boil-off TFDE headline rates, as reported by Clarkson Research Services Limited (“Clarksons”), averaged $97,077 per day in 2023, a 26% decrease year-on-year, albeit 10.8% higher compared to the five-year average. The decline was mostly influenced by significant flows from the U.S. to Europe, which have characterized the market over the past two years and limited organic growth in LNG Supply. Many charterers are also looking to market excessive shipping length in their portfolios during the downtime of their own schedules, further depressing spot markets.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Strong demand for term vessels continues to be a significant feature of the market despite declining headline rates, with an annual average of about $117,000 per day for TFDEs and $66,700 per day for Steam vessels for period of one year as reported by Clarksons. Annual average TFDE rates have declined only marginally while term rates for Steam vessels have in fact increased year-over-year. The duration demanded has also continued to shift from preference for one year fixtures to multi-year fixtures commonly reaching three or more years. This may be motivated by a number of reasons such as geopolitical events, market volatility and scarcity of independent vessels in the open market. Sub-chartered vessels have limitations on duration and delivery/redelivery flexibility, making unencumbered vessels more valuable.</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disruptions of regular transit at the Panama Canal due to drought may also be affecting the expectations of charterers and motivating them to secure additional tonnage, despite the limited impact of the Panama Canal disruptions in the current intra basin focused market. Currently, the Panama Canal is allowing only the passage of booked vessels while auctions for available slots reached record highs of nearly $4 million for a single transit in November. If conditions in Europe ease or demand in Asia increases, significant flows may be diverted away from European markets and towards Asia. Given the current restrictions, it is likely that non-booked vessels will be forced to transit via the Suez Canal or the Cape of Good Hope, adding significant time to the voyage and significantly increasing tonmile demand in the spot market. Additionally, recent disruptions in the Bab Al-Mandeb strait could have a significant impact on the routing of flows from the Middle East to Europe. Vessels would be forced to route around Africa rather than the Suez Canal, nearly doubling the total time required for a round trip. Given that Qatar is one of the three largest exporters of LNG, this could have significant impact on shipping markets by significantly increasing tonmile demand, although so far LNG freight rates have not been significantly impacted.</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holders of our Preference Shares,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According to Poten, as of December 31, 2023, the global fleet of dedicated LNG carriers (&gt;100,000 cbm) consisted of 621 conventional LNG Carriers with another 324 LNG carriers on order, of which 38 vessels (or 11.7%) do not have multi-year charters. Poten estimates that a total of 67 LNG carriers are due to be delivered in 2024. In 2023, 73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26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LNG shipping services and the number of vessels available in the short-term or spot LNG carrier charter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LNG carriers in our owned and managed fleets;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delivery of our ships under construction;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acceptable financing in respect of our capital and refinancing commitments;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working relationships with our existing customers and our ability to increase the number of our customers through the development of new working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charterers;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relationship for LNG shipping services, including the impact of greater competition in the LNG shipping market;</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the ships we own and the bareboat vessels, that currently do not have charters at economically attractive rates;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and operational management of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recruitment and retention of appropriately qualified seafarers and shore staff;</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and to satisfy technical, health, safety and compliance standards that meet our customers’ requirements;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62" w:lineRule="exact"/>
        <w:rPr>
          <w:sz w:val="20"/>
          <w:szCs w:val="20"/>
          <w:color w:val="auto"/>
        </w:rPr>
      </w:pPr>
    </w:p>
    <w:p>
      <w:pPr>
        <w:ind w:left="680" w:right="30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hire rate earned by our owned ships, including any of our ships that may trade in the short-term or spot market if we are unable to secure new term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off-hire days;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we receive for technical ship management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ship operating expenses, including the costs of crewing, insurance and maintenance;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the related interest expense and the timing of required payments of principal;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changes in derivative financial instruments and foreign currency fluctuations;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general and administrative expenses, including salaries and costs of consultants.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Components of Revenues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9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the period of the time charter. Bunkers’ consumption recognized under Voyage expenses and commissions mainly represents bunkers consumed during vessels’ unemployment and off-hire periods. Voyage expenses are expensed as incurred, excluding commissions, which are recognized on a pro-rata basis over the duration of the period of the time charter.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and Supervision Costs</w:t>
      </w:r>
    </w:p>
    <w:p>
      <w:pPr>
        <w:spacing w:after="0" w:line="229" w:lineRule="exact"/>
        <w:rPr>
          <w:sz w:val="20"/>
          <w:szCs w:val="20"/>
          <w:color w:val="auto"/>
        </w:rPr>
      </w:pPr>
    </w:p>
    <w:p>
      <w:pPr>
        <w:ind w:right="360" w:firstLine="324"/>
        <w:spacing w:after="0" w:line="281" w:lineRule="auto"/>
        <w:rPr>
          <w:sz w:val="20"/>
          <w:szCs w:val="20"/>
          <w:color w:val="auto"/>
        </w:rPr>
      </w:pPr>
      <w:r>
        <w:rPr>
          <w:rFonts w:ascii="Times New Roman" w:cs="Times New Roman" w:eastAsia="Times New Roman" w:hAnsi="Times New Roman"/>
          <w:sz w:val="17"/>
          <w:szCs w:val="17"/>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Vessel operating and supervision costs are recognized as expenses when incurred.</w:t>
      </w:r>
    </w:p>
    <w:p>
      <w:pPr>
        <w:spacing w:after="0" w:line="16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if it was already at the end of its useful life. We review scrap rates on an annual basis, and may revise the rates in response to changing market conditions.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right-of-use assets are depreciated over the shorter of the asset’s useful life and the lease term on a straight-line basis.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 costs for administrative and support staff, board of directors fees, expense recognized in connection with share-based compensation, cash settled awards, rent, utilities, travel expenses, legal expenses, information and computing equipment and services, other professional services and consultants, training for crew familiarization and other advisor costs. In addition, general and administrative expenses include restructuring costs comprising of termination benefits, accelerated amortization for share-based and cash compensation and restructuring obligations, pursuant to management’s decision to relocate more of its employees including several members of senior management to the Piraeus, Greece office and to close the Stamford, Connecticut office. Finally, general and administrative expenses include costs related to the GEPIF Transaction and the GasLog Partners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estimated future cash 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Non-Current Assets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Loss on disposal is determined by comparing proceeds from disposal with the carrying amount of a vessel and is included in our consolidated statements of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Financial costs also include GEPIF Transaction costs and foreign exchange differences from cash and bonds, while all other foreign exchange differences are classified in General and Administrative Expenses. For a description of our credit facilities, including our loan agreements and sale and leaseback agreements, see “Item 5. Operating and Financial Review and Prospects—B. Liquidity and Capital Resources—Borrowing Activities—Credit Facilities”.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(Loss)/Gain on Derivatives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(Loss)/gain on derivatives consist of the ineffective portion of changes in the fair value of the derivatives that meet hedge accounting criteria, realized gain/loss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Profit of Associates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share of profit of associates consists of our share of profits from (a) our 25.0% ownership interest in Egypt LNG, a Bermuda exempted company whose principal asset is the LNG carrier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and (b) our 20.0% ownership in Gastrade, a Greek private limited company licensed to develop an independent natural gas system offshore Alexandroupolis in Northern Greece utilizing an FSRU along with other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are in thousands of U.S. Dollars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915,625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918,031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(14,507)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and supervision costs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(170,591)</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(162,790)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(228,639)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(238,711)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(35,007)</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(34,934)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Loss on disposal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(68,287)</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(11,740)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398,435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453,291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(256,988)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(155,800)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196,303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89,797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67,458</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owners of the Group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207,450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had an average of 35.4 ships operating in our owned and bareboat fleet, having 12,629 available days and an average of 35.4 ships operating under our technical management (including 34.4 of our owned and bareboat ships). During the year ended December 31, 2023, we had an average of 33.5 ships operating in our owned and bareboat fleet, having 11,604 available days and an average of 34.5 ships operating under our technical management (including 33.5 of our owned and bareboat ships).</w:t>
      </w:r>
    </w:p>
    <w:p>
      <w:pPr>
        <w:spacing w:after="0" w:line="17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by 0.3%, or $2.4 million, from $915.6 million during the year ended December 31, 2022 to $918.0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during the year ended December 31, 2023. The increase of $2.4 million is mainly attributable to a net increase in revenues from our vessels operating in the spot and short-term markets in the year ended December 31, 2023, partially offset by the decrease in available days, attributable to the FSRU conversion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that started in February 2023, the increase in off-hire days for scheduled dry-dockings and repairs (23 dry-docking off-hire days in the year ended December 31, 2022, compared to 222 scheduled dry-docking and repair off-hire days in the year ended December 31, 2023),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in September 2022 and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in July 2023. As a result, the average daily hire rate increased from $73,470 for the year ended December 31, 2022 to $79,068 for the year ended December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and Supervision Costs: </w:t>
      </w:r>
      <w:r>
        <w:rPr>
          <w:rFonts w:ascii="Times New Roman" w:cs="Times New Roman" w:eastAsia="Times New Roman" w:hAnsi="Times New Roman"/>
          <w:sz w:val="18"/>
          <w:szCs w:val="18"/>
          <w:color w:val="auto"/>
        </w:rPr>
        <w:t>Vessel operating and supervision costs decreased by 4.6%, or $7.8 million, from $170.6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during the year ended December 31, 2022 to $162.8 million during the year ended December 31, 2023. The decrease in vessel operating and supervision costs is attributable to the decrease in ownership days due to the aforementioned sales of the GasLog wholly owned vessels, the FSRU conversion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that started in February 2023, partially offset by the increase in daily operating costs from $13,569 per ownership day (as defined below excluding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for the period managed by Shell) for the year ended December 31, 2022 to $13,716 per ownership day for the year ended December 31, 2023, and the in-house management of the </w:t>
      </w:r>
      <w:r>
        <w:rPr>
          <w:rFonts w:ascii="Times New Roman" w:cs="Times New Roman" w:eastAsia="Times New Roman" w:hAnsi="Times New Roman"/>
          <w:sz w:val="18"/>
          <w:szCs w:val="18"/>
          <w:i w:val="1"/>
          <w:iCs w:val="1"/>
          <w:color w:val="auto"/>
        </w:rPr>
        <w:t xml:space="preserve">Solaris </w:t>
      </w:r>
      <w:r>
        <w:rPr>
          <w:rFonts w:ascii="Times New Roman" w:cs="Times New Roman" w:eastAsia="Times New Roman" w:hAnsi="Times New Roman"/>
          <w:sz w:val="18"/>
          <w:szCs w:val="18"/>
          <w:color w:val="auto"/>
        </w:rPr>
        <w:t>(after its redelivery into our managed fleet on April 6, 2022). Ownership days represent total calendar days for our owned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bareboat fleet. Daily operating costs per vessel increased mainly due to the increased scheduled technical and maintenance costs and an unfavorable movement in Euro (“EUR”)/U. S. Dollar (“USD”) exchange rate in the year ended December 31, 2023 as compared to the year ended December 31, 2022, partially offset by decreased crew costs.</w:t>
      </w:r>
    </w:p>
    <w:p>
      <w:pPr>
        <w:spacing w:after="0" w:line="185"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color w:val="auto"/>
        </w:rPr>
        <w:t>Depreciation increased by 4.4%, or $10.1 million, from $228.6 million during the year ended December 31, 2022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$238.7 million during the year ended December 31, 2023. The increase in depreciation is mainly attributable to the increase in depreciation of the right-of-use assets, partially offset by the decrease in the average number of vessels in our fleet in the year ended December 31, 2023, compared to the prior year and the impairment charges recognized in the prior year and during the year ended December 31, 2023.</w:t>
      </w:r>
    </w:p>
    <w:p>
      <w:pPr>
        <w:spacing w:after="0" w:line="17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0.3%, or $0.1 million, from $35.0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December 31, 2022 to $34.9 million during the year ended December 31, 2023. The decrease in absolute terms is mainly attributable to the decreased employee costs, which were partially offset by increased legal costs mainly affected by the Merger Agreement with GasLog Partners, increase in foreign exchange losses and a net increase in amortization of share-based and cash compensation mainly as a result of the GasLog Partners Transaction. Daily general and administrative expenses increased from $2,764 per vessel ownership day for the year ended December 31, 2022 to $2,853 per vessel ownership day for the year ended December 31, 2023.</w:t>
      </w:r>
    </w:p>
    <w:p>
      <w:pPr>
        <w:spacing w:after="0" w:line="18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w:t>
      </w:r>
      <w:r>
        <w:rPr>
          <w:rFonts w:ascii="Times New Roman" w:cs="Times New Roman" w:eastAsia="Times New Roman" w:hAnsi="Times New Roman"/>
          <w:sz w:val="18"/>
          <w:szCs w:val="18"/>
          <w:color w:val="auto"/>
        </w:rPr>
        <w:t>Impairment loss was $68.3 million for the year ended December 31, 2022 and $11.7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2023. The aggregate impairment loss, which was recognized as of December 31, 2022, was analyzed as follows: i) $19.4 million with respect to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pursuant to the signing of the agreement with Gastrade in February 2022 for the sale of the vessel after its conversion to an FSRU and its remeasurement at the lower of its carrying amount and its fair value less costs to sell, ii) $9.5 million with respect to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for the remeasurement at the lower of its carrying amount and its fair value less costs to sell pursuant to the vessel’s sale and leaseback transaction concluded in March 2022, iii) $28.0 million was recognized pursuant to the reclassification of two Steam vessels owned by the Partnership as held for sale and remeasurement of their carrying amounts as of June 30, 2022 and iv) $ 11.4 million with respect to two Steam vessels owned by the Partnership and one Steam vessel owned by GasLog, built in 2006 and 2007, since events and circumstances triggered the potential impairment of such Steam vessels on that date as a result of continuous decline in the fair values of Steam vessels, driven by reduced market expectations of the long-term rates for these older technology vessels, combined with potential costs of compliance with environmental regulations applicable from 2023 onwards. The aggregate impairment loss, which was recognized as of December 31, 2023, was analyzed as follows: i) $9.3 million was recognized pursuant to the reclassification of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as held for sale and remeasurement of its carrying amount as of June 30, 2023, ii) $6.1 million with respect to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for the remeasurement at the lower of its carrying amount and its fair value less costs to sell pursuant to the vessel’s sale and leaseback transaction concluded in March 2023, iii) $0.1 million with respect to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for the remeasurement at the lower of its carrying amount and its fair value less costs to sell pursuant to the vessel’s sale and leaseback transaction concluded in March 2023, partially offset by $3.8 million of impairment reversal in relation to a write-off of a cost included in Tangible Fixed Assets before the remeasurement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the recognition of an impairment loss of $9.5 million in March 2022.</w:t>
      </w:r>
    </w:p>
    <w:p>
      <w:pPr>
        <w:spacing w:after="0" w:line="19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increased by 55.4%, or $102.4 million, from $184.7 million during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to $287.1 million during the year ended December 31, 2023. The increase in financial costs is mainly attributable to an increase of $71.1 million in interest expense on loans, bonds and cash flow hedges due to the higher interest rates during the year ended December 31, 2023 compared to the same period in 2022 and an increase of $26.5 million in the amortization and write-offs of deferred loan issuance costs mainly due to the write-offs of the unamortized deferred loan issuance costs relating to the refinancing by the Sustainability Facility. Specifically, during the year ended December 31, 2022, we had an average of $3,491.8 million of outstanding indebtedness, with a weighted average interest rate of 4.3%, while during the year ended December 31, 2023, we had an average of $3,107.5 million of outstanding indebtedness, with a weighted average interest rate of 7.1%. These weighted average interest rates include interest expense on loans and cash flow hedges and interest expense on bonds and CCSs.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Income: </w:t>
      </w:r>
      <w:r>
        <w:rPr>
          <w:rFonts w:ascii="Times New Roman" w:cs="Times New Roman" w:eastAsia="Times New Roman" w:hAnsi="Times New Roman"/>
          <w:sz w:val="18"/>
          <w:szCs w:val="18"/>
          <w:color w:val="auto"/>
        </w:rPr>
        <w:t>Financial income increased by $10.8 million, from $4.1 million during the year ended December 31, 2022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 million during the year ended December 31, 2023. The increase in financial income is mainly attributable to the increased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in the year ended December 31, 2023, compared to the year ended December 31, 2022.</w:t>
      </w:r>
    </w:p>
    <w:p>
      <w:pPr>
        <w:spacing w:after="0" w:line="20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Derivatives: </w:t>
      </w:r>
      <w:r>
        <w:rPr>
          <w:rFonts w:ascii="Times New Roman" w:cs="Times New Roman" w:eastAsia="Times New Roman" w:hAnsi="Times New Roman"/>
          <w:sz w:val="18"/>
          <w:szCs w:val="18"/>
          <w:color w:val="auto"/>
        </w:rPr>
        <w:t>Gain on derivatives decreased by $61.8 million, from a gain of $74.8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to a gain of $13.0 million for the year ended December 31, 2023. The decrease is mainly attributable to a decrease of $92.9 million in gain from marked-to-market valuation of our derivative financial instruments carried at fair value through profit or loss, which reflected a gain of $92.4 million for the year ended December 31, 2022, as compared to a loss of $0.5 million for the year ended December 31, 2023, partially offset by an increase of $23.4 million in realized gain from interest rate swaps held for trading and an increase of $8.4 million in realized gain on forward foreign exchange contracts held for trading for the year ended December 31, 2023, compared to the year ended December 31, 2022.</w:t>
      </w:r>
    </w:p>
    <w:p>
      <w:pPr>
        <w:spacing w:after="0" w:line="183"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for the Year: </w:t>
      </w:r>
      <w:r>
        <w:rPr>
          <w:rFonts w:ascii="Times New Roman" w:cs="Times New Roman" w:eastAsia="Times New Roman" w:hAnsi="Times New Roman"/>
          <w:sz w:val="18"/>
          <w:szCs w:val="18"/>
          <w:color w:val="auto"/>
        </w:rPr>
        <w:t>Profit for the year decreased by $100.9 million, from a profit of $297.2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to a profit of $196.3 million for the year ended December 31, 2023 as a result of the aforementioned factors.</w:t>
      </w:r>
    </w:p>
    <w:p>
      <w:pPr>
        <w:spacing w:after="0" w:line="15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Attributable to Owners of the Group: </w:t>
      </w:r>
      <w:r>
        <w:rPr>
          <w:rFonts w:ascii="Times New Roman" w:cs="Times New Roman" w:eastAsia="Times New Roman" w:hAnsi="Times New Roman"/>
          <w:sz w:val="18"/>
          <w:szCs w:val="18"/>
          <w:color w:val="auto"/>
        </w:rPr>
        <w:t>Profit Attributable to Owners of the Group decreased by $78.7 million, from a profit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$207.5 million for the year ended December 31, 2022 to a profit of $128.8 million for the year ended December 31, 2023. The decrease in profit attributable to the owners of GasLog resulted mainly from the respective movements in profit mentioned above, and the decrease in profit attributable to the non-controlling interests (non-controlling unitholders of GasLog Partners).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Year Ended December 31, 2022</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2021 compared to the year ended December 31, 2022, please see “Item 5. Operating and Financial Review and Prospects – A. Operating Results – Year Ended December 31, 2021 Compared to Year Ended December 31, 2022” contained in our annual report on Form 20-F for the year ended December 31, 2022, filed with the SEC on March 3,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received 30.2% of our revenues from Shell, 32.5% of our revenues from LNG majors/traders, 24.6% of our revenues from various other charterers, 12.6% of our revenues from U.S. exporters and 0.1% of our revenues from Egypt LNG. For the year ended December 31, 2022, we received 31.3% of our revenues from Shell, 32.4% of our revenues from LNG majors/traders, 22.7% of our revenues from various other charterers, 13.5% of our revenues from U.S. exporters, and 0.1% of our revenues from Egypt LNG.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our owned and bareboat ships are mainly employed under multi-year, fixed-rate charter arrangements, seasonal trends do impact the revenues earned during the year by our vessels trading in the spot and short-term market. In recent years, there has been a significant increase in the seasonality of LNG shipping spot rates with relative strength during the months of September through January and relative weakness during the months of March through May. To the extent that more of our vessels cease to be employed under long term charter arrangements (defined as charters with an initial duration of more than three years) in the future, there will likely be some additional seasonality in our revenues.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had $221.4 million of cash and cash equivalents. An additional amount of $10.0 million of time deposits with an original duration greater than three months was classified under short-term cash deposits.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our existing charters as of December 31, 2023, we had contracted revenues of $828.6 million for 2024 and approximately</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$2,907.1 million thereafter. Although these contracted revenues are based on contracted charter rates, we are dependent on the ability and willingness of our charterers, to meet their obligations under these charters.</w:t>
      </w:r>
    </w:p>
    <w:p>
      <w:pPr>
        <w:sectPr>
          <w:pgSz w:w="11900" w:h="16838" w:orient="portrait"/>
          <w:cols w:equalWidth="0" w:num="1">
            <w:col w:w="9900"/>
          </w:cols>
          <w:pgMar w:left="980" w:top="661" w:right="101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color w:val="auto"/>
        </w:rPr>
        <w:t>As of December 31, 2023, we had an aggregate of $3.1 billion of indebtedness outstanding under our credit facilities and bond agreements, of which $107.9 million was repayable within one year. Current bank borrowings include an amount of $88.3 million with respect to the Norwegian Kroner (“NOK”) bond maturing in 2024 (the “NOK 2024 Bonds”). As of December 31, 2023, GasLog had $542.5 million available under the Sustainability Facility. Subsequently, in January 2024, GasLog prepaid $49.0 million of the outstanding Sustainability Facility increasing the availability of the Sustainability Facility to $591.5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Furthermore, as of December 31, 2023, we also had an aggregate of $383.4 million of lease liabilities of which $71.0 million was payable within one year.</w:t>
      </w:r>
    </w:p>
    <w:p>
      <w:pPr>
        <w:spacing w:after="0" w:line="13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total contract price for our four newbuildings on order as of December 31, 2023 is approximately $824.4 million. The balance is payable under each shipbuilding contract in installments upon the attainment of certain specified milestones, with the largest portion of the purchase price for each ship coming due upon its delivery. We are scheduled to take delivery of the newbuildings on various dates in 2024 and 2025. As of December 31, 2023, the total remaining balance of the contract prices for the four newbuildings was $576.7 million, of which $330.5 million is due within 12 months, which will be funded by the four sale and leaseback agreements entered into on July 6, 2022 with CMBFL.</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22, 2021, GAS-twenty four Ltd., completed the sale and leaseback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with Hai Kuo Shipping. The vessel was sold to Hai Kuo Shipping. GAS-twenty four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 The vessel remains on its charter with Shell.</w:t>
      </w:r>
    </w:p>
    <w:p>
      <w:pPr>
        <w:spacing w:after="0" w:line="14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March 2021, the Partnership established a preference unit repurchase programme (the “Repurchase Programme”), which authorized the repurchase of preference units through March 31, 2023. In the year ended December 31, 2022, GasLog Partners repurchased and cancelled an aggregate of 665,016 Series A Preference Units, 639,189 Series B Preference Units and 669,406 Series C Preference Units at a weighted average price of $24.64, $25.11 and $24.96 per preference unit for Series A, Series B and Series C, respectively. The aggregate amount repaid during the year ended December 31, 2022 for repurchases of preference units was $49.2 million, including commissions. From inception of the Repurchase Programme through December 31, 2022, GasLog Partners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 There were no Preference Units repurchased and cancelled for the year ended December 31, 2023.</w:t>
      </w:r>
    </w:p>
    <w:p>
      <w:pPr>
        <w:spacing w:after="0" w:line="1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2021, GasLog entered into a Note Purchase Agreement (the “Note Purchase Agreement”) with certain affiliates of The Carlyle Group and EIG (such affiliates, the “Purchasers”) and Wilmington Trust (London) Limited, as administrative agent, for an amount of up to $325.0 million of the 2029 Notes. The 2029 Notes were drawn in March 2022 in the amount of $315.0 million and the proceeds were used to refinance the U.S. dollar denominated 8.875% senior unsecured notes due in 2022 and issued in March 2017 and May 2019 (the ‘‘8.875% Senior Notes”). The Note Purchase Agreement allows for the issuance of additional 2029 Notes in an amount up to $100.0 million for the purpose of refinancing existing obligations or pursuing new growth opportunities.</w:t>
      </w:r>
    </w:p>
    <w:p>
      <w:pPr>
        <w:spacing w:after="0" w:line="158" w:lineRule="exact"/>
        <w:rPr>
          <w:sz w:val="20"/>
          <w:szCs w:val="20"/>
          <w:color w:val="auto"/>
        </w:rPr>
      </w:pPr>
    </w:p>
    <w:p>
      <w:pPr>
        <w:jc w:val="both"/>
        <w:ind w:right="100" w:firstLine="324"/>
        <w:spacing w:after="0" w:line="290" w:lineRule="auto"/>
        <w:rPr>
          <w:sz w:val="20"/>
          <w:szCs w:val="20"/>
          <w:color w:val="auto"/>
        </w:rPr>
      </w:pPr>
      <w:r>
        <w:rPr>
          <w:rFonts w:ascii="Times New Roman" w:cs="Times New Roman" w:eastAsia="Times New Roman" w:hAnsi="Times New Roman"/>
          <w:sz w:val="17"/>
          <w:szCs w:val="17"/>
          <w:color w:val="auto"/>
        </w:rPr>
        <w:t xml:space="preserve">On October 26, 2021, GAS-three Ltd. and GAS-ten Ltd. completed the sale and leaseback of the </w:t>
      </w: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GasLog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Salem</w:t>
      </w:r>
      <w:r>
        <w:rPr>
          <w:rFonts w:ascii="Times New Roman" w:cs="Times New Roman" w:eastAsia="Times New Roman" w:hAnsi="Times New Roman"/>
          <w:sz w:val="17"/>
          <w:szCs w:val="17"/>
          <w:color w:val="auto"/>
        </w:rPr>
        <w:t>, respectively, with a wholly owned subsidiary of CDBL. The vessels were sold to CDBL for a gross cash consideration of $248.0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and leased back under bareboat charters from CDBL for a period of five years with no repurchase option or obligation.</w:t>
      </w:r>
    </w:p>
    <w:p>
      <w:pPr>
        <w:spacing w:after="0" w:line="115"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28, 2022,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 owned subsidiary of CDBL. The vessel was sold to CDBL for a gross cash consideration of $126.0 million and leased back under a bareboat charter from CDBL for a period of five years with no repurchase option or obligation.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6, 2022, each of GAS-thirty eight Ltd., GAS-thirty nine Ltd., GAS-forty Ltd. and GAS-forty one Ltd. entered into sale and leaseback agreements (the “4xNB SLB Facility”) with CMBFL that provide for the financing of each LNG carrier on order at Hanwha. The Group will sell the aforementioned newbuildings for a total amount of up to $762.6 million, raising 92.5% of the newbuilding contract price in form or pre- and post- delivery financing and will lease the newbuildings back for a period of ten years (under a 20-year profile) from each delivery date. GasLog has the option to repurchase the vessels no earlier than the third anniversary of each delivery date and as a result under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transaction does not qualify as a sale and leaseback. The Company recognizes the respective advance shipyard installment payments on its balance sheet under Vessels under construction and accounted for the amount received under the sale-and-leaseback transaction as a financial liability. The interest on the outstanding capital is calculated on a daily compounded SOFR plus a margin.</w:t>
      </w:r>
    </w:p>
    <w:p>
      <w:pPr>
        <w:spacing w:after="0" w:line="18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GAS-twenty Ltd.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to an unrelated third party for a gross sale price of approximately $54.0 million.</w:t>
      </w:r>
    </w:p>
    <w:p>
      <w:pPr>
        <w:spacing w:after="0" w:line="158"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GAS-twenty one Ltd.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The vessel was sold to an unrelated third party for a gross cash consideration of $50.0 million. GasLog leased back the vessel under a bareboat charter until the middle of 2025 with no repurchase option or obligation.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March 30, 2023, GAS-five Ltd. and GAS-nine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Saratoga</w:t>
      </w:r>
      <w:r>
        <w:rPr>
          <w:rFonts w:ascii="Times New Roman" w:cs="Times New Roman" w:eastAsia="Times New Roman" w:hAnsi="Times New Roman"/>
          <w:sz w:val="18"/>
          <w:szCs w:val="18"/>
          <w:color w:val="auto"/>
        </w:rPr>
        <w:t>, respectively, with a wholly owned subsidiary of CDBL. The vessels were sold to CDBL for a gross cash consideration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$284.0 million and leased back under bareboat charters from CDBL for a period of five years with no repurchase option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sale of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and the prepayment of the mortgage bank debt in the amount of $94.1 million,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 partial prepayment of the Note Purchase Agreement in the amount of $15.0 million in July 2023.</w:t>
      </w:r>
    </w:p>
    <w:p>
      <w:pPr>
        <w:spacing w:after="0" w:line="205"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July 17, 2023, GasLog Hellas-2 Enterprises completed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The vessel was sold to an unrelated third party for a gross sale price of $55.0 million. The outstanding indebtedness of $31.6 million associated with the vessel was prepaid pursuant to its sale.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merger consideration under the Merger Agreement with GasLog Partners was partially financed by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GasLog Partners Transaction. The aggregate principal amount outstanding under the Bridge Facility Agreement was repaid in full, together with accrued and unpaid interest, on July 26, 2023.</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January and August 2023, GasLog terminated all interest rate swaps held for trading originally maturing between 2024 and 2028 with an aggregate notional amount of $936.5 million; The termination of the trades resulted in a net cash inflow of $35.8 million in total.</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(12 GasLog vessels and eleven GasLog Partners vessels), the outstanding balances of GAS-one Ltd., GAS-two Ltd., GAS-twenty two Ltd., GAS-twenty three Ltd., GasLog Hellas-1 Special Maritime Enterprise, GAS-twenty eight Ltd., GAS-thirty Ltd., GAS-thirty one Ltd., GAS-thirty two Ltd., GAS-thirty three Ltd., GAS-thirty four Ltd., GAS-thirty five Ltd., GAS-eleven Ltd., GAS-twelve Ltd., GAS-thirteen Ltd., GAS-fourteen Ltd., GAS-four Ltd., GAS-sixteen Ltd., GAS-seventeen Ltd., GAS-seven Ltd., GAS-eight Ltd., GAS-nineteen Ltd. and GAS-twenty seven Ltd. were fully repaid. The existing loan facilities of the foregoing companies were terminated and the respective unamortized loan fees were written off to the consolidated statement of profit or loss.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December 28, 2023, GasLog completed the Partial Redemption held by shareholders of record as of November 27, 2023, pursuant to the Certificate of Designations, dated as of March 30, 2015 (the “Certificate of Designations”). The redemption price of the Series A Preference Shares was $25.00 per share plus accrued and unpaid dividends in respect of the Series A Preference Shares up to, but not including, the redemption date of December 28, 2023. The Company funded the Partial Redemption with proceeds of borrowings under its existing Sustainability Facility. The Series A Preference Shares redeemed in connection with the Partial Redemption are no longer outstanding and all rights with respect to such stock have ceased and terminated. The Series A Preference Shares not redeemed in connection with the Partial Redemption remain issued and outstanding and subject to all the terms provided in the Certificate of Designations.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Before the Partial Redemption, on August 2, 2023, the board of directors of GasLog had approved a preference share repurchase programme of up to $35.0 million of Series A Preference Shares, effective immediately. Since the inception of the repurchase programme and prior to the Partial Redemption, GasLog had repurchased an aggregate of 58,319 of Series A Preference Shares at a weighted average price of $24.64 per preference share, for a total amount of $1.4 million, including commissions.</w:t>
      </w:r>
    </w:p>
    <w:p>
      <w:pPr>
        <w:spacing w:after="0" w:line="180"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Information—Preference Shares Dividend Policy” for a discussion of risks related to our ability to pay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Position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current assets totaled $560.4 million, while current liabilities totaled $622.5 million, resulting in a negative working capital position of $62.1 million. Current liabilities include $88.3 million relating to the NOK 2024 Bonds which mature in November 2024, as mentioned above, and $66.4 million of unearned revenue in relation to hires received in advance of December 31, 2023 (which represents a non-cash liability that will be recognized as revenue in January as the services are rendered).</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over the next twelve months will be available cash, cash from operations, undrawn amounts under our facilities, future new borrowings and future sales and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8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Amounts in thousands of U.S. dollars</w:t>
            </w:r>
          </w:p>
        </w:tc>
        <w:tc>
          <w:tcPr>
            <w:tcW w:w="16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698,912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688,570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259,570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(720,690)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(1,096,152)</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(375,462)</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5"/>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by $10.3 million, from $698.9 million during the year ended December 31, 2022 to $688.6 million during the year ended December 31, 2023. The decrease of $10.3 million is mainly attributable to a decrease of $29.4 million in working capital movements, partially offset by an increase of $8.4 million in realized gain on forward foreign exchange contracts, a decrease of $7.8 million in vessel operating and supervision costs and an increase of $2.4 million in revenues.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Net cash provided by investing activities increased by $152.2 million, from net cash provided by investing activities of $107.4 million during the year ended December 31, 2022 to net cash provided by investing activities of $259.6 million during the year ended December 31, 2023. The increase is mainly attributable to the $105.4 million increase in proceeds of from the sale and leaseback transactions, net of commissions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during 2023 compared to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 xml:space="preserve">Methane Heather Sally </w:t>
      </w:r>
      <w:r>
        <w:rPr>
          <w:rFonts w:ascii="Times New Roman" w:cs="Times New Roman" w:eastAsia="Times New Roman" w:hAnsi="Times New Roman"/>
          <w:sz w:val="18"/>
          <w:szCs w:val="18"/>
          <w:color w:val="auto"/>
        </w:rPr>
        <w:t>during 2022, a net increase of $62.0 million in cash from short-term investments in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2023, compared to the same period of 2022, the $28.3 million proceeds from FSRU conversion, an increase of $11.3 million in cash from interest income, an increase of $1.2 million in dividends received from associate and an increase of $1.2 million in proceeds from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during 2023 compared to the sale of the </w:t>
      </w:r>
      <w:r>
        <w:rPr>
          <w:rFonts w:ascii="Times New Roman" w:cs="Times New Roman" w:eastAsia="Times New Roman" w:hAnsi="Times New Roman"/>
          <w:sz w:val="18"/>
          <w:szCs w:val="18"/>
          <w:i w:val="1"/>
          <w:iCs w:val="1"/>
          <w:color w:val="auto"/>
        </w:rPr>
        <w:t>Methane Shirley Elizabeth</w:t>
      </w:r>
      <w:r>
        <w:rPr>
          <w:rFonts w:ascii="Times New Roman" w:cs="Times New Roman" w:eastAsia="Times New Roman" w:hAnsi="Times New Roman"/>
          <w:sz w:val="18"/>
          <w:szCs w:val="18"/>
          <w:color w:val="auto"/>
        </w:rPr>
        <w:t xml:space="preserve"> during 2022, partially offset by an increase of $34.3 million in net cash used in payments for the construction costs of newbuildings, tangible and other fixed assets, an increase of $12.7 million in other investments and an increase of $10.2 million in payments for right-of-use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4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increased by $375.5 million, from net cash used in financing activities of $720.7 million during the year ended December 31, 2022 to net cash used in financing activities of $1,096.2 million during the year ended December 31, 2023. The increase is mainly attributable to an increase of $1,946.6 million in bank loan and bond repayments, the payment of $316.2 million relating to the Merger Agreement with GasLog Partners including the special distribution, a payment of $108.6 million relating to the Partial Redemption, an increase of $88.4 million in cash paid for interest, a net increase of $35.6 million in net payments of loan issuance costs, an increase of $20.6 million in payments for lease liabilities (principal portion) and a net movement of $1.0 million in cash collateral for swaps, partially offset by an increase of $2,056.7 million in proceeds from loans and bonds, a decrease of $47.8 million in cash used for repurchases of the Series A Preference Shares during 2023 compared to such repurchases during 2022, the cash received of $35.8 million proceeds from interest rate swaps termination and the decrease of $1.2 million in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terms of the four outstanding facilities as of December 31, 2023:</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Facility Name:</w:t>
            </w:r>
          </w:p>
        </w:tc>
        <w:tc>
          <w:tcPr>
            <w:tcW w:w="18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tcPr>
          <w:p>
            <w:pPr>
              <w:spacing w:after="0"/>
              <w:rPr>
                <w:sz w:val="11"/>
                <w:szCs w:val="11"/>
                <w:color w:val="auto"/>
              </w:rPr>
            </w:pPr>
          </w:p>
        </w:tc>
        <w:tc>
          <w:tcPr>
            <w:tcW w:w="5180" w:type="dxa"/>
            <w:vAlign w:val="bottom"/>
            <w:tcBorders>
              <w:top w:val="single" w:sz="8" w:color="auto"/>
              <w:bottom w:val="single" w:sz="8" w:color="auto"/>
              <w:right w:val="single" w:sz="8" w:color="auto"/>
            </w:tcBorders>
          </w:tcPr>
          <w:p>
            <w:pPr>
              <w:spacing w:after="0"/>
              <w:rPr>
                <w:sz w:val="11"/>
                <w:szCs w:val="11"/>
                <w:color w:val="auto"/>
              </w:rPr>
            </w:pPr>
          </w:p>
        </w:tc>
      </w:tr>
      <w:tr>
        <w:trPr>
          <w:trHeight w:val="101"/>
        </w:trPr>
        <w:tc>
          <w:tcPr>
            <w:tcW w:w="2300" w:type="dxa"/>
            <w:vAlign w:val="bottom"/>
            <w:tcBorders>
              <w:left w:val="single" w:sz="8" w:color="auto"/>
              <w:right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Sustainability Facility</w:t>
            </w:r>
          </w:p>
        </w:tc>
        <w:tc>
          <w:tcPr>
            <w:tcW w:w="2460" w:type="dxa"/>
            <w:vAlign w:val="bottom"/>
            <w:tcBorders>
              <w:right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right w:val="single" w:sz="8" w:color="auto"/>
            </w:tcBorders>
          </w:tcPr>
          <w:p>
            <w:pPr>
              <w:ind w:left="160"/>
              <w:spacing w:after="0" w:line="102" w:lineRule="exact"/>
              <w:rPr>
                <w:sz w:val="20"/>
                <w:szCs w:val="20"/>
                <w:color w:val="auto"/>
              </w:rPr>
            </w:pPr>
            <w:r>
              <w:rPr>
                <w:rFonts w:ascii="Times New Roman" w:cs="Times New Roman" w:eastAsia="Times New Roman" w:hAnsi="Times New Roman"/>
                <w:sz w:val="11"/>
                <w:szCs w:val="11"/>
                <w:color w:val="auto"/>
              </w:rPr>
              <w:t>Alpha Bank S.A., ABN Amro Bank N.V. , BNP Paribas, Citibank, N.A., London, Branch, Credit Suisse AG,</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w w:val="98"/>
              </w:rPr>
              <w:t>Danish Ship Finance A/S, DNB (UK) Limited, ING Bank N.V., London Branch, National Australia Bank Limited,</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w w:val="99"/>
              </w:rPr>
              <w:t>National Bank of Greece S.A., Nordea Bank Abp, Filial I Norge, Oversea-Chinese Banking Corporation Limited,</w:t>
            </w:r>
          </w:p>
        </w:tc>
      </w:tr>
      <w:tr>
        <w:trPr>
          <w:trHeight w:val="135"/>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Skandinaviska Enskilda Banken AB (publ) and Standard Chartered Bank (Singapore) Limited</w:t>
            </w:r>
          </w:p>
        </w:tc>
      </w:tr>
      <w:tr>
        <w:trPr>
          <w:trHeight w:val="99"/>
        </w:trPr>
        <w:tc>
          <w:tcPr>
            <w:tcW w:w="2300" w:type="dxa"/>
            <w:vAlign w:val="bottom"/>
            <w:tcBorders>
              <w:left w:val="single" w:sz="8" w:color="auto"/>
              <w:right w:val="single" w:sz="8" w:color="auto"/>
            </w:tcBorders>
          </w:tcPr>
          <w:p>
            <w:pPr>
              <w:spacing w:after="0"/>
              <w:rPr>
                <w:sz w:val="8"/>
                <w:szCs w:val="8"/>
                <w:color w:val="auto"/>
              </w:rPr>
            </w:pPr>
          </w:p>
        </w:tc>
        <w:tc>
          <w:tcPr>
            <w:tcW w:w="2460" w:type="dxa"/>
            <w:vAlign w:val="bottom"/>
            <w:tcBorders>
              <w:right w:val="single" w:sz="8" w:color="auto"/>
            </w:tcBorders>
            <w:gridSpan w:val="2"/>
          </w:tcPr>
          <w:p>
            <w:pPr>
              <w:ind w:left="160"/>
              <w:spacing w:after="0" w:line="100"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right w:val="single" w:sz="8" w:color="auto"/>
            </w:tcBorders>
          </w:tcPr>
          <w:p>
            <w:pPr>
              <w:ind w:left="160"/>
              <w:spacing w:after="0" w:line="100" w:lineRule="exact"/>
              <w:rPr>
                <w:sz w:val="20"/>
                <w:szCs w:val="20"/>
                <w:color w:val="auto"/>
              </w:rPr>
            </w:pPr>
            <w:r>
              <w:rPr>
                <w:rFonts w:ascii="Times New Roman" w:cs="Times New Roman" w:eastAsia="Times New Roman" w:hAnsi="Times New Roman"/>
                <w:sz w:val="11"/>
                <w:szCs w:val="11"/>
                <w:color w:val="auto"/>
              </w:rPr>
              <w:t>GasLog Ltd. as borrower;</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w w:val="99"/>
              </w:rPr>
              <w:t>GAS-one Ltd. (</w:t>
            </w:r>
            <w:r>
              <w:rPr>
                <w:rFonts w:ascii="Times New Roman" w:cs="Times New Roman" w:eastAsia="Times New Roman" w:hAnsi="Times New Roman"/>
                <w:sz w:val="11"/>
                <w:szCs w:val="11"/>
                <w:i w:val="1"/>
                <w:iCs w:val="1"/>
                <w:color w:val="auto"/>
                <w:w w:val="99"/>
              </w:rPr>
              <w:t>GasLog Savannah</w:t>
            </w:r>
            <w:r>
              <w:rPr>
                <w:rFonts w:ascii="Times New Roman" w:cs="Times New Roman" w:eastAsia="Times New Roman" w:hAnsi="Times New Roman"/>
                <w:sz w:val="11"/>
                <w:szCs w:val="11"/>
                <w:color w:val="auto"/>
                <w:w w:val="99"/>
              </w:rPr>
              <w:t>), GAS-two Ltd. (</w:t>
            </w:r>
            <w:r>
              <w:rPr>
                <w:rFonts w:ascii="Times New Roman" w:cs="Times New Roman" w:eastAsia="Times New Roman" w:hAnsi="Times New Roman"/>
                <w:sz w:val="11"/>
                <w:szCs w:val="11"/>
                <w:i w:val="1"/>
                <w:iCs w:val="1"/>
                <w:color w:val="auto"/>
                <w:w w:val="99"/>
              </w:rPr>
              <w:t>GasLog Singapore</w:t>
            </w:r>
            <w:r>
              <w:rPr>
                <w:rFonts w:ascii="Times New Roman" w:cs="Times New Roman" w:eastAsia="Times New Roman" w:hAnsi="Times New Roman"/>
                <w:sz w:val="11"/>
                <w:szCs w:val="11"/>
                <w:color w:val="auto"/>
                <w:w w:val="99"/>
              </w:rPr>
              <w:t>), GAS-four Ltd. (</w:t>
            </w:r>
            <w:r>
              <w:rPr>
                <w:rFonts w:ascii="Times New Roman" w:cs="Times New Roman" w:eastAsia="Times New Roman" w:hAnsi="Times New Roman"/>
                <w:sz w:val="11"/>
                <w:szCs w:val="11"/>
                <w:i w:val="1"/>
                <w:iCs w:val="1"/>
                <w:color w:val="auto"/>
                <w:w w:val="99"/>
              </w:rPr>
              <w:t>GasLog Santiago</w:t>
            </w:r>
            <w:r>
              <w:rPr>
                <w:rFonts w:ascii="Times New Roman" w:cs="Times New Roman" w:eastAsia="Times New Roman" w:hAnsi="Times New Roman"/>
                <w:sz w:val="11"/>
                <w:szCs w:val="11"/>
                <w:color w:val="auto"/>
                <w:w w:val="99"/>
              </w:rPr>
              <w:t>), GAS-</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seven Ltd. (</w:t>
            </w:r>
            <w:r>
              <w:rPr>
                <w:rFonts w:ascii="Times New Roman" w:cs="Times New Roman" w:eastAsia="Times New Roman" w:hAnsi="Times New Roman"/>
                <w:sz w:val="11"/>
                <w:szCs w:val="11"/>
                <w:i w:val="1"/>
                <w:iCs w:val="1"/>
                <w:color w:val="auto"/>
              </w:rPr>
              <w:t>GasLog Seattle</w:t>
            </w:r>
            <w:r>
              <w:rPr>
                <w:rFonts w:ascii="Times New Roman" w:cs="Times New Roman" w:eastAsia="Times New Roman" w:hAnsi="Times New Roman"/>
                <w:sz w:val="11"/>
                <w:szCs w:val="11"/>
                <w:color w:val="auto"/>
              </w:rPr>
              <w:t>), GAS-eight Ltd. (</w:t>
            </w:r>
            <w:r>
              <w:rPr>
                <w:rFonts w:ascii="Times New Roman" w:cs="Times New Roman" w:eastAsia="Times New Roman" w:hAnsi="Times New Roman"/>
                <w:sz w:val="11"/>
                <w:szCs w:val="11"/>
                <w:i w:val="1"/>
                <w:iCs w:val="1"/>
                <w:color w:val="auto"/>
              </w:rPr>
              <w:t>Solaris</w:t>
            </w:r>
            <w:r>
              <w:rPr>
                <w:rFonts w:ascii="Times New Roman" w:cs="Times New Roman" w:eastAsia="Times New Roman" w:hAnsi="Times New Roman"/>
                <w:sz w:val="11"/>
                <w:szCs w:val="11"/>
                <w:color w:val="auto"/>
              </w:rPr>
              <w:t>), GAS-eleven Ltd. (</w:t>
            </w:r>
            <w:r>
              <w:rPr>
                <w:rFonts w:ascii="Times New Roman" w:cs="Times New Roman" w:eastAsia="Times New Roman" w:hAnsi="Times New Roman"/>
                <w:sz w:val="11"/>
                <w:szCs w:val="11"/>
                <w:i w:val="1"/>
                <w:iCs w:val="1"/>
                <w:color w:val="auto"/>
              </w:rPr>
              <w:t>GasLog Greece</w:t>
            </w:r>
            <w:r>
              <w:rPr>
                <w:rFonts w:ascii="Times New Roman" w:cs="Times New Roman" w:eastAsia="Times New Roman" w:hAnsi="Times New Roman"/>
                <w:sz w:val="11"/>
                <w:szCs w:val="11"/>
                <w:color w:val="auto"/>
              </w:rPr>
              <w:t>), GAS-twelve Ltd.</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GasLog Glasgow</w:t>
            </w:r>
            <w:r>
              <w:rPr>
                <w:rFonts w:ascii="Times New Roman" w:cs="Times New Roman" w:eastAsia="Times New Roman" w:hAnsi="Times New Roman"/>
                <w:sz w:val="11"/>
                <w:szCs w:val="11"/>
                <w:color w:val="auto"/>
              </w:rPr>
              <w:t>), GAS-thirteen Ltd. (</w:t>
            </w:r>
            <w:r>
              <w:rPr>
                <w:rFonts w:ascii="Times New Roman" w:cs="Times New Roman" w:eastAsia="Times New Roman" w:hAnsi="Times New Roman"/>
                <w:sz w:val="11"/>
                <w:szCs w:val="11"/>
                <w:i w:val="1"/>
                <w:iCs w:val="1"/>
                <w:color w:val="auto"/>
              </w:rPr>
              <w:t>GasLog Geneva</w:t>
            </w:r>
            <w:r>
              <w:rPr>
                <w:rFonts w:ascii="Times New Roman" w:cs="Times New Roman" w:eastAsia="Times New Roman" w:hAnsi="Times New Roman"/>
                <w:sz w:val="11"/>
                <w:szCs w:val="11"/>
                <w:color w:val="auto"/>
              </w:rPr>
              <w:t>), GAS-fourteen Ltd. (</w:t>
            </w:r>
            <w:r>
              <w:rPr>
                <w:rFonts w:ascii="Times New Roman" w:cs="Times New Roman" w:eastAsia="Times New Roman" w:hAnsi="Times New Roman"/>
                <w:sz w:val="11"/>
                <w:szCs w:val="11"/>
                <w:i w:val="1"/>
                <w:iCs w:val="1"/>
                <w:color w:val="auto"/>
              </w:rPr>
              <w:t>GasLog Gibraltar</w:t>
            </w:r>
            <w:r>
              <w:rPr>
                <w:rFonts w:ascii="Times New Roman" w:cs="Times New Roman" w:eastAsia="Times New Roman" w:hAnsi="Times New Roman"/>
                <w:sz w:val="11"/>
                <w:szCs w:val="11"/>
                <w:color w:val="auto"/>
              </w:rPr>
              <w:t>), GAS-sixteen</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w w:val="99"/>
              </w:rPr>
              <w:t>Ltd. (</w:t>
            </w:r>
            <w:r>
              <w:rPr>
                <w:rFonts w:ascii="Times New Roman" w:cs="Times New Roman" w:eastAsia="Times New Roman" w:hAnsi="Times New Roman"/>
                <w:sz w:val="11"/>
                <w:szCs w:val="11"/>
                <w:i w:val="1"/>
                <w:iCs w:val="1"/>
                <w:color w:val="auto"/>
                <w:w w:val="99"/>
              </w:rPr>
              <w:t>Methane Rita Andrea</w:t>
            </w:r>
            <w:r>
              <w:rPr>
                <w:rFonts w:ascii="Times New Roman" w:cs="Times New Roman" w:eastAsia="Times New Roman" w:hAnsi="Times New Roman"/>
                <w:sz w:val="11"/>
                <w:szCs w:val="11"/>
                <w:color w:val="auto"/>
                <w:w w:val="99"/>
              </w:rPr>
              <w:t>), GAS-seventeen Ltd. (</w:t>
            </w:r>
            <w:r>
              <w:rPr>
                <w:rFonts w:ascii="Times New Roman" w:cs="Times New Roman" w:eastAsia="Times New Roman" w:hAnsi="Times New Roman"/>
                <w:sz w:val="11"/>
                <w:szCs w:val="11"/>
                <w:i w:val="1"/>
                <w:iCs w:val="1"/>
                <w:color w:val="auto"/>
                <w:w w:val="99"/>
              </w:rPr>
              <w:t>Methane Jane Elizabeth</w:t>
            </w:r>
            <w:r>
              <w:rPr>
                <w:rFonts w:ascii="Times New Roman" w:cs="Times New Roman" w:eastAsia="Times New Roman" w:hAnsi="Times New Roman"/>
                <w:sz w:val="11"/>
                <w:szCs w:val="11"/>
                <w:color w:val="auto"/>
                <w:w w:val="99"/>
              </w:rPr>
              <w:t>), GAS-nineteen Ltd. (</w:t>
            </w:r>
            <w:r>
              <w:rPr>
                <w:rFonts w:ascii="Times New Roman" w:cs="Times New Roman" w:eastAsia="Times New Roman" w:hAnsi="Times New Roman"/>
                <w:sz w:val="11"/>
                <w:szCs w:val="11"/>
                <w:i w:val="1"/>
                <w:iCs w:val="1"/>
                <w:color w:val="auto"/>
                <w:w w:val="99"/>
              </w:rPr>
              <w:t>Methane Alison</w:t>
            </w:r>
          </w:p>
        </w:tc>
      </w:tr>
      <w:tr>
        <w:trPr>
          <w:trHeight w:val="121"/>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i w:val="1"/>
                <w:iCs w:val="1"/>
                <w:color w:val="auto"/>
                <w:w w:val="98"/>
              </w:rPr>
              <w:t>Victoria</w:t>
            </w:r>
            <w:r>
              <w:rPr>
                <w:rFonts w:ascii="Times New Roman" w:cs="Times New Roman" w:eastAsia="Times New Roman" w:hAnsi="Times New Roman"/>
                <w:sz w:val="11"/>
                <w:szCs w:val="11"/>
                <w:color w:val="auto"/>
                <w:w w:val="98"/>
              </w:rPr>
              <w:t>), GAS-twenty two Ltd. (</w:t>
            </w:r>
            <w:r>
              <w:rPr>
                <w:rFonts w:ascii="Times New Roman" w:cs="Times New Roman" w:eastAsia="Times New Roman" w:hAnsi="Times New Roman"/>
                <w:sz w:val="11"/>
                <w:szCs w:val="11"/>
                <w:i w:val="1"/>
                <w:iCs w:val="1"/>
                <w:color w:val="auto"/>
                <w:w w:val="98"/>
              </w:rPr>
              <w:t>GasLog Genoa</w:t>
            </w:r>
            <w:r>
              <w:rPr>
                <w:rFonts w:ascii="Times New Roman" w:cs="Times New Roman" w:eastAsia="Times New Roman" w:hAnsi="Times New Roman"/>
                <w:sz w:val="11"/>
                <w:szCs w:val="11"/>
                <w:color w:val="auto"/>
                <w:w w:val="98"/>
              </w:rPr>
              <w:t>), GAS-twenty three Ltd. (</w:t>
            </w:r>
            <w:r>
              <w:rPr>
                <w:rFonts w:ascii="Times New Roman" w:cs="Times New Roman" w:eastAsia="Times New Roman" w:hAnsi="Times New Roman"/>
                <w:sz w:val="11"/>
                <w:szCs w:val="11"/>
                <w:i w:val="1"/>
                <w:iCs w:val="1"/>
                <w:color w:val="auto"/>
                <w:w w:val="98"/>
              </w:rPr>
              <w:t>GasLog Gladstone</w:t>
            </w:r>
            <w:r>
              <w:rPr>
                <w:rFonts w:ascii="Times New Roman" w:cs="Times New Roman" w:eastAsia="Times New Roman" w:hAnsi="Times New Roman"/>
                <w:sz w:val="11"/>
                <w:szCs w:val="11"/>
                <w:color w:val="auto"/>
                <w:w w:val="98"/>
              </w:rPr>
              <w:t>), GAS-twenty seven</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Ltd. (</w:t>
            </w:r>
            <w:r>
              <w:rPr>
                <w:rFonts w:ascii="Times New Roman" w:cs="Times New Roman" w:eastAsia="Times New Roman" w:hAnsi="Times New Roman"/>
                <w:sz w:val="11"/>
                <w:szCs w:val="11"/>
                <w:i w:val="1"/>
                <w:iCs w:val="1"/>
                <w:color w:val="auto"/>
              </w:rPr>
              <w:t>Methane Becki Anne</w:t>
            </w:r>
            <w:r>
              <w:rPr>
                <w:rFonts w:ascii="Times New Roman" w:cs="Times New Roman" w:eastAsia="Times New Roman" w:hAnsi="Times New Roman"/>
                <w:sz w:val="11"/>
                <w:szCs w:val="11"/>
                <w:color w:val="auto"/>
              </w:rPr>
              <w:t>), GAS-twenty eight Ltd. (</w:t>
            </w:r>
            <w:r>
              <w:rPr>
                <w:rFonts w:ascii="Times New Roman" w:cs="Times New Roman" w:eastAsia="Times New Roman" w:hAnsi="Times New Roman"/>
                <w:sz w:val="11"/>
                <w:szCs w:val="11"/>
                <w:i w:val="1"/>
                <w:iCs w:val="1"/>
                <w:color w:val="auto"/>
              </w:rPr>
              <w:t>GasLog Windsor</w:t>
            </w:r>
            <w:r>
              <w:rPr>
                <w:rFonts w:ascii="Times New Roman" w:cs="Times New Roman" w:eastAsia="Times New Roman" w:hAnsi="Times New Roman"/>
                <w:sz w:val="11"/>
                <w:szCs w:val="11"/>
                <w:color w:val="auto"/>
              </w:rPr>
              <w:t>), GAS-thirty Ltd. (</w:t>
            </w:r>
            <w:r>
              <w:rPr>
                <w:rFonts w:ascii="Times New Roman" w:cs="Times New Roman" w:eastAsia="Times New Roman" w:hAnsi="Times New Roman"/>
                <w:sz w:val="11"/>
                <w:szCs w:val="11"/>
                <w:i w:val="1"/>
                <w:iCs w:val="1"/>
                <w:color w:val="auto"/>
              </w:rPr>
              <w:t>GasLog Westminster</w:t>
            </w:r>
            <w:r>
              <w:rPr>
                <w:rFonts w:ascii="Times New Roman" w:cs="Times New Roman" w:eastAsia="Times New Roman" w:hAnsi="Times New Roman"/>
                <w:sz w:val="11"/>
                <w:szCs w:val="11"/>
                <w:color w:val="auto"/>
              </w:rPr>
              <w:t>),</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w w:val="99"/>
              </w:rPr>
              <w:t>GAS-thirty one Ltd. (</w:t>
            </w:r>
            <w:r>
              <w:rPr>
                <w:rFonts w:ascii="Times New Roman" w:cs="Times New Roman" w:eastAsia="Times New Roman" w:hAnsi="Times New Roman"/>
                <w:sz w:val="11"/>
                <w:szCs w:val="11"/>
                <w:i w:val="1"/>
                <w:iCs w:val="1"/>
                <w:color w:val="auto"/>
                <w:w w:val="99"/>
              </w:rPr>
              <w:t>GasLog Wales</w:t>
            </w:r>
            <w:r>
              <w:rPr>
                <w:rFonts w:ascii="Times New Roman" w:cs="Times New Roman" w:eastAsia="Times New Roman" w:hAnsi="Times New Roman"/>
                <w:sz w:val="11"/>
                <w:szCs w:val="11"/>
                <w:color w:val="auto"/>
                <w:w w:val="99"/>
              </w:rPr>
              <w:t>), GAS-thirty two Ltd. (</w:t>
            </w:r>
            <w:r>
              <w:rPr>
                <w:rFonts w:ascii="Times New Roman" w:cs="Times New Roman" w:eastAsia="Times New Roman" w:hAnsi="Times New Roman"/>
                <w:sz w:val="11"/>
                <w:szCs w:val="11"/>
                <w:i w:val="1"/>
                <w:iCs w:val="1"/>
                <w:color w:val="auto"/>
                <w:w w:val="99"/>
              </w:rPr>
              <w:t>GasLog Georgetown</w:t>
            </w:r>
            <w:r>
              <w:rPr>
                <w:rFonts w:ascii="Times New Roman" w:cs="Times New Roman" w:eastAsia="Times New Roman" w:hAnsi="Times New Roman"/>
                <w:sz w:val="11"/>
                <w:szCs w:val="11"/>
                <w:color w:val="auto"/>
                <w:w w:val="99"/>
              </w:rPr>
              <w:t>), GAS-thirty three Ltd. (</w:t>
            </w:r>
            <w:r>
              <w:rPr>
                <w:rFonts w:ascii="Times New Roman" w:cs="Times New Roman" w:eastAsia="Times New Roman" w:hAnsi="Times New Roman"/>
                <w:sz w:val="11"/>
                <w:szCs w:val="11"/>
                <w:i w:val="1"/>
                <w:iCs w:val="1"/>
                <w:color w:val="auto"/>
                <w:w w:val="99"/>
              </w:rPr>
              <w:t>GasLog</w:t>
            </w:r>
          </w:p>
        </w:tc>
      </w:tr>
      <w:tr>
        <w:trPr>
          <w:trHeight w:val="122"/>
        </w:trPr>
        <w:tc>
          <w:tcPr>
            <w:tcW w:w="2300" w:type="dxa"/>
            <w:vAlign w:val="bottom"/>
            <w:tcBorders>
              <w:left w:val="single" w:sz="8" w:color="auto"/>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i w:val="1"/>
                <w:iCs w:val="1"/>
                <w:color w:val="auto"/>
              </w:rPr>
              <w:t>Galveston</w:t>
            </w:r>
            <w:r>
              <w:rPr>
                <w:rFonts w:ascii="Times New Roman" w:cs="Times New Roman" w:eastAsia="Times New Roman" w:hAnsi="Times New Roman"/>
                <w:sz w:val="11"/>
                <w:szCs w:val="11"/>
                <w:color w:val="auto"/>
              </w:rPr>
              <w:t>), GAS-thirty four Ltd. (</w:t>
            </w:r>
            <w:r>
              <w:rPr>
                <w:rFonts w:ascii="Times New Roman" w:cs="Times New Roman" w:eastAsia="Times New Roman" w:hAnsi="Times New Roman"/>
                <w:sz w:val="11"/>
                <w:szCs w:val="11"/>
                <w:i w:val="1"/>
                <w:iCs w:val="1"/>
                <w:color w:val="auto"/>
              </w:rPr>
              <w:t>GasLog Wellington</w:t>
            </w:r>
            <w:r>
              <w:rPr>
                <w:rFonts w:ascii="Times New Roman" w:cs="Times New Roman" w:eastAsia="Times New Roman" w:hAnsi="Times New Roman"/>
                <w:sz w:val="11"/>
                <w:szCs w:val="11"/>
                <w:color w:val="auto"/>
              </w:rPr>
              <w:t>), GAS-thirty five Ltd. (</w:t>
            </w:r>
            <w:r>
              <w:rPr>
                <w:rFonts w:ascii="Times New Roman" w:cs="Times New Roman" w:eastAsia="Times New Roman" w:hAnsi="Times New Roman"/>
                <w:sz w:val="11"/>
                <w:szCs w:val="11"/>
                <w:i w:val="1"/>
                <w:iCs w:val="1"/>
                <w:color w:val="auto"/>
              </w:rPr>
              <w:t>GasLog Winchester</w:t>
            </w:r>
            <w:r>
              <w:rPr>
                <w:rFonts w:ascii="Times New Roman" w:cs="Times New Roman" w:eastAsia="Times New Roman" w:hAnsi="Times New Roman"/>
                <w:sz w:val="11"/>
                <w:szCs w:val="11"/>
                <w:color w:val="auto"/>
              </w:rPr>
              <w:t>) and GasLog</w:t>
            </w:r>
          </w:p>
        </w:tc>
      </w:tr>
      <w:tr>
        <w:trPr>
          <w:trHeight w:val="137"/>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Hellas-1 Special Maritime Enterprise (</w:t>
            </w:r>
            <w:r>
              <w:rPr>
                <w:rFonts w:ascii="Times New Roman" w:cs="Times New Roman" w:eastAsia="Times New Roman" w:hAnsi="Times New Roman"/>
                <w:sz w:val="11"/>
                <w:szCs w:val="11"/>
                <w:i w:val="1"/>
                <w:iCs w:val="1"/>
                <w:color w:val="auto"/>
              </w:rPr>
              <w:t>GasLog Warsaw</w:t>
            </w:r>
            <w:r>
              <w:rPr>
                <w:rFonts w:ascii="Times New Roman" w:cs="Times New Roman" w:eastAsia="Times New Roman" w:hAnsi="Times New Roman"/>
                <w:sz w:val="11"/>
                <w:szCs w:val="11"/>
                <w:color w:val="auto"/>
              </w:rPr>
              <w:t>) as joint and several guarantors.</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$2,257.5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$542.5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SOFR + applicable margin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2028 (plus two one-year extension options)</w:t>
            </w:r>
          </w:p>
        </w:tc>
      </w:tr>
      <w:tr>
        <w:trPr>
          <w:trHeight w:val="101"/>
        </w:trPr>
        <w:tc>
          <w:tcPr>
            <w:tcW w:w="2300" w:type="dxa"/>
            <w:vAlign w:val="bottom"/>
            <w:tcBorders>
              <w:left w:val="single" w:sz="8" w:color="auto"/>
              <w:right w:val="single" w:sz="8" w:color="auto"/>
            </w:tcBorders>
          </w:tcPr>
          <w:p>
            <w:pPr>
              <w:spacing w:after="0"/>
              <w:rPr>
                <w:sz w:val="8"/>
                <w:szCs w:val="8"/>
                <w:color w:val="auto"/>
              </w:rPr>
            </w:pPr>
          </w:p>
        </w:tc>
        <w:tc>
          <w:tcPr>
            <w:tcW w:w="2460" w:type="dxa"/>
            <w:vAlign w:val="bottom"/>
            <w:tcBorders>
              <w:right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02" w:lineRule="exact"/>
              <w:rPr>
                <w:sz w:val="20"/>
                <w:szCs w:val="20"/>
                <w:color w:val="auto"/>
              </w:rPr>
            </w:pPr>
            <w:r>
              <w:rPr>
                <w:rFonts w:ascii="Times New Roman" w:cs="Times New Roman" w:eastAsia="Times New Roman" w:hAnsi="Times New Roman"/>
                <w:sz w:val="11"/>
                <w:szCs w:val="11"/>
                <w:color w:val="auto"/>
                <w:w w:val="98"/>
              </w:rPr>
              <w:t>The total facility amount reduces in 20 equal quarterly amounts of $45.3 million, with a final balloon amount of up</w:t>
            </w:r>
          </w:p>
        </w:tc>
      </w:tr>
      <w:tr>
        <w:trPr>
          <w:trHeight w:val="135"/>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to $1.9 billion, together with the last quarterly reduction in November 2028.</w:t>
            </w:r>
          </w:p>
        </w:tc>
      </w:tr>
      <w:tr>
        <w:trPr>
          <w:trHeight w:val="115"/>
        </w:trPr>
        <w:tc>
          <w:tcPr>
            <w:tcW w:w="2300" w:type="dxa"/>
            <w:vAlign w:val="bottom"/>
            <w:tcBorders>
              <w:left w:val="single" w:sz="8" w:color="auto"/>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GasLog Hong Kong SLB</w:t>
            </w: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Sea 190 Leasing</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GAS-twenty five Ltd. (</w:t>
            </w:r>
            <w:r>
              <w:rPr>
                <w:rFonts w:ascii="Times New Roman" w:cs="Times New Roman" w:eastAsia="Times New Roman" w:hAnsi="Times New Roman"/>
                <w:sz w:val="11"/>
                <w:szCs w:val="11"/>
                <w:i w:val="1"/>
                <w:iCs w:val="1"/>
                <w:color w:val="auto"/>
              </w:rPr>
              <w:t>GasLog Hong Kong</w:t>
            </w:r>
            <w:r>
              <w:rPr>
                <w:rFonts w:ascii="Times New Roman" w:cs="Times New Roman" w:eastAsia="Times New Roman" w:hAnsi="Times New Roman"/>
                <w:sz w:val="11"/>
                <w:szCs w:val="11"/>
                <w:color w:val="auto"/>
              </w:rPr>
              <w:t>)</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$131.4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N/A</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SOFR + applicable margin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2032</w:t>
            </w:r>
          </w:p>
        </w:tc>
      </w:tr>
      <w:tr>
        <w:trPr>
          <w:trHeight w:val="101"/>
        </w:trPr>
        <w:tc>
          <w:tcPr>
            <w:tcW w:w="2300" w:type="dxa"/>
            <w:vAlign w:val="bottom"/>
            <w:tcBorders>
              <w:left w:val="single" w:sz="8" w:color="auto"/>
              <w:right w:val="single" w:sz="8" w:color="auto"/>
            </w:tcBorders>
          </w:tcPr>
          <w:p>
            <w:pPr>
              <w:spacing w:after="0"/>
              <w:rPr>
                <w:sz w:val="8"/>
                <w:szCs w:val="8"/>
                <w:color w:val="auto"/>
              </w:rPr>
            </w:pPr>
          </w:p>
        </w:tc>
        <w:tc>
          <w:tcPr>
            <w:tcW w:w="2460" w:type="dxa"/>
            <w:vAlign w:val="bottom"/>
            <w:tcBorders>
              <w:right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02" w:lineRule="exact"/>
              <w:rPr>
                <w:sz w:val="20"/>
                <w:szCs w:val="20"/>
                <w:color w:val="auto"/>
              </w:rPr>
            </w:pPr>
            <w:r>
              <w:rPr>
                <w:rFonts w:ascii="Times New Roman" w:cs="Times New Roman" w:eastAsia="Times New Roman" w:hAnsi="Times New Roman"/>
                <w:sz w:val="11"/>
                <w:szCs w:val="11"/>
                <w:color w:val="auto"/>
                <w:w w:val="98"/>
              </w:rPr>
              <w:t>8 equal quarterly installments of $2.7 million, 27 equal quarterly installments of $1.4 million beginning in January</w:t>
            </w:r>
          </w:p>
        </w:tc>
      </w:tr>
      <w:tr>
        <w:trPr>
          <w:trHeight w:val="135"/>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2026, with a final balloon amount $71.4 million concurrently with the last installment in October 2032.</w:t>
            </w:r>
          </w:p>
        </w:tc>
      </w:tr>
      <w:tr>
        <w:trPr>
          <w:trHeight w:val="115"/>
        </w:trPr>
        <w:tc>
          <w:tcPr>
            <w:tcW w:w="2300" w:type="dxa"/>
            <w:vAlign w:val="bottom"/>
            <w:tcBorders>
              <w:left w:val="single" w:sz="8" w:color="auto"/>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GasLog Houston SLB</w:t>
            </w: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Hai Kuo Shipping</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GAS-twenty four Ltd. (</w:t>
            </w:r>
            <w:r>
              <w:rPr>
                <w:rFonts w:ascii="Times New Roman" w:cs="Times New Roman" w:eastAsia="Times New Roman" w:hAnsi="Times New Roman"/>
                <w:sz w:val="11"/>
                <w:szCs w:val="11"/>
                <w:i w:val="1"/>
                <w:iCs w:val="1"/>
                <w:color w:val="auto"/>
              </w:rPr>
              <w:t>GasLog Houston</w:t>
            </w:r>
            <w:r>
              <w:rPr>
                <w:rFonts w:ascii="Times New Roman" w:cs="Times New Roman" w:eastAsia="Times New Roman" w:hAnsi="Times New Roman"/>
                <w:sz w:val="11"/>
                <w:szCs w:val="11"/>
                <w:color w:val="auto"/>
              </w:rPr>
              <w:t>)</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$143.1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N/A</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SOFR + applicable margin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2029</w:t>
            </w:r>
          </w:p>
        </w:tc>
      </w:tr>
      <w:tr>
        <w:trPr>
          <w:trHeight w:val="101"/>
        </w:trPr>
        <w:tc>
          <w:tcPr>
            <w:tcW w:w="2300" w:type="dxa"/>
            <w:vAlign w:val="bottom"/>
            <w:tcBorders>
              <w:left w:val="single" w:sz="8" w:color="auto"/>
              <w:right w:val="single" w:sz="8" w:color="auto"/>
            </w:tcBorders>
          </w:tcPr>
          <w:p>
            <w:pPr>
              <w:spacing w:after="0"/>
              <w:rPr>
                <w:sz w:val="8"/>
                <w:szCs w:val="8"/>
                <w:color w:val="auto"/>
              </w:rPr>
            </w:pPr>
          </w:p>
        </w:tc>
        <w:tc>
          <w:tcPr>
            <w:tcW w:w="2460" w:type="dxa"/>
            <w:vAlign w:val="bottom"/>
            <w:tcBorders>
              <w:right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02" w:lineRule="exact"/>
              <w:rPr>
                <w:sz w:val="20"/>
                <w:szCs w:val="20"/>
                <w:color w:val="auto"/>
              </w:rPr>
            </w:pPr>
            <w:r>
              <w:rPr>
                <w:rFonts w:ascii="Times New Roman" w:cs="Times New Roman" w:eastAsia="Times New Roman" w:hAnsi="Times New Roman"/>
                <w:sz w:val="11"/>
                <w:szCs w:val="11"/>
                <w:color w:val="auto"/>
                <w:w w:val="99"/>
              </w:rPr>
              <w:t>20 quarterly installments of $2.1 million each and a final balloon payment of $101.6 million payable concurrently</w:t>
            </w:r>
          </w:p>
        </w:tc>
      </w:tr>
      <w:tr>
        <w:trPr>
          <w:trHeight w:val="135"/>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with the last quarterly installment in January 2029.</w:t>
            </w:r>
          </w:p>
        </w:tc>
      </w:tr>
      <w:tr>
        <w:trPr>
          <w:trHeight w:val="115"/>
        </w:trPr>
        <w:tc>
          <w:tcPr>
            <w:tcW w:w="2300" w:type="dxa"/>
            <w:vAlign w:val="bottom"/>
            <w:tcBorders>
              <w:left w:val="single" w:sz="8" w:color="auto"/>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GasLog 4xNB SLB Facility</w:t>
            </w: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CMBFL</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GAS-thirty eight Ltd., GAS-thirty nine Ltd., GAS-forty Ltd. GAS-forty one Ltd.</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$185.9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$576.7 million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SOFR + applicable margin</w:t>
            </w:r>
          </w:p>
        </w:tc>
      </w:tr>
      <w:tr>
        <w:trPr>
          <w:trHeight w:val="115"/>
        </w:trPr>
        <w:tc>
          <w:tcPr>
            <w:tcW w:w="230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9"/>
                <w:szCs w:val="9"/>
                <w:color w:val="auto"/>
              </w:rPr>
              <w:t>2034 and 2035</w:t>
            </w:r>
            <w:r>
              <w:rPr>
                <w:rFonts w:ascii="Times New Roman" w:cs="Times New Roman" w:eastAsia="Times New Roman" w:hAnsi="Times New Roman"/>
                <w:sz w:val="13"/>
                <w:szCs w:val="13"/>
                <w:color w:val="auto"/>
                <w:vertAlign w:val="superscript"/>
              </w:rPr>
              <w:t>(1)</w:t>
            </w:r>
          </w:p>
        </w:tc>
      </w:tr>
      <w:tr>
        <w:trPr>
          <w:trHeight w:val="136"/>
        </w:trPr>
        <w:tc>
          <w:tcPr>
            <w:tcW w:w="230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No installments prior to delivery.</w:t>
            </w:r>
          </w:p>
        </w:tc>
      </w:tr>
      <w:tr>
        <w:trPr>
          <w:trHeight w:val="209"/>
        </w:trPr>
        <w:tc>
          <w:tcPr>
            <w:tcW w:w="230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GAS-thirty eight Ltd.: 40 consecutive quarterly installments of $0.83 million each and a final balloon payment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$33.4 million payable concurrently with the last quarterly installment.</w:t>
            </w:r>
          </w:p>
        </w:tc>
      </w:tr>
      <w:tr>
        <w:trPr>
          <w:trHeight w:val="224"/>
        </w:trPr>
        <w:tc>
          <w:tcPr>
            <w:tcW w:w="2300" w:type="dxa"/>
            <w:vAlign w:val="bottom"/>
            <w:tcBorders>
              <w:left w:val="single" w:sz="8" w:color="auto"/>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nine Ltd.: 40 consecutive quarterly installments of $0.85 million each and a final balloon payment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$34.0 million payable concurrently with the last quarterly installment.</w:t>
            </w:r>
          </w:p>
        </w:tc>
      </w:tr>
      <w:tr>
        <w:trPr>
          <w:trHeight w:val="224"/>
        </w:trPr>
        <w:tc>
          <w:tcPr>
            <w:tcW w:w="2300" w:type="dxa"/>
            <w:vAlign w:val="bottom"/>
            <w:tcBorders>
              <w:left w:val="single" w:sz="8" w:color="auto"/>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GAS-forty Ltd.: 40 consecutive quarterly installments of $0.32 million each and a final balloon payment of $12.8</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payable concurrently with the last quarterly installment.</w:t>
            </w:r>
          </w:p>
        </w:tc>
      </w:tr>
      <w:tr>
        <w:trPr>
          <w:trHeight w:val="224"/>
        </w:trPr>
        <w:tc>
          <w:tcPr>
            <w:tcW w:w="2300" w:type="dxa"/>
            <w:vAlign w:val="bottom"/>
            <w:tcBorders>
              <w:left w:val="single" w:sz="8" w:color="auto"/>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GAS-forty one Ltd.: 40 consecutive quarterly installments of $0.32 million each and a final balloon payment of</w:t>
            </w:r>
          </w:p>
        </w:tc>
      </w:tr>
      <w:tr>
        <w:trPr>
          <w:trHeight w:val="135"/>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$12.8 million payable concurrently with the last quarterly installment.</w:t>
            </w:r>
          </w:p>
        </w:tc>
      </w:tr>
      <w:tr>
        <w:trPr>
          <w:trHeight w:val="82"/>
        </w:trPr>
        <w:tc>
          <w:tcPr>
            <w:tcW w:w="2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5180" w:type="dxa"/>
            <w:vAlign w:val="bottom"/>
          </w:tcPr>
          <w:p>
            <w:pPr>
              <w:spacing w:after="0"/>
              <w:rPr>
                <w:sz w:val="7"/>
                <w:szCs w:val="7"/>
                <w:color w:val="auto"/>
              </w:rPr>
            </w:pPr>
          </w:p>
        </w:tc>
      </w:tr>
    </w:tbl>
    <w:p>
      <w:pPr>
        <w:spacing w:after="0" w:line="4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Maturity dates are scheduled ten years from the drawdown date of each individual vessel loan based on the vessel’s actual or scheduled delivery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credit facilities are secured as follows:</w:t>
      </w:r>
    </w:p>
    <w:p>
      <w:pPr>
        <w:spacing w:after="0" w:line="22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ships except in the case of the sale and leaseback transactions;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from us, the 23 vessel owning companies securing the Sustainability Facility, GasLog Carriers, the Partnership and GasLog Partners Holdings LLC; charter guarantees from us in relation to the GasLog Hong Kong SLB, the GasLog Houston SLB and the 4xNB SLB Facility;</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our facilities, a pledge or a negative pledge of the share capital of the respective borrower; and</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our facilities, a first assignment of all earnings and insurances related to the ship owned by the respective borrower.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Events of Default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credit facilities impose certain operating and financial restrictions on us. These restrictions generally limit our subsidiaries’ ability to, among other things:</w:t>
      </w:r>
    </w:p>
    <w:p>
      <w:pPr>
        <w:spacing w:after="0" w:line="162"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w:t>
      </w:r>
    </w:p>
    <w:p>
      <w:pPr>
        <w:spacing w:after="0" w:line="17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form of credit or financial assistance to, or enter into any non-arms’ length transactions with, us or any of our affiliates;</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a number of our ships;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transactions;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charter;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shipbuilding contracts;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manager of our ships;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 or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make investments or enter into any joint venture arrangements outside of the ordinary course of business.</w:t>
      </w:r>
    </w:p>
    <w:p>
      <w:pPr>
        <w:spacing w:after="0" w:line="23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credit facilities also impose specified financial covenants that apply to us and our subsidiaries on a consolidated basis. These financial covenants include the following:</w:t>
      </w:r>
    </w:p>
    <w:p>
      <w:pPr>
        <w:spacing w:after="0" w:line="162"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indebtedness divided by our total assets must not exceed 75.0%;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cash deposits must be at least $75.0 million;</w:t>
      </w:r>
    </w:p>
    <w:p>
      <w:pPr>
        <w:spacing w:after="0" w:line="22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 and short-term cash deposits are at least $110.0 million;</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pay dividends subject to no event of default having occurred or occurring as a consequence of the payment of such dividends;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value adjusted net worth must at all times be not less than $350.0 million.</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1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total facility amount in the case of the Sustainability Facility, 100% in the case of the 4xNB SLBs (following the vessels’ delivery), 100% in the case of the GasLog Hong Kong SLB and 110% in the case of the GasLog Houston SLB, of the then outstanding amount under the applicable facility. If we fail to comply with these covenants and are not able to obtain covenant waivers or modifications, our lenders could require us to make cancellations and/or prepayments or provide additional collateral sufficient to bring us into compliance with such covenants, and if we fail to do so our lenders could accelerate our indebtedness.</w:t>
      </w:r>
    </w:p>
    <w:p>
      <w:pPr>
        <w:spacing w:after="0" w:line="18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Compliance with the financial covenants is required on a semi-annual basis and we were in compliance with the respective financial covenants as of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Facility</w:t>
      </w:r>
    </w:p>
    <w:p>
      <w:pPr>
        <w:spacing w:after="0" w:line="227"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On November 2, 2023, GasLog signed the Sustainability Facility. The Sustainability Facility has a five-year tenor and includes two one-year optional extensions at the discretion of the lenders upon the request of the borrower and bears interest at SOFR plus a margin which includes an adjustment based on certain key performance indicators.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purpose of the facility was the refinancing of the existing facilities of the 23 vessels upon first drawdown and general working capital purposes for any subsequent utilization. As such, the amount of $2.1 billion was drawn on November 14, 2023 to prepay the existing facilities of the 23 vessels. The availability under the facility reduces in 20 equal quarterly installments of $45.3 million starting three months after signing and a balloon payment of $1.9 billion five years from signing. The Company can draw and repay any amount subject to certain conditions, up to the available amount under the facility at any point in time. On December 22, 2023, an additional amount of $129.5 million was drawn under the Sustainability 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Hong Kong SLB</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21, 2020, GasLog’s subsidiary GAS-twenty five Ltd., entered into a sale and leaseback transaction with Sea 190 Leasing in order to refinance the outstanding indebtedness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The transaction comprises of $163.4 million which was raised on October 21, 2020, out of which $136.8 million was used to refinance the outstanding indebtedness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GAS-twenty five Ltd., has chartered back the vessel on a bareboat basis for up to twelve years and has re-purchase options on pre-agreed terms no earlier than the end of year one and no later than the end of year twelve of the bareboat charter. In March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 The facility amortizes over 20 equal quarterly installments of $2.7 million beginning in January 2021, 27 equal quarterly installments of $1.4 million beginning in January 2026, with a final balloon amount of $71.4 million payable concurrently with the last installment in October 2032.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bareboat charter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Houston SLB</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22, 2021, GasLog’s subsidiary, GAS-twenty four Ltd., entered into a sale and leaseback transaction with Hai Kuo Shipping in order to refinance the outstanding indebtedness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The transaction comprises of $166.0 million which was raised on January 22, 2021, out of which $130.9 million was used to refinance the outstanding indebtedness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GAS-twenty four Ltd. has chartered back the vessel on a bareboat basis for up to eight years and has obligation to re-purchase the vessels at the end of the bareboat charter. GAS-twenty four Ltd. has also re-purchase options on pre-agreed terms no earlier than the first interest period and no later than the end of year eight of the bareboat charter. In July 2023, a supplemental agreement was entered into, which provided for the transition of the rate of interest on the facility to a risk-free rate. It was agreed that the margin would remain unchanged, and the facility transitioned from LIBOR to the CME Term SOFR rate as administered by CME Group CBA plus the applicable CAS, effective July 22, 2023. The facility amortizes over 31 equal quarterly installments of $2.1 million beginning in April 2021, with a final balloon amount of $101.6 million payable concurrently with the last installment in January 2029.</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bareboat charter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4xNB SLB Facility</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July 6, 2022, GAS-thirty eight Ltd., GAS-thirty nine Ltd., GAS-forty Ltd. GAS-forty one Ltd (each a “Seller/Charterer”) entered into sale and leaseback transactions with each of Sea 311 Leasing Co. Limited, Sea 312 Leasing Co. Limited, Sea 313 Leasing Co. Limited and Sea 314 Leasing Co. Limited (each a/an “Buyer/Owner”). The agreements of up to an aggregate of $762.6 million of sale and leaseback facilities partially finance the delivery of four newbuilds scheduled to be delivered in 2024 and 2025. During the construction of the vessels, the Buyers/Owners will provide an amount equal to 32.5% of the contract price per vessel to partially finance the pre-delivery installments payable by the Sellers/Charterers pursuant to the relevant shipbuilding contract. Drawing of the respective amounts requires no amortization or repayment during vessel construction and the facility bears interest at SOFR plus a margin. Upon delivery of the vessels, the Buyers/Owners will provide an amount that finances up to 92.5% of the shipbuilding contract or the fair market value of each vessel on delivery. Post-delivery the facility bears interest at SOFR plus a margin and amortizes based on a 20-year profile from delivery over a 10-year period.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GasLog 4xNB SLB Facility is subject to our financial covenants and to our customary restrictions and events of default.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November 27, 2019, GasLog completed the issuance of NOK 900 million (equivalent to $98.6 million) of NOK 2024 Bonds in the Norwegian bond market. The NOK 2024 Bonds will mature in November 2024 and bear interest at Norwegian Interbank Offered Rate (“NIBOR”) plus margin. Interest payments shall be made in arrears on a quarterly basis. We may redeem the aforementioned bond in whole or in part as from May 2024 at 101% of par plus accrued interests on the redeemed amount.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the NOK 2024 Bonds we are required to comply with the financial covenants listed below:</w:t>
      </w:r>
    </w:p>
    <w:p>
      <w:pPr>
        <w:spacing w:after="0" w:line="225"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not be less than $0;</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cash deposits must be at least $75.0 million;</w:t>
      </w:r>
    </w:p>
    <w:p>
      <w:pPr>
        <w:spacing w:after="0" w:line="157" w:lineRule="exact"/>
        <w:rPr>
          <w:rFonts w:ascii="Times New Roman" w:cs="Times New Roman" w:eastAsia="Times New Roman" w:hAnsi="Times New Roman"/>
          <w:sz w:val="18"/>
          <w:szCs w:val="18"/>
          <w:color w:val="auto"/>
        </w:rPr>
      </w:pPr>
    </w:p>
    <w:p>
      <w:pPr>
        <w:ind w:left="680" w:right="220" w:hanging="321"/>
        <w:spacing w:after="0" w:line="281"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equivalents and short-term cash deposits are at least $110.0 million; and</w:t>
      </w:r>
    </w:p>
    <w:p>
      <w:pPr>
        <w:spacing w:after="0" w:line="9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market value adjusted net worth must at all times be not less than $350.0 million.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terms of the NOK 2024 Bonds include a dividend restriction according to which we may not make distributions that in aggregate exceed during any calendar year $1.10/share. Notwithstanding the foregoing, GasLog may make any amount of distributions, so long as the Group’s cash and cash equivalents and short-term cash deposits exceed $150.0 million, provided that GasLog can demonstrate, by delivering a compliance certificate to the bond trustee, that no event of default is continuing or would result from such Distributions.</w:t>
      </w:r>
    </w:p>
    <w:p>
      <w:pPr>
        <w:spacing w:after="0" w:line="18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Compliance with covenants under the NOK 2024 Bonds is required at all times and we were in compliance with the respective financial covenants as of December 31, 2022.</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24, 2021, GasLog entered into the Note Purchase Agreement with the Purchasers and Wilmington Trust (London) Limited, as administrative agent, for an amount of up to $325.0 million of the 2029 Notes. The Note Purchase Agreement allows for the issuance of additional notes in an amount up to $100.0 million for the purpose of refinancing existing obligations or pursuing new growth opportunities.</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March 21, 2022, GasLog proceeded with the issuance of $315.0 million of the 2029 Notes in connection with the Note Purchase Agreement and completed the refinancing of the Company’s 8.875% Senior Notes.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2029 Notes were issued at 99.25% of face value and bear a fixed interest rate of 7.75%. The Purchasers received an upfront fee of 0.75% on signing and shall receive a ticking fee of 1.5% from signing until drawing. Under certain conditions, the Company may elect to pay interest in kind up to three times, with the interest rate increasing to 9.75% for the applicable quarter.</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The Note Purchase Agreement requires that the Company comply with financial covenants that are identical to GasLog’s financial covenants as described in Note 13 of our audited consolidated financial statements included elsewhere in this annual report. Upon funding, the Purchasers will obtain a charge on the shares of GasLog Carriers held by the Company and a pledge on a designated bank account of GasLog Carriers.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 million.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July 2023, GasLog proceeded with a partial prepayment of the 2029 Notes in the amount of $15.0 million and the amount outstanding as of December 31, 2023 is $300.0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about our exposure to market risks, see “Item 11. 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commitments for capital expenditures related primarily to four contracted LNG carriers on order were approximately $576.7 million. Amounts are payable under each shipbuilding contract in installments upon the attainment of certain specified milestones in each ship’s construction, with the largest portion of the purchase price for each ship coming due upon its delivery. These commitments will be funded from borrowings under the 4xNB SLB Facility, available cash and cash from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fund the amounts committed from our cash available,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on our Preference Shares and materially adversely affect our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incur expenditures relating to inspections for acquiring new vessels. Such expenditures are insignificant and are expensed as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our critical accounting judgments and key sources of estimation uncertainty in applying our accounting policies, see Note 2 to our consolidated financial statements included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Our estimates of recoverable value assume that the vessels are all in seaworthy condition without need for repair and certified in class without notations of any kind.</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Group obtains charter-free market values for its vessels from independent and internationally recognized ship brokers on a semi-annual basis, which are also commonly used and accepted by the Group’s lenders for determining compliance with the relevant covenants in the Group’s credit facilities. Vessel values can be highly volatile, so the charter-free market values may not be indicative of the future market value of the Group’s vessels, or prices that could be achieved if it were to sell them.</w:t>
      </w:r>
    </w:p>
    <w:p>
      <w:pPr>
        <w:spacing w:after="0" w:line="18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2023, the Group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 TFDE LNG carrier built in 2013 and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a TFDE LNG carrier built in 2014, each with a wholly owned subsidiary of CDBL. The vessels were remeasured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lower of their carrying amounts and fair values less costs to sell, resulting in the recognition of an impairment loss of $0.1 million and $6.1 million, respectively.</w:t>
      </w:r>
    </w:p>
    <w:p>
      <w:pPr>
        <w:spacing w:after="0" w:line="180"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July 17, 2023, GasLog’s subsidiary, GasLog Hellas-2 Special Maritime Enterprise, completed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to an unrelated third party. The vessel was remeasured at the lower of its carrying amount and fair value less costs to sell, resulting in the recognition of an impairment loss of $9.3 million.</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Group concluded that there were no events or circumstances triggering the existence of potential impairment or reversal of impairment of its vessels.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forth in U.S. dollars (i) the historical acquisition cost of our Vessels and Right-of-Use assets and (ii) their carrying value as of December 31, 2022 and December 31,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Carrying values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0" w:type="dxa"/>
            <w:vAlign w:val="bottom"/>
          </w:tcPr>
          <w:p>
            <w:pPr>
              <w:spacing w:after="0"/>
              <w:rPr>
                <w:sz w:val="1"/>
                <w:szCs w:val="1"/>
                <w:color w:val="auto"/>
              </w:rPr>
            </w:pPr>
          </w:p>
        </w:tc>
      </w:tr>
      <w:tr>
        <w:trPr>
          <w:trHeight w:val="117"/>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Built Date</w:t>
            </w: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36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(cbm)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GasLog Savannah</w:t>
            </w:r>
            <w:r>
              <w:rPr>
                <w:rFonts w:ascii="Times New Roman" w:cs="Times New Roman" w:eastAsia="Times New Roman" w:hAnsi="Times New Roman"/>
                <w:sz w:val="24"/>
                <w:szCs w:val="24"/>
                <w:color w:val="auto"/>
                <w:vertAlign w:val="superscript"/>
              </w:rPr>
              <w:t>(3)</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2010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Singapore</w:t>
            </w:r>
            <w:r>
              <w:rPr>
                <w:rFonts w:ascii="Times New Roman" w:cs="Times New Roman" w:eastAsia="Times New Roman" w:hAnsi="Times New Roman"/>
                <w:sz w:val="25"/>
                <w:szCs w:val="25"/>
                <w:color w:val="auto"/>
                <w:vertAlign w:val="superscript"/>
              </w:rPr>
              <w:t>(3)</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160,574</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Skagen</w:t>
            </w:r>
            <w:r>
              <w:rPr>
                <w:rFonts w:ascii="Times New Roman" w:cs="Times New Roman" w:eastAsia="Times New Roman" w:hAnsi="Times New Roman"/>
                <w:sz w:val="25"/>
                <w:szCs w:val="25"/>
                <w:color w:val="auto"/>
                <w:vertAlign w:val="superscript"/>
              </w:rPr>
              <w:t>(2)</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Alexandroupolis</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Seattle</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Athens (ex Methane Lydon Volney)</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Alison Victoria</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151,487</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Saratoga</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Julia Louise</w:t>
            </w:r>
            <w:r>
              <w:rPr>
                <w:rFonts w:ascii="Times New Roman" w:cs="Times New Roman" w:eastAsia="Times New Roman" w:hAnsi="Times New Roman"/>
                <w:sz w:val="25"/>
                <w:szCs w:val="25"/>
                <w:color w:val="auto"/>
                <w:vertAlign w:val="superscript"/>
              </w:rPr>
              <w:t>(2)</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Becki Anne</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173,508</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Salem</w:t>
            </w:r>
            <w:r>
              <w:rPr>
                <w:rFonts w:ascii="Times New Roman" w:cs="Times New Roman" w:eastAsia="Times New Roman" w:hAnsi="Times New Roman"/>
                <w:sz w:val="25"/>
                <w:szCs w:val="25"/>
                <w:color w:val="auto"/>
                <w:vertAlign w:val="superscript"/>
              </w:rPr>
              <w:t>(2)</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164,155</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Houston</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175,623</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Genoa</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186,908</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Hong Kong</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184,483</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Gladstone</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188,533</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Warsaw</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165,594</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Windsor</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170,395</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Wales</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Westminster</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167,516</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Georgetown</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Galveston</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168,405</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Wellington</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177,407</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Winchester</w:t>
            </w:r>
            <w:r>
              <w:rPr>
                <w:rFonts w:ascii="Times New Roman" w:cs="Times New Roman" w:eastAsia="Times New Roman" w:hAnsi="Times New Roman"/>
                <w:sz w:val="25"/>
                <w:szCs w:val="25"/>
                <w:color w:val="auto"/>
                <w:vertAlign w:val="superscript"/>
              </w:rPr>
              <w:t>(5)</w:t>
            </w:r>
          </w:p>
        </w:tc>
        <w:tc>
          <w:tcPr>
            <w:tcW w:w="1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6,810,237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4,893,573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4,340,885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460" w:hanging="332"/>
        <w:spacing w:after="0" w:line="261"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Our owned and bareboat vessels are stated at carrying values (see Note 6 and Note 7 to our consolidated financial statements included elsewhere in this annual report).</w:t>
      </w:r>
    </w:p>
    <w:p>
      <w:pPr>
        <w:spacing w:after="0" w:line="54" w:lineRule="exact"/>
        <w:rPr>
          <w:rFonts w:ascii="Times New Roman" w:cs="Times New Roman" w:eastAsia="Times New Roman" w:hAnsi="Times New Roman"/>
          <w:sz w:val="11"/>
          <w:szCs w:val="11"/>
          <w:color w:val="auto"/>
        </w:rPr>
      </w:pPr>
    </w:p>
    <w:p>
      <w:pPr>
        <w:ind w:left="340" w:right="40" w:hanging="332"/>
        <w:spacing w:after="0" w:line="233"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Indicates vessels which have been remeasured at the lower of their carrying amounts and fair values less costs to sell pursuant to sale or sale and leaseback agreements with third parties and are classified as Right-of-Use Assets in the statement of financial position. In the year ended December 31, 2023, an impairment loss of $0.1 million and $6.1 million was recognized with respect to the sale and leaseback of the </w:t>
      </w:r>
      <w:r>
        <w:rPr>
          <w:rFonts w:ascii="Times New Roman" w:cs="Times New Roman" w:eastAsia="Times New Roman" w:hAnsi="Times New Roman"/>
          <w:sz w:val="14"/>
          <w:szCs w:val="14"/>
          <w:i w:val="1"/>
          <w:iCs w:val="1"/>
          <w:color w:val="auto"/>
        </w:rPr>
        <w:t>GasLog Sydney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GasLog Saratoga</w:t>
      </w:r>
      <w:r>
        <w:rPr>
          <w:rFonts w:ascii="Times New Roman" w:cs="Times New Roman" w:eastAsia="Times New Roman" w:hAnsi="Times New Roman"/>
          <w:sz w:val="14"/>
          <w:szCs w:val="14"/>
          <w:color w:val="auto"/>
        </w:rPr>
        <w:t>, respectively. Each vessel sold and leased-back is recognized as a Right-of-Use Asset at an amount equal to the proportion of its previous carrying amount that reflects the right-of-use retained. No impairment indicators were identified with respect to such assets as of December 31, 2023.</w:t>
      </w:r>
    </w:p>
    <w:p>
      <w:pPr>
        <w:spacing w:after="0" w:line="69" w:lineRule="exact"/>
        <w:rPr>
          <w:rFonts w:ascii="Times New Roman" w:cs="Times New Roman" w:eastAsia="Times New Roman" w:hAnsi="Times New Roman"/>
          <w:sz w:val="11"/>
          <w:szCs w:val="11"/>
          <w:color w:val="auto"/>
        </w:rPr>
      </w:pPr>
    </w:p>
    <w:p>
      <w:pPr>
        <w:ind w:left="340" w:right="120" w:hanging="332"/>
        <w:spacing w:after="0" w:line="241"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our TFDE vessels for which, as of December 31, 2023, the basic charter-free market value is lower than the vessel’s carrying value but no impairment indicators were identified for these vessels as described above. The aggregate carrying value of these vessels exceeds their aggregate basic charter-free market value by $33.3 million as of December 31, 2023.</w:t>
      </w:r>
    </w:p>
    <w:p>
      <w:pPr>
        <w:spacing w:after="0" w:line="68" w:lineRule="exact"/>
        <w:rPr>
          <w:rFonts w:ascii="Times New Roman" w:cs="Times New Roman" w:eastAsia="Times New Roman" w:hAnsi="Times New Roman"/>
          <w:sz w:val="11"/>
          <w:szCs w:val="11"/>
          <w:color w:val="auto"/>
        </w:rPr>
      </w:pPr>
    </w:p>
    <w:p>
      <w:pPr>
        <w:jc w:val="both"/>
        <w:ind w:left="340" w:right="240" w:hanging="332"/>
        <w:spacing w:after="0" w:line="241"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our Steam vessels for which, as of December 31, 2023, the basic charter-free market value is lower than the vessel’s carrying value by $9.6 million as of December 31, 2023. For these vessels, an aggregate impairment loss of $97.8 million was recognized in the past ($56.8 million in 2019, $36.6 million in 2020 and $4.4 million in 2022). For these vessels, no impairment or impairment reversal indicators were identified, as described above.</w:t>
      </w:r>
    </w:p>
    <w:p>
      <w:pPr>
        <w:spacing w:after="0" w:line="68"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vessels for which, as of December 31, 2023, the basic charter-free market value is higher than the vessel’s carrying value.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Group did not recognize any impairment (other than related to the sale and sale and leasback transactions described above) or reversal of impairment for its owned and bareboat vessels.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The business address of each of our executive officers and directors listed below is 69 Akti Miaouli, 18537 Piraeus, Greece. Our telephone number at that address is +30 210 459 1000. The following directors have been determined by our board of directors to be independent under the standards of the NYSE and the rules and regulations of the SEC: James C. Berner, Anthony S. Papadimitriou, Julian R. Metherell and Christian A.H. Synetos. Officers are elected from time to time by vote of our board of directors and hold office until a successor is elected.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12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 Livanos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C. Berner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S. Papadimitriou</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Eduard Ruijs</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Director</w:t>
            </w:r>
          </w:p>
        </w:tc>
      </w:tr>
      <w:tr>
        <w:trPr>
          <w:trHeight w:val="216"/>
        </w:trPr>
        <w:tc>
          <w:tcPr>
            <w:tcW w:w="44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Christian A.H. Synetos</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88"/>
        </w:trPr>
        <w:tc>
          <w:tcPr>
            <w:tcW w:w="248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120" w:type="dxa"/>
            <w:vAlign w:val="bottom"/>
          </w:tcPr>
          <w:p>
            <w:pPr>
              <w:spacing w:after="0"/>
              <w:rPr>
                <w:sz w:val="7"/>
                <w:szCs w:val="7"/>
                <w:color w:val="auto"/>
              </w:rPr>
            </w:pPr>
          </w:p>
        </w:tc>
      </w:tr>
    </w:tbl>
    <w:p>
      <w:pPr>
        <w:spacing w:after="0" w:line="45"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Mr. Eduard Ruijs resigned as director effective March 1, 2023.</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Mr. Synetos was appointed as director effective March 1, 2023.</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G. Livanos </w:t>
      </w:r>
      <w:r>
        <w:rPr>
          <w:rFonts w:ascii="Times New Roman" w:cs="Times New Roman" w:eastAsia="Times New Roman" w:hAnsi="Times New Roman"/>
          <w:sz w:val="18"/>
          <w:szCs w:val="18"/>
          <w:color w:val="auto"/>
        </w:rPr>
        <w:t>is our Chairman and a member of our board of directors. Mr. Livanos founded our subsidiary GasLog LNG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2001 and was a director of our subsidiary GasLog Partners from the closing of its initial public offering in May 2014 until June 2020. He has served as our Chairman since the Company was incorporated in July 2003 and he held the role of chief executive officer (“CEO”) from January 2012 until January 2013. Mr. Livanos is the chairman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James C. Berner </w:t>
      </w:r>
      <w:r>
        <w:rPr>
          <w:rFonts w:ascii="Times New Roman" w:cs="Times New Roman" w:eastAsia="Times New Roman" w:hAnsi="Times New Roman"/>
          <w:sz w:val="18"/>
          <w:szCs w:val="18"/>
          <w:color w:val="auto"/>
        </w:rPr>
        <w:t>was appointed to our Board in June 2021 and is a member of the Blackrock Global Infrastructure Funds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Fund Mr. Berner is responsible for deal origination, structuring, execution, monitoring, and exit strategy, focusing on the power generation, shipping and liquefied natural gas sectors. Prior to joining BlackRock in 2017, Mr. Berner was a Managing Director on the Energy Infrastructure team at First Reserve. Prior to joining First Reserve in 2011, Mr. Berner was a Managing Director at General Electric Capital Corporation in the Energy Financial Services division focused on energy investing and lending and worked in the USA, UK and Singapore. Mr. Berner holds a B.A. in History and Government from Cornell University, an M.B.A from the Wharton School and a M.A. in International Affairs from School of Advanced International Studies, Johns Hopkins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Julian R. Metherell </w:t>
      </w:r>
      <w:r>
        <w:rPr>
          <w:rFonts w:ascii="Times New Roman" w:cs="Times New Roman" w:eastAsia="Times New Roman" w:hAnsi="Times New Roman"/>
          <w:sz w:val="18"/>
          <w:szCs w:val="18"/>
          <w:color w:val="auto"/>
        </w:rPr>
        <w:t>has been a member of our board of directors since October 2011. Mr. Metherell is currently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MW&amp;L Capital; he also sits on the board of a number of private companies including Wellsafe, Natural Capital Research and Global Mentor Group. Mr. Metherell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was appointed to the board of directors and audit committee of GasLog Partners in August 2020. Mr. Metherell is a graduate of Manchester University, where he received a B.Sc. degree, and of Cambridge University, where he received an M.B.A.</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Anthony S. Papadimitriou </w:t>
      </w:r>
      <w:r>
        <w:rPr>
          <w:rFonts w:ascii="Times New Roman" w:cs="Times New Roman" w:eastAsia="Times New Roman" w:hAnsi="Times New Roman"/>
          <w:sz w:val="18"/>
          <w:szCs w:val="18"/>
          <w:color w:val="auto"/>
        </w:rPr>
        <w:t>has been a member of our board of directors since November 2011, when he was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Onassis Foundation to serve as one of our directors. Mr. Papadimitriou is the Founding 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8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Christian A.H. Synetos </w:t>
      </w:r>
      <w:r>
        <w:rPr>
          <w:rFonts w:ascii="Times New Roman" w:cs="Times New Roman" w:eastAsia="Times New Roman" w:hAnsi="Times New Roman"/>
          <w:sz w:val="18"/>
          <w:szCs w:val="18"/>
          <w:color w:val="auto"/>
        </w:rPr>
        <w:t>was appointed to our Board in March 2023 and is a member of the BlackRock Global Infrastructure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where his responsibilities include investment origination and structuring, due diligence, execution, monitoring, and exit strategy in essential contracted infrastructure assets and businesses focusing on the long-term trends of decarbonization, decentralization and digitalization and has also been actively involved with investments in Renovalia, PetroFirst and PetroFirst II. Prior to joining BlackRock Global Infrastructure Funds team in 2012, Mr. Synetos spent 5 years with UBS Investment Bank in London where he focused on advising clients in the European utilities industry. Mr. Synetos graduated from Imperial College London with an MEng degree in mechanical engineering in 2007.</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joined GasLog in August 2019 and was Chief Operating Officer (“COO”) from September 2019 to February 2022.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10, 2022, Mr. Enoizi was appointed CEO of GasLog. Mr. Enoizi was appointed CEO of GasLog Partners in August 2021. Prior to joining GasLog, Mr. Enoizi was most recently Managing Director of Stolt Tankers BV Rotterdam, a subsidiary of Stolt Nielsen Limited, where he was responsible for the operation of over 100 chemical tankers, 200 people ashore and over 4,000 seafarers.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a council member of Intertanko and a member of the Global Maritime Forum. Mr. Enoizi has a Masters degree in Naval Architecture and Marine Engineering from the University of Genova.</w:t>
      </w:r>
    </w:p>
    <w:p>
      <w:pPr>
        <w:spacing w:after="0" w:line="18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Achilleas Tasioulas </w:t>
      </w:r>
      <w:r>
        <w:rPr>
          <w:rFonts w:ascii="Times New Roman" w:cs="Times New Roman" w:eastAsia="Times New Roman" w:hAnsi="Times New Roman"/>
          <w:sz w:val="18"/>
          <w:szCs w:val="18"/>
          <w:color w:val="auto"/>
        </w:rPr>
        <w:t>has served as our Chief Financial Officer (“CFO”) and CFO of GasLog Partners since July 2020. He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GasLog in October 2014 as Financial Controller and his role was expanded to Chief Risk Officer, Financial Controller and Head of Tax in August 2017 and Deputy CFO of GasLog in December 2019 and has over 15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He is an ICAEW Fellow Chartered Accountant, has an MSc in Project Analysis, Finance and Investments from the University of York and a BSc in Economics from the University of Macedonia in Greece. Furthermore, he has completed executive education programs in Advance Corporate Finance in London Business School and Strategic Financial Leadership in Stanford University Graduate School of Business.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Konstantinos Karathanos </w:t>
      </w:r>
      <w:r>
        <w:rPr>
          <w:rFonts w:ascii="Times New Roman" w:cs="Times New Roman" w:eastAsia="Times New Roman" w:hAnsi="Times New Roman"/>
          <w:sz w:val="18"/>
          <w:szCs w:val="18"/>
          <w:color w:val="auto"/>
        </w:rPr>
        <w:t>was appointed COO of GasLog and GasLog Partners on February 11, 2022. Prior to this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chairmen of our board committees. Our operational management is headed by our CEO. The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 of 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non-executive directors receive:</w:t>
      </w:r>
    </w:p>
    <w:p>
      <w:pPr>
        <w:spacing w:after="0" w:line="225"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of $132,000;</w:t>
      </w:r>
    </w:p>
    <w:p>
      <w:pPr>
        <w:spacing w:after="0" w:line="17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fees of $50,000 to the chairman of the board, $50,000 to the chairman of the audit and risk committee and $30,000 to the chairmen of the compensation committee and safety and sustainability committee; and</w:t>
      </w:r>
    </w:p>
    <w:p>
      <w:pPr>
        <w:spacing w:after="0" w:line="107" w:lineRule="exact"/>
        <w:rPr>
          <w:rFonts w:ascii="Times New Roman" w:cs="Times New Roman" w:eastAsia="Times New Roman" w:hAnsi="Times New Roman"/>
          <w:sz w:val="18"/>
          <w:szCs w:val="18"/>
          <w:color w:val="auto"/>
        </w:rPr>
      </w:pPr>
    </w:p>
    <w:p>
      <w:pPr>
        <w:ind w:left="680" w:right="260" w:hanging="321"/>
        <w:spacing w:after="0" w:line="297"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fees of $25,000 to each member of the audit and risk committee and $20,000 to each member of the compensation committee and safety and sustainability committee (in each case other than the chairmen of such committees).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annual fees paid to non-executive directors in 2022 was $925,000.</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2023, our executive officers were Paolo Enoizi, Achilleas Tasioulas and Konstantinos Karathanos. Compensation for our executive officers in 2023 consisted of base salary and employee benefits that are generally provided to employees, including eligibility to receive a cash incentive bonus pursuant to a) our Management Incentive Plan, or “MIP” and b) our Long-Term Incentive Plan, or “LTIP”.</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MIP provides all shore-based personnel (which includes our executive officers) an opportunity to earn a cash incentive payment, subject to the achievement of pre-established individual and Company performance objectives. Each participant’s target payout and the weightings assigned to the individual and Company performance objectives are dependent on the participant’s organization level. Company performance is measured against a number of key business indicators (KBI’s), multiplied by a Company Safety Factor, the results of which are overlaid with Board Discretion. Since 2021, the following KBIs are in place: a) Free Cash Flow per Share target</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(15.75%), b) Absolute Return on Invested Capital target (15.75%), c) Commercial Performance (22.5%), d) Operating Running Costs (18%), e) Vessel uptime (18%) and f) ESG Performance (10%). The Company Safety factor is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2022 pursuant to the MIP were determined based on the following weightings: Individual performance (40.0%) and Company performance (60.0%).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LTIP is a cash-based profit-sharing incentive award that is usually granted to critical positions within the Company, including our executive officers, as a retention and engagement tool, in accordance with terms and conditions as included in the plan agreements. On April 1, 2023, we granted our executive officers an aggregate of $2.1 million under the plan. The plan vests incrementally with one quarter vesting on each of the two anniversaries of the grant dates and one-half vesting on the third anniversary of the grant date, subject to the recipients’ continued service within each vesting period without performance conditions. In the event of early termination of service, any unvested portion will be treated in accordance with the plan rules. We generally determine during the March meeting of the board of the directors each year which individuals, if any, will be eligible to receive cash-based compensation awards under the plan for such year and the amount of awards each participant will be eligible to receive. In addition, we intend to grant such awards each year.</w:t>
      </w:r>
    </w:p>
    <w:p>
      <w:pPr>
        <w:spacing w:after="0" w:line="12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aggregate amount of cash compensation, including cash incentive compensation, paid to our executive officers for the year ended December 31, 2023 was $3.1 million.</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did not set aside or accrue any amounts in the year ended December 31, 2023 to provide pension, retirement or similar benefits to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five members. In accordance with the Shareholders Agreement the board of directors shall consist of five directors, two to be appointed by BlackRock and three by certain existing shareholders including Blenheim Holdings and Olympic LNG (the “Existing Shareholders”). See “Item 7. Major Shareholders and Related Party Transactions—B. Related Party Transactions—Shareholders’ Agreement”.</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As a result of the NYSE exemptions,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meets regularly throughout the year. In 2023, the board met 7 times.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8"/>
          <w:szCs w:val="18"/>
          <w:color w:val="auto"/>
        </w:rPr>
        <w:t>Our audit and risk committee consists of Messrs. Berner and Metherell with Mr. Metherell serving as the committee chairman. Our board of directors has affirmatively determined that each of these individuals meets the definition of “independent director” for purposes of serving on an audit committee under applicable SEC and NYSE rules. Mr. Metherell qualifies as an “audit committee financial expert”. The audit and risk committee is responsible for:</w:t>
      </w:r>
    </w:p>
    <w:p>
      <w:pPr>
        <w:spacing w:after="0" w:line="105" w:lineRule="exact"/>
        <w:rPr>
          <w:sz w:val="20"/>
          <w:szCs w:val="20"/>
          <w:color w:val="auto"/>
        </w:rPr>
      </w:pPr>
    </w:p>
    <w:p>
      <w:pPr>
        <w:ind w:left="680" w:right="140" w:hanging="321"/>
        <w:spacing w:after="0" w:line="297"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95" w:lineRule="exact"/>
        <w:rPr>
          <w:rFonts w:ascii="Times New Roman" w:cs="Times New Roman" w:eastAsia="Times New Roman" w:hAnsi="Times New Roman"/>
          <w:sz w:val="18"/>
          <w:szCs w:val="18"/>
          <w:color w:val="auto"/>
        </w:rPr>
      </w:pPr>
    </w:p>
    <w:p>
      <w:pPr>
        <w:ind w:left="680" w:right="260" w:hanging="321"/>
        <w:spacing w:after="0" w:line="281"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96" w:lineRule="exact"/>
        <w:rPr>
          <w:rFonts w:ascii="Times New Roman" w:cs="Times New Roman" w:eastAsia="Times New Roman" w:hAnsi="Times New Roman"/>
          <w:sz w:val="18"/>
          <w:szCs w:val="18"/>
          <w:color w:val="auto"/>
        </w:rPr>
      </w:pPr>
    </w:p>
    <w:p>
      <w:pPr>
        <w:ind w:left="680" w:right="120" w:hanging="321"/>
        <w:spacing w:after="0" w:line="297"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9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earnings press releases, as well as financial information and earnings guidance provided to analysts and rating agencies, with management and the independent auditors;</w:t>
      </w:r>
    </w:p>
    <w:p>
      <w:pPr>
        <w:spacing w:after="0" w:line="107" w:lineRule="exact"/>
        <w:rPr>
          <w:rFonts w:ascii="Times New Roman" w:cs="Times New Roman" w:eastAsia="Times New Roman" w:hAnsi="Times New Roman"/>
          <w:sz w:val="18"/>
          <w:szCs w:val="18"/>
          <w:color w:val="auto"/>
        </w:rPr>
      </w:pPr>
    </w:p>
    <w:p>
      <w:pPr>
        <w:ind w:left="680" w:right="30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financial risk assessment and risk management and monitoring our financial risk and risk management systems;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and separately with management, our internal audit group and the independent auditors;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adequacy of the audit and risk committee’s written charter;</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budget, responsibilities and organizational structure of the internal audit department;</w:t>
      </w:r>
    </w:p>
    <w:p>
      <w:pPr>
        <w:spacing w:after="0" w:line="157" w:lineRule="exact"/>
        <w:rPr>
          <w:rFonts w:ascii="Times New Roman" w:cs="Times New Roman" w:eastAsia="Times New Roman" w:hAnsi="Times New Roman"/>
          <w:sz w:val="18"/>
          <w:szCs w:val="18"/>
          <w:color w:val="auto"/>
        </w:rPr>
      </w:pPr>
    </w:p>
    <w:p>
      <w:pPr>
        <w:ind w:left="680" w:right="8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consideration of all related-party transactions, including matters involving potential conflicts of interest;</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 and</w:t>
      </w:r>
    </w:p>
    <w:p>
      <w:pPr>
        <w:spacing w:after="0" w:line="17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and risk committee by the board of directors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Messrs. Livanos, Berner and Papadimitriou, with Mr. Livanos serving as the committee chairman. The compensation committee is responsible for:</w:t>
      </w:r>
    </w:p>
    <w:p>
      <w:pPr>
        <w:spacing w:after="0" w:line="108" w:lineRule="exact"/>
        <w:rPr>
          <w:sz w:val="20"/>
          <w:szCs w:val="20"/>
          <w:color w:val="auto"/>
        </w:rPr>
      </w:pPr>
    </w:p>
    <w:p>
      <w:pPr>
        <w:ind w:left="680" w:right="200" w:hanging="321"/>
        <w:spacing w:after="0" w:line="297"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full board of directors with respect to the compensation of directors, senior management and other managerial employees reporting to the CEO;</w:t>
      </w:r>
    </w:p>
    <w:p>
      <w:pPr>
        <w:spacing w:after="0" w:line="81" w:lineRule="exact"/>
        <w:rPr>
          <w:rFonts w:ascii="Times New Roman" w:cs="Times New Roman" w:eastAsia="Times New Roman" w:hAnsi="Times New Roman"/>
          <w:sz w:val="18"/>
          <w:szCs w:val="18"/>
          <w:color w:val="auto"/>
        </w:rPr>
      </w:pPr>
    </w:p>
    <w:p>
      <w:pPr>
        <w:ind w:left="680" w:right="660" w:hanging="321"/>
        <w:spacing w:after="0" w:line="297"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the full board of directors with respect to any of the Company’s long-term incentive plans, including any equity-based compensation plans to be adopted; and</w:t>
      </w:r>
    </w:p>
    <w:p>
      <w:pPr>
        <w:spacing w:after="0" w:line="95" w:lineRule="exact"/>
        <w:rPr>
          <w:rFonts w:ascii="Times New Roman" w:cs="Times New Roman" w:eastAsia="Times New Roman" w:hAnsi="Times New Roman"/>
          <w:sz w:val="18"/>
          <w:szCs w:val="18"/>
          <w:color w:val="auto"/>
        </w:rPr>
      </w:pPr>
    </w:p>
    <w:p>
      <w:pPr>
        <w:ind w:left="680" w:right="160" w:hanging="321"/>
        <w:spacing w:after="0" w:line="297"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compensation committee by the board of directors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Sustainability Committee</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Our safety and sustainability committee consists of Messrs. Livanos, Metherell, Ruijs (until his resignation in March 2023) and Synetos (from his appointment in March 2023), with Mr. Livanos serving as the committee chairman. The safety and sustainability committee is responsible for:</w:t>
      </w:r>
    </w:p>
    <w:p>
      <w:pPr>
        <w:spacing w:after="0" w:line="176" w:lineRule="exact"/>
        <w:rPr>
          <w:sz w:val="20"/>
          <w:szCs w:val="20"/>
          <w:color w:val="auto"/>
        </w:rPr>
      </w:pPr>
    </w:p>
    <w:p>
      <w:pPr>
        <w:ind w:left="680" w:hanging="321"/>
        <w:spacing w:after="0" w:line="297"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on an annual basis the Company’s key policies in relation to safety and sustainability (including those relating to operational risks);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development of the Company’s Environmental, Social and Governance (“ESG”) strategy;</w:t>
      </w:r>
    </w:p>
    <w:p>
      <w:pPr>
        <w:spacing w:after="0" w:line="157" w:lineRule="exact"/>
        <w:rPr>
          <w:rFonts w:ascii="Times New Roman" w:cs="Times New Roman" w:eastAsia="Times New Roman" w:hAnsi="Times New Roman"/>
          <w:sz w:val="18"/>
          <w:szCs w:val="18"/>
          <w:color w:val="auto"/>
        </w:rPr>
      </w:pPr>
    </w:p>
    <w:p>
      <w:pPr>
        <w:ind w:left="680" w:right="40" w:hanging="321"/>
        <w:spacing w:after="0" w:line="297"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compliance with relevant legislation, regulation and recommendations for safety and sustainability in all operational areas;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appropriate training is provided for employees in relation to safety and sustainability;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6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management relating to any serious accidents or fatalities and reviewing recommended actions to be taken by management in connection therewith; and</w:t>
      </w:r>
    </w:p>
    <w:p>
      <w:pPr>
        <w:spacing w:after="0" w:line="95" w:lineRule="exact"/>
        <w:rPr>
          <w:rFonts w:ascii="Times New Roman" w:cs="Times New Roman" w:eastAsia="Times New Roman" w:hAnsi="Times New Roman"/>
          <w:sz w:val="18"/>
          <w:szCs w:val="18"/>
          <w:color w:val="auto"/>
        </w:rPr>
      </w:pPr>
    </w:p>
    <w:p>
      <w:pPr>
        <w:ind w:left="680" w:right="122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and effectiveness of the non-financial statements of the Company and any other formal communications relating to the Company’s performance in safety and sustainability.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 xml:space="preserve">http://www.gaslogltd.com. </w:t>
      </w:r>
      <w:r>
        <w:rPr>
          <w:rFonts w:ascii="Times New Roman" w:cs="Times New Roman" w:eastAsia="Times New Roman" w:hAnsi="Times New Roman"/>
          <w:sz w:val="18"/>
          <w:szCs w:val="18"/>
          <w:color w:val="auto"/>
        </w:rPr>
        <w:t>The information contained on or connected to our website is not a part of this annual report. We will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Exemptions from NYSE Corporate Governance Rules</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2023, we had an average of 149 full-time employees based in our offices in Piraeus, London and Singapore. In addition to our shore-based employees, we also employed (directly and through manning agents) approximately 2,019 seafaring staff serving on our owned and managed ships. As we grow, GasLog and its affiliates may expect to recruit a number of additional seafarers qualified to staff and operate our newbuildings, as well as a small number of shore-based personnel.</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requires technically skilled officers and personnel with specialized training. Attracting and retaining engaged, resilient, well-qualified seagoing and shore-based personnel is a top priority, and we offer our people competitive compensation and training and development opportunities. Through our ESG strategy, we are constantly aiming to improve the diversity, equity and inclusion of our workforce and management team, granting access and engagement to a wide pool of talent. In addition, we provide intensive onboard training for our officers and crews to instill a culture focused on the highest operational and safety standards. As a result, we have historically enjoyed high retention rates. In 2023, our retention rate was 97.3% for senior seagoing officers, 95.5% for other seagoing officers and 92.6% for shore staff.</w:t>
      </w:r>
    </w:p>
    <w:p>
      <w:pPr>
        <w:spacing w:after="0" w:line="1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compensation and benefit structure and by certain provisions in some of our time charters, including automatic periodic adjustment and cost review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outstanding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 held by:</w:t>
      </w:r>
    </w:p>
    <w:p>
      <w:pPr>
        <w:spacing w:after="0" w:line="207"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officers as a group; and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known to us to beneficially own 5.0% or more of our shares;</w:t>
      </w:r>
    </w:p>
    <w:p>
      <w:pPr>
        <w:spacing w:after="0" w:line="23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95,389,062 common shares outstanding as of February 29, 2024. Each issued and outstanding common share will entitle the shareholder to one vote. Information for certain holders is based on their latest filings with the SEC or information delivered to us. Except as noted below, the address of all shareholders, officers and directors identified in the table and the accompanying footnotes below is in care of our principal executive offices.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73"/>
        </w:trPr>
        <w:tc>
          <w:tcPr>
            <w:tcW w:w="7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7420" w:type="dxa"/>
            <w:vAlign w:val="bottom"/>
            <w:gridSpan w:val="3"/>
            <w:vMerge w:val="continue"/>
          </w:tcPr>
          <w:p>
            <w:pPr>
              <w:spacing w:after="0"/>
              <w:rPr>
                <w:sz w:val="12"/>
                <w:szCs w:val="12"/>
                <w:color w:val="auto"/>
              </w:rPr>
            </w:pPr>
          </w:p>
        </w:tc>
        <w:tc>
          <w:tcPr>
            <w:tcW w:w="126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Peter G. Livanos</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41,460,198</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Berner</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 Papadimitriou</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Christian A.H. Synetos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5.0% beneficial owners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Alexander S. Onassis Foundation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11,164,904</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42,763,960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44.8 %</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40" w:hanging="332"/>
        <w:spacing w:after="0" w:line="236" w:lineRule="auto"/>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w:t>
      </w:r>
    </w:p>
    <w:p>
      <w:pPr>
        <w:spacing w:after="0" w:line="176" w:lineRule="exact"/>
        <w:rPr>
          <w:rFonts w:ascii="Times New Roman" w:cs="Times New Roman" w:eastAsia="Times New Roman" w:hAnsi="Times New Roman"/>
          <w:sz w:val="11"/>
          <w:szCs w:val="11"/>
          <w:color w:val="auto"/>
        </w:rPr>
      </w:pPr>
    </w:p>
    <w:p>
      <w:pPr>
        <w:ind w:left="340" w:right="60" w:hanging="332"/>
        <w:spacing w:after="0" w:line="241" w:lineRule="auto"/>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indirectly through its wholly owned subsidiary, GEPIF III Crown BidCo L.P. acquired on June 6, 2021.</w:t>
      </w:r>
    </w:p>
    <w:p>
      <w:pPr>
        <w:spacing w:after="0" w:line="204"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related party transactions, see Note 21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GasLog Partners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GasLog Partners was formed by us in January 2014 to acquire, own and operate LNG carriers engaged in LNG transportation under long-term charters, which we define as charters of five full years or more. In May 2014, the Partnership completed its initial public offering and its common units began trading on the NYSE.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GasLog Partners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On April 6, 2023, GasLog entered into the Merger Agreement with GasLog Partners, the general partner and the Merger Sub. Pursuant to the Merger Agreement with GasLog Partners, (i) Merger Sub merged with and into the Partnership, with the Partnership surviving as a direct subsidiary of GasLog and (ii) GasLog acquired the outstanding common units of the Partnership not beneficially owned by GasLog for overall consideration of $8.65 per common unit in cash, consisting in part of a special distribution by the Partnership of $3.28 per common unit in cash that was distributed to the Partnership’s unitholders in connection with the closing of the GasLog Partners Transaction. The remainder was paid by GasLog as merger consideration at the closing of the GasLog Partners Transaction. See “Item 4. Information of the Partnership - History and Development of the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Cash Dividends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entitled to distributions on our general and limited partner interests in GasLog Partners. These interests consist of common units and general partner interests.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holder of the general partner interest in GasLog Partners, we are entitled to all distributions made by GasLog Partners prior to its liquidation in accordance with its percentage interest (6.3% as of December 31, 2023). The general partner, our wholly owned subsidiary, has the right, but not the obligation, to contribute a proportionate amount of capital to GasLog Partners to maintain its general partner interest if the Partnership issues additional units.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received total distributions from GasLog Partners of $146.1 million in 2023.</w:t>
      </w:r>
    </w:p>
    <w:p>
      <w:pPr>
        <w:spacing w:after="0" w:line="22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Partners, GasLog acquired the outstanding common units of the Partnership not already beneficially owned by GasLog. See “Item 4. Information of the Partnership––A. History and Development of the Partnership”.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12, 2014, we entered into an omnibus agreement with GasLog Partners and certain of its subsidiaries. On July 21, 2023, the omnibus agreement. was terminated. The omnibus agreement governed, among other things, (i) when and the extent to which the Partnership and GasLog might compete against each other, (ii) the time and value at which the Partnership might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 Agreement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these restrictions, Mr. Livanos is permitted to engage in the following activities:</w:t>
      </w:r>
    </w:p>
    <w:p>
      <w:pPr>
        <w:spacing w:after="0" w:line="225" w:lineRule="exact"/>
        <w:rPr>
          <w:sz w:val="20"/>
          <w:szCs w:val="20"/>
          <w:color w:val="auto"/>
        </w:rPr>
      </w:pPr>
    </w:p>
    <w:p>
      <w:pPr>
        <w:ind w:left="680" w:right="420" w:hanging="321"/>
        <w:spacing w:after="0" w:line="297"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ownership (a) of minority interests in any business that is not primarily engaged in owning, operating or managing LNG vessels or (b) constituting less than 5.0% of any publicly listed company; and</w:t>
      </w:r>
    </w:p>
    <w:p>
      <w:pPr>
        <w:spacing w:after="0" w:line="95" w:lineRule="exact"/>
        <w:rPr>
          <w:rFonts w:ascii="Times New Roman" w:cs="Times New Roman" w:eastAsia="Times New Roman" w:hAnsi="Times New Roman"/>
          <w:sz w:val="18"/>
          <w:szCs w:val="18"/>
          <w:color w:val="auto"/>
        </w:rPr>
      </w:pPr>
    </w:p>
    <w:p>
      <w:pPr>
        <w:ind w:left="680" w:right="140" w:hanging="321"/>
        <w:spacing w:after="0" w:line="270"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8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restrictions described above do not apply to transactions by independent fund managers not acting under the direction or control of Mr. Livanos or Blenheim Holdings.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noted above, Mr. Livanos and Blenheim Holdings are permitted under the terms of the restrictive covenant agreement to dispose of our common shares in the following circumstances:</w:t>
      </w:r>
    </w:p>
    <w:p>
      <w:pPr>
        <w:spacing w:after="0" w:line="162" w:lineRule="exact"/>
        <w:rPr>
          <w:sz w:val="20"/>
          <w:szCs w:val="20"/>
          <w:color w:val="auto"/>
        </w:rPr>
      </w:pPr>
    </w:p>
    <w:p>
      <w:pPr>
        <w:jc w:val="both"/>
        <w:ind w:left="680" w:right="700" w:hanging="321"/>
        <w:spacing w:after="0" w:line="274"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101" w:lineRule="exact"/>
        <w:rPr>
          <w:rFonts w:ascii="Times New Roman" w:cs="Times New Roman" w:eastAsia="Times New Roman" w:hAnsi="Times New Roman"/>
          <w:sz w:val="18"/>
          <w:szCs w:val="18"/>
          <w:color w:val="auto"/>
        </w:rPr>
      </w:pPr>
    </w:p>
    <w:p>
      <w:pPr>
        <w:ind w:left="680" w:hanging="321"/>
        <w:spacing w:after="0" w:line="297"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95" w:lineRule="exact"/>
        <w:rPr>
          <w:rFonts w:ascii="Times New Roman" w:cs="Times New Roman" w:eastAsia="Times New Roman" w:hAnsi="Times New Roman"/>
          <w:sz w:val="18"/>
          <w:szCs w:val="18"/>
          <w:color w:val="auto"/>
        </w:rPr>
      </w:pPr>
    </w:p>
    <w:p>
      <w:pPr>
        <w:ind w:left="680" w:right="260" w:hanging="321"/>
        <w:spacing w:after="0" w:line="297"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transfer that would result in a change in control of the Company, provided that such change in control has been approved by our board of directors; and</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relating to shares acquired following the effective date of the restrictive covenant agreement.</w:t>
      </w:r>
    </w:p>
    <w:p>
      <w:pPr>
        <w:spacing w:after="0" w:line="23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Space and Related Arrangements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Egypt LNG</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 xml:space="preserve">We have a 25.0% ownership interest in Egypt LNG, whose principal asset is the LNG carrier </w:t>
      </w:r>
      <w:r>
        <w:rPr>
          <w:rFonts w:ascii="Times New Roman" w:cs="Times New Roman" w:eastAsia="Times New Roman" w:hAnsi="Times New Roman"/>
          <w:sz w:val="17"/>
          <w:szCs w:val="17"/>
          <w:i w:val="1"/>
          <w:iCs w:val="1"/>
          <w:color w:val="auto"/>
        </w:rPr>
        <w:t>Methane Nile Eagle</w:t>
      </w:r>
      <w:r>
        <w:rPr>
          <w:rFonts w:ascii="Times New Roman" w:cs="Times New Roman" w:eastAsia="Times New Roman" w:hAnsi="Times New Roman"/>
          <w:sz w:val="17"/>
          <w:szCs w:val="17"/>
          <w:color w:val="auto"/>
        </w:rPr>
        <w:t>, which is currently operating under a 20-year time charter with a subsidiary of Shell. Pursuant to a ship management agreement between GasLog LNG Services and Egypt LNG, the vessel has operated under our technical management since its delivery. From January 1, 2022 to December 31, 2022, we received a total of approximately $0.7 million in revenues from Egypt LNG in respect of our vessel management services.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Agreements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GasLog and GasLog Partners reached agreement with Ceres Shipping Enterprises S.A. (“Ceres Shipping Enterprises”), an entity controlled by the Livanos family, to pay a fee of $1.0 million to Ceres Shipping Enterprises in consideration of the provision of services provided by employees of Ceres Shipping Enterprises in support of the refinancing of all GasLog and GasLog Partners bank debt maturities due in 2021. The $1.0 million fee was paid 60% by GasLog and 40% by GasLog Partners.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2021, GasLog agreed with Ceres Shipping Enterprises that if GasLog proceeded with the refinancing of the 8.875% Senior Notes due 2022, Ceres Shipping Enterprises would receive a fee equal to 10% of the total fees paid by the Company to investment banks in the refinancing process. The fee payable to Ceres Shipping Enterprises was in consideration of the provision of services provided by employees of Ceres Shipping Enterprises in support of the refinancing. The $0.5 million fee was paid in December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 with GEPIF</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February 22, 2021, we announced that GasLog had entered into a Merger Agreement with GEPIF. Under the Merger Agreement, GEPIF would acquire all of the outstanding common shares of GasLog that were not held by the Rolling Shareholders of GasLog in exchange for $5.80 in cash per common share (the “Merger Consideration”).</w:t>
      </w:r>
    </w:p>
    <w:p>
      <w:pPr>
        <w:spacing w:after="0" w:line="17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GasLog announced on June 9, 2021, the completion of the GEPIF Transaction following the special general meeting of GasLog’s shareholders held virtually on June 4, 2021, where the GEPIF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Trading in GasLog’s common shares on the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Rolling Shareholders Agreement (the “Rollover Agreement”), following the consummation of the GEPIF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9, 2021 following the consummation of the GEPIF Transaction, Blenheim Holdings, Blenheim Special, Olympic LNG and the Company entered into a Shareholders’ Agreement with respect to corporate governance and other matters of the Company and the Common Shares. The Shareholders’ Agreement details company board representation, board committees, quorum for board and committee meetings and how to manage conflicts of interest. In addition, the Shareholders’ Agreement covers restrictions on the transfer of common shares, rights of first offer and tag along rights, dividend policy, audit rights and tax matters. The Shareholders’ Agreement also lists matters that require the prior approval of the GEPIF and Blenheim Holdings.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and Approval of Related Party Transactions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 Dividend Requirements</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on April 3, 2023, July 3, 2023, October 2, 2023, December 28, 2023 (in relation to the Partial Redemption) and January 2, 2024. Our Preference Shares dividend payment obligations impact our future liquidity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 Dividend Policy</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any dividend is subject to the discretion of our board of directors and the requirements of Bermuda law. In addition, certain of our credit facilities impose limitations on our ability to pay dividends. When considering the declaration of our preference dividends our board of directors will make their determination based on various factors, including our earnings, financial condition, cash requirements and availability, restrictions in our credit facilities and the provisions of Bermuda law. Accordingly, we cannot guarantee that we will be able to pay preference dividends. See “Item 3. Key Information—D. Risk Factors—Risks Related to Our Business” for a discussion of risks related to our ability to pay dividends.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out below is a table showing the dividends declared on our Preference Shares in 2019, 2020, 2021, 2022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9"/>
        </w:trPr>
        <w:tc>
          <w:tcPr>
            <w:tcW w:w="3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60" w:type="dxa"/>
            <w:vAlign w:val="bottom"/>
            <w:gridSpan w:val="9"/>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(Expressed in millions of U.S. dollars)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 dividend declared</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Statements—Note 29. Subsequent Events”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NYSE</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From our IPO in the United States in 2012 and through to our delisting in June 2021 our common shares were listed on the NYSE under the symbol “GLOG”.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Preference Shares have been trading on the NYSE under the symbol “GLOG PR A” since March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authorized share capital consists of 500,000,000 shares, par value $0.01 per share. As of December 31, 2023, the share capital consisted of 95,389,062 issued and outstanding common shares, par value $0.01 per share and 200,000 issued and outstanding Preference Shares.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of Association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objects of our business are unrestricted, and the Company has the capacity of a natural person. We can therefore undertake activities without restriction on our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authorized shares, 4.6 million have been designated 8.75% Series A Cumulative Redeemable Perpetual Preference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its assets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would thereby be less than its liabilities. Under our bye-laws, each common share is entitled to dividends if, as and when dividends are declared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w:t>
      </w:r>
    </w:p>
    <w:p>
      <w:pPr>
        <w:jc w:val="both"/>
        <w:ind w:firstLine="8"/>
        <w:spacing w:after="0" w:line="253"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sanction of a resolution passed by holders of 75% of the issued shares of the relevant class of shareholders as may be present in person or by proxy at a separate general meeting of the holders of the issued shares of the relevant class. Our bye-laws specify that the creation or issue of shares ranking equally with existing shares will not, unless expressly provided by the terms of issue of existing shares, vary the rights attached to existing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Subject to our Byelaws and the Shareholders’ Agreement, all transfer of common shares must be completed in accordance with Article III of the Shareholders’ Agreement. No transfer of shares is allowed prior to June 6, 2023 without the prior written consent of all the other common shareholders other than transfers to a permitted transferee of a shareholder (as defined in the Shareholders’ Agreement). 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at least five days’ notice of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at least two shareholders present in person or proxy, one of which shall represent BlackRock and one Blenheim Holdings.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Shareholders Agreement the board of directors shall consist of five directors, two to be appointed by BlackRock and three by the Existing Shareholders.</w:t>
      </w:r>
    </w:p>
    <w:p>
      <w:pPr>
        <w:spacing w:after="0" w:line="16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Proceedings of Board of Directors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of our directors is determined by the board of directors, and there is no requirement that a specified number</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or percentage of “independent” directors must approve any such determination. Our directors may also be paid all travel, hotel and other expenses properly incurred by them in connection with our business or their duties as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Conflicts of Interest</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Any conflict of interest question involving one or more of the Company’s directors will be resolved by the audit and risk committee of the board of directors.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Memorandum of Association and Bye-laws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approval of both BlackRock and Blenheim Holdings.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Bermuda law, the holders of an aggregate of not less than 20.0% in par value of a company’s issued share capital or any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have the right to apply to the Supreme Court of Bermuda for an annulment of any amendment of the memorandum of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shareholders at any general meeting, other than an amendment which alters or reduces a company’s share capital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Companies Act. Where such an application is made, the amendment becomes effective only to the extent that it is confirmed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 court. An application for an annulment of an amendment of the memorandum of association must be made within twenty-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days after the date on which the resolution altering the company’s memorandum of association is passed and may be made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persons entitled to make the application by one or more of their number as they may appoint in writing for the purpose. No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made by shareholders voting in favor of the amendment.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Amalgamations, Mergers and Business Combinations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and the Shareholders’ Agreement provide that a merger or an amalgamation must only be approved once the approval of both BlackRock and Blenheim Holdings has been obtained.</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Profits and Reserves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Untraced Shareholders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Bermuda Law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76" w:lineRule="exact"/>
        <w:rPr>
          <w:sz w:val="20"/>
          <w:szCs w:val="20"/>
          <w:color w:val="auto"/>
        </w:rPr>
      </w:pPr>
    </w:p>
    <w:p>
      <w:pPr>
        <w:ind w:left="660" w:right="14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Transactions—B. Related Party Transactions—Office Space and Related Arrangements”.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Plan of Merger dated February 21, 2021 (and as subsequently amended on April 20, 2021) among GasLog Ltd., GEPIF III Crown Bidco L.P. and GEPIF III Crown MergerCo Limited; please see “Item 7. Major Shareholders and Related Party Transactions—B. Related Party Transactions—Merger Agreement”.</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Rollover Agreement dated February 21, 2021 among GasLog Ltd., GEPIF III Crown Bidco L.P. and the Rolling Shareholders, and the Shareholders Agreement attached as Exhibit A thereto; please see “Item 7. Major Shareholders and Related Party Transactions—B. Related Party Transactions—Shareholders’ Agreement”.</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Plan of Merger, dated April 6, 2023, by and among GasLog Partners LP, GasLog Partners GP LLC, GasLog Ltd. and Saturn Merger Sub LLC; please see “Item 4. Information on the Partnership - A. History and Development of the Partnership”.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53"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November 2, 2023, relating to $2,800,000,000 Reducing Revolving Loan Facility among GasLog Ltd. as borrower, Alpha Bank S.A., ABN Amro Bank N.V., BNP Paribas, Citibank, N.A., London, Branch, Credit Suisse AG, Danish Ship Finance A/S, DNB (UK) Limited, ING Bank N.V., London Branch, National Bank of Greece S.A., Nordea Bank Abp, Filial I Norge, Oversea-Chinese Banking Corporation Limited and Standard Chartered Bank (Singapore) Limited as mandated lead arrangers and bookrunners; National Australia Bank Limited and Skandinaviska Enskilda Banken AB (publ) as mandated lead arrangers; DNB Bank ASA, London Branch as Agent and security agent; ABN Amro Bank N.V. as Sustainability Co-ordinator; BNP Paribas and Citibank, N.A., London, Branch, as Global Co-ordinators and GAS-one Ltd., GAS-two Ltd., GAS-four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as Owners and Guarantors; GasLog Partners LP, GasLog Carriers Ltd. and GasLog Partners Holdings LLC as Guarantors; please see “Item 5. Operating and Financial Review and Prospects—B. Liquidity and Capital Resources—Borrowing Activities—Credit Facilities”.</w:t>
      </w:r>
    </w:p>
    <w:p>
      <w:pPr>
        <w:spacing w:after="0" w:line="18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 and Other Limitations Affecting Security Holders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Tax Considerations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Taxation of Our Operating Income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Taxation of Shipping Income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this purpose, U.S. source gross transportation income includes 50% of the shipping income that is attributable to transportation that begins or ends (but that does not both begin and end) in the United States (such 50% being “U.S. Source International Transportation Income”). The other 50% of the income described in the first sentence of this paragraph would not be subject to U.S. income tax. Shipping income attributable to transportation exclusively between non-U.S. ports is generally not subject to any U.S. Federal income tax.</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25" w:lineRule="exact"/>
        <w:rPr>
          <w:sz w:val="20"/>
          <w:szCs w:val="20"/>
          <w:color w:val="auto"/>
        </w:rPr>
      </w:pPr>
    </w:p>
    <w:p>
      <w:pPr>
        <w:ind w:left="980" w:hanging="49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ships;</w:t>
      </w:r>
    </w:p>
    <w:p>
      <w:pPr>
        <w:spacing w:after="0" w:line="225"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leasing of ships for use on a time, operating or bareboat charter basis;</w:t>
      </w:r>
    </w:p>
    <w:p>
      <w:pPr>
        <w:spacing w:after="0" w:line="225" w:lineRule="exact"/>
        <w:rPr>
          <w:rFonts w:ascii="Times New Roman" w:cs="Times New Roman" w:eastAsia="Times New Roman" w:hAnsi="Times New Roman"/>
          <w:sz w:val="18"/>
          <w:szCs w:val="18"/>
          <w:color w:val="auto"/>
        </w:rPr>
      </w:pPr>
    </w:p>
    <w:p>
      <w:pPr>
        <w:ind w:left="980" w:right="320" w:hanging="59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in a pool, partnership, strategic alliance, joint operating agreement or other joint venture we directly or indirectly own or participate in that generates such income; or</w:t>
      </w:r>
    </w:p>
    <w:p>
      <w:pPr>
        <w:spacing w:after="0" w:line="161" w:lineRule="exact"/>
        <w:rPr>
          <w:rFonts w:ascii="Times New Roman" w:cs="Times New Roman" w:eastAsia="Times New Roman" w:hAnsi="Times New Roman"/>
          <w:sz w:val="18"/>
          <w:szCs w:val="18"/>
          <w:color w:val="auto"/>
        </w:rPr>
      </w:pPr>
    </w:p>
    <w:p>
      <w:pPr>
        <w:ind w:left="980" w:hanging="583"/>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services directly related to those uses.</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Under Section 883 of the Code and the regulations thereunder, we will be exempt from U.S. Federal income tax on our U.S. source gross transportation income if:</w:t>
      </w:r>
    </w:p>
    <w:p>
      <w:pPr>
        <w:spacing w:after="0" w:line="162" w:lineRule="exact"/>
        <w:rPr>
          <w:sz w:val="20"/>
          <w:szCs w:val="20"/>
          <w:color w:val="auto"/>
        </w:rPr>
      </w:pPr>
    </w:p>
    <w:p>
      <w:pPr>
        <w:ind w:left="980" w:right="40" w:hanging="49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organized in a foreign country (the “country of organization”) that grants an “equivalent exemption” to corporations organized in the United States; and</w:t>
      </w:r>
    </w:p>
    <w:p>
      <w:pPr>
        <w:spacing w:after="0" w:line="161"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40" w:right="80" w:hanging="333"/>
        <w:spacing w:after="0" w:line="266" w:lineRule="auto"/>
        <w:tabs>
          <w:tab w:leader="none" w:pos="1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175" w:lineRule="exact"/>
        <w:rPr>
          <w:rFonts w:ascii="Times New Roman" w:cs="Times New Roman" w:eastAsia="Times New Roman" w:hAnsi="Times New Roman"/>
          <w:sz w:val="18"/>
          <w:szCs w:val="18"/>
          <w:color w:val="auto"/>
        </w:rPr>
      </w:pPr>
    </w:p>
    <w:p>
      <w:pPr>
        <w:ind w:left="1340" w:right="20" w:hanging="333"/>
        <w:spacing w:after="0" w:line="266" w:lineRule="auto"/>
        <w:tabs>
          <w:tab w:leader="none" w:pos="1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are “primarily and regularly traded on an established securities market” in our country of organization, in another country that grants an equivalent exemption to U.S. corporations, or in the United States (the “Publicly-Traded Test”).</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expect to qualify for the statutory tax exemption for the year of 2023 or for future years. For any tax year in which we are not entitled to the exemption under Section 883, we would be subject to the 4% U.S. federal income tax under Section 887 on our U.S. Source International Transportation Income (subject to the discussion of “effectively connected income” below).</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U.S. source gross transportation income would be considered effectively connected with the conduct of a U.S. trade or business only if:</w:t>
      </w:r>
    </w:p>
    <w:p>
      <w:pPr>
        <w:spacing w:after="0" w:line="162" w:lineRule="exact"/>
        <w:rPr>
          <w:sz w:val="20"/>
          <w:szCs w:val="20"/>
          <w:color w:val="auto"/>
        </w:rPr>
      </w:pPr>
    </w:p>
    <w:p>
      <w:pPr>
        <w:ind w:left="980" w:right="280" w:hanging="49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or were considered to have, a fixed place of business in the United States involved in the earning of U.S. source gross transportation income; and</w:t>
      </w:r>
    </w:p>
    <w:p>
      <w:pPr>
        <w:spacing w:after="0" w:line="161" w:lineRule="exact"/>
        <w:rPr>
          <w:rFonts w:ascii="Times New Roman" w:cs="Times New Roman" w:eastAsia="Times New Roman" w:hAnsi="Times New Roman"/>
          <w:sz w:val="18"/>
          <w:szCs w:val="18"/>
          <w:color w:val="auto"/>
        </w:rPr>
      </w:pPr>
    </w:p>
    <w:p>
      <w:pPr>
        <w:ind w:left="980" w:right="80" w:hanging="544"/>
        <w:spacing w:after="0" w:line="266"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income attributable to transportation that both begins and ends in the United States is not subject to the tax</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Gain on Sale of Shipping Assets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w:t>
      </w:r>
    </w:p>
    <w:p>
      <w:pPr>
        <w:spacing w:after="0" w:line="1" w:lineRule="exact"/>
        <w:rPr>
          <w:sz w:val="20"/>
          <w:szCs w:val="20"/>
          <w:color w:val="auto"/>
        </w:rPr>
      </w:pPr>
    </w:p>
    <w:p>
      <w:pPr>
        <w:ind w:right="280" w:firstLine="8"/>
        <w:spacing w:after="0" w:line="255"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1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Distributions on Our Common Shares and Preference Shares</w:t>
      </w:r>
    </w:p>
    <w:p>
      <w:pPr>
        <w:spacing w:after="0" w:line="22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 first as a nontaxable return of capital to the extent of your tax basis in our common shares or Preference Shares (on a dollar-for-dollar basis) and thereafter as capital gain.</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62" w:lineRule="exact"/>
        <w:rPr>
          <w:sz w:val="20"/>
          <w:szCs w:val="20"/>
          <w:color w:val="auto"/>
        </w:rPr>
      </w:pPr>
    </w:p>
    <w:p>
      <w:pPr>
        <w:ind w:left="980" w:right="80" w:hanging="49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or Preference Shares, as the case may be, are readily tradable on an established securities market in the United States (such as the NYSE);</w:t>
      </w:r>
    </w:p>
    <w:p>
      <w:pPr>
        <w:spacing w:after="0" w:line="161" w:lineRule="exact"/>
        <w:rPr>
          <w:rFonts w:ascii="Times New Roman" w:cs="Times New Roman" w:eastAsia="Times New Roman" w:hAnsi="Times New Roman"/>
          <w:sz w:val="18"/>
          <w:szCs w:val="18"/>
          <w:color w:val="auto"/>
        </w:rPr>
      </w:pPr>
    </w:p>
    <w:p>
      <w:pPr>
        <w:ind w:left="980" w:right="660" w:hanging="54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PFIC for the tax year during which the dividend is paid or the immediately preceding tax year (see the discussion below under “—PFIC Status and Significant Tax Consequences”);</w:t>
      </w:r>
    </w:p>
    <w:p>
      <w:pPr>
        <w:spacing w:after="0" w:line="161" w:lineRule="exact"/>
        <w:rPr>
          <w:rFonts w:ascii="Times New Roman" w:cs="Times New Roman" w:eastAsia="Times New Roman" w:hAnsi="Times New Roman"/>
          <w:sz w:val="18"/>
          <w:szCs w:val="18"/>
          <w:color w:val="auto"/>
        </w:rPr>
      </w:pPr>
    </w:p>
    <w:p>
      <w:pPr>
        <w:ind w:left="980" w:right="240" w:hanging="59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own our common shares or Preference Shares for more than 60 days in the 121-day period beginning 60 days before the date on which the common shares or Preference Shares become ex-dividend;</w:t>
      </w:r>
    </w:p>
    <w:p>
      <w:pPr>
        <w:spacing w:after="0" w:line="161" w:lineRule="exact"/>
        <w:rPr>
          <w:rFonts w:ascii="Times New Roman" w:cs="Times New Roman" w:eastAsia="Times New Roman" w:hAnsi="Times New Roman"/>
          <w:sz w:val="18"/>
          <w:szCs w:val="18"/>
          <w:color w:val="auto"/>
        </w:rPr>
      </w:pPr>
    </w:p>
    <w:p>
      <w:pPr>
        <w:ind w:left="980" w:right="580" w:hanging="583"/>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under an obligation to make related payments with respect to positions in substantially similar or related property; and</w:t>
      </w:r>
    </w:p>
    <w:p>
      <w:pPr>
        <w:spacing w:after="0" w:line="161" w:lineRule="exact"/>
        <w:rPr>
          <w:rFonts w:ascii="Times New Roman" w:cs="Times New Roman" w:eastAsia="Times New Roman" w:hAnsi="Times New Roman"/>
          <w:sz w:val="18"/>
          <w:szCs w:val="18"/>
          <w:color w:val="auto"/>
        </w:rPr>
      </w:pPr>
    </w:p>
    <w:p>
      <w:pPr>
        <w:ind w:left="980" w:hanging="533"/>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Special rules may apply to any “extraordinary dividend”. Generally, an extraordinary dividend is a dividend in an amount that is equal to (or in excess of) 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Shares and Preference Shares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Unearned Income Medicare Contribution Tax</w:t>
      </w:r>
    </w:p>
    <w:p>
      <w:pPr>
        <w:spacing w:after="0" w:line="22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PFIC Status and Significant Tax Consequences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76" w:lineRule="exact"/>
        <w:rPr>
          <w:sz w:val="20"/>
          <w:szCs w:val="20"/>
          <w:color w:val="auto"/>
        </w:rPr>
      </w:pPr>
    </w:p>
    <w:p>
      <w:pPr>
        <w:ind w:left="980" w:right="20" w:hanging="49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75" w:lineRule="exact"/>
        <w:rPr>
          <w:rFonts w:ascii="Times New Roman" w:cs="Times New Roman" w:eastAsia="Times New Roman" w:hAnsi="Times New Roman"/>
          <w:sz w:val="18"/>
          <w:szCs w:val="18"/>
          <w:color w:val="auto"/>
        </w:rPr>
      </w:pPr>
    </w:p>
    <w:p>
      <w:pPr>
        <w:ind w:left="980" w:right="660" w:hanging="54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76"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There are legal uncertainties involved in determining whether the income derived from time 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F.2d 299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charters and the assets engaged in generating such income should not be treated as passive income or assets which produce (or are held for the production of) passive income, respectively, and (ii) we should currently not be a PFIC and in the future, assuming no material change in the nature of our activities and assets.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97"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Making a Timely QEF Election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were a PFIC and if you make a timely election to treat us as a “Qualifying Electing Fund” for U.S. tax purposes (a “QEF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you would be required to report each year your pro rata share of our ordinary earnings and our net capital gain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 that ends with or within your tax year, regardless of whether we make any distributions to you. Such income inclusions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eligible for the preferential tax rates applicable to qualified dividend income (as discussed above under “U.S. Federal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Taxation of U.S. Holders—Distributions on Our Common Shares and Preference Shares”). Your adjusted tax basis in our common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Preference Shares would be increased to reflect such taxed but undistributed earnings and profits. Distributions of earnings and profits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had previously been taxed would result in a corresponding reduction in your adjusted tax basis in our common shares or Preference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would not be taxed again once distributed. You generally would recognize capital gain or loss on the sale, exchange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our common shares or Preference Shares. Even if you make a QEF Election for one of our tax years, if we were a PFIC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prior tax year during which you held our common shares or Preference Shares and for which you did not make a timely QEF Election,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would also be subject to a more adverse regime described below under “—Taxation of U.S. Holders That Make No Election”.</w:t>
      </w:r>
    </w:p>
    <w:p>
      <w:pPr>
        <w:spacing w:after="0" w:line="20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Making a Timely “Mark-to-Market” Election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That Make No Election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183" w:lineRule="exact"/>
        <w:rPr>
          <w:sz w:val="20"/>
          <w:szCs w:val="20"/>
          <w:color w:val="auto"/>
        </w:rPr>
      </w:pPr>
    </w:p>
    <w:p>
      <w:pPr>
        <w:ind w:left="980" w:right="340" w:hanging="49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your aggregate holding period for our common shares or Preference Shares;</w:t>
      </w:r>
    </w:p>
    <w:p>
      <w:pPr>
        <w:spacing w:after="0" w:line="161" w:lineRule="exact"/>
        <w:rPr>
          <w:rFonts w:ascii="Times New Roman" w:cs="Times New Roman" w:eastAsia="Times New Roman" w:hAnsi="Times New Roman"/>
          <w:sz w:val="18"/>
          <w:szCs w:val="18"/>
          <w:color w:val="auto"/>
        </w:rPr>
      </w:pPr>
    </w:p>
    <w:p>
      <w:pPr>
        <w:ind w:left="980" w:right="140" w:hanging="54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75" w:lineRule="exact"/>
        <w:rPr>
          <w:rFonts w:ascii="Times New Roman" w:cs="Times New Roman" w:eastAsia="Times New Roman" w:hAnsi="Times New Roman"/>
          <w:sz w:val="18"/>
          <w:szCs w:val="18"/>
          <w:color w:val="auto"/>
        </w:rPr>
      </w:pPr>
    </w:p>
    <w:p>
      <w:pPr>
        <w:ind w:left="980" w:right="360" w:hanging="59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You are a “non-U.S. holder” if you are a beneficial owner of our common shares or Preference Shares (other than a partnership for U.S. tax purposes) and you are not a U.S. holder.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Distributions on Our Common Shares and Preference Shares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Our Common Shares and Preference Shares</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You generally will not be subject to U.S. Federal income tax or withholding tax on any gain realized upon the sale, exchange or other disposition of our common shares or Preference Shares, unless:</w:t>
      </w:r>
    </w:p>
    <w:p>
      <w:pPr>
        <w:spacing w:after="0" w:line="162" w:lineRule="exact"/>
        <w:rPr>
          <w:sz w:val="20"/>
          <w:szCs w:val="20"/>
          <w:color w:val="auto"/>
        </w:rPr>
      </w:pPr>
    </w:p>
    <w:p>
      <w:pPr>
        <w:ind w:left="980" w:right="120" w:hanging="494"/>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175" w:lineRule="exact"/>
        <w:rPr>
          <w:rFonts w:ascii="Times New Roman" w:cs="Times New Roman" w:eastAsia="Times New Roman" w:hAnsi="Times New Roman"/>
          <w:sz w:val="18"/>
          <w:szCs w:val="18"/>
          <w:color w:val="auto"/>
        </w:rPr>
      </w:pPr>
    </w:p>
    <w:p>
      <w:pPr>
        <w:ind w:left="980" w:right="60" w:hanging="54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during the tax year of disposition and certain other conditions are met.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Backup Withholding and Information Reporting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general, if you are a non-corporate U.S. holder, dividend payments (or other taxable distributions) made within the United States will be subject to information reporting requirements. Backup withholding may apply to such payments if you:</w:t>
      </w:r>
    </w:p>
    <w:p>
      <w:pPr>
        <w:spacing w:after="0" w:line="162" w:lineRule="exact"/>
        <w:rPr>
          <w:sz w:val="20"/>
          <w:szCs w:val="20"/>
          <w:color w:val="auto"/>
        </w:rPr>
      </w:pPr>
    </w:p>
    <w:p>
      <w:pPr>
        <w:ind w:left="980" w:hanging="49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provide an accurate taxpayer identification number;</w:t>
      </w:r>
    </w:p>
    <w:p>
      <w:pPr>
        <w:spacing w:after="0" w:line="225" w:lineRule="exact"/>
        <w:rPr>
          <w:rFonts w:ascii="Times New Roman" w:cs="Times New Roman" w:eastAsia="Times New Roman" w:hAnsi="Times New Roman"/>
          <w:sz w:val="18"/>
          <w:szCs w:val="18"/>
          <w:color w:val="auto"/>
        </w:rPr>
      </w:pPr>
    </w:p>
    <w:p>
      <w:pPr>
        <w:ind w:left="980" w:right="320" w:hanging="54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notified by the IRS that you have failed to report all interest or dividends required to be shown on your U.S. Federal income tax returns; or</w:t>
      </w:r>
    </w:p>
    <w:p>
      <w:pPr>
        <w:spacing w:after="0" w:line="161" w:lineRule="exact"/>
        <w:rPr>
          <w:rFonts w:ascii="Times New Roman" w:cs="Times New Roman" w:eastAsia="Times New Roman" w:hAnsi="Times New Roman"/>
          <w:sz w:val="18"/>
          <w:szCs w:val="18"/>
          <w:color w:val="auto"/>
        </w:rPr>
      </w:pPr>
    </w:p>
    <w:p>
      <w:pPr>
        <w:ind w:left="980" w:hanging="59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 to comply with applicable certification requirements.</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tax is not an additional tax. Rather, you generally may obtain a credit for any amount withheld against its liability for U.S. federal income tax (and obtain a refund of any amounts withheld in excess of such liability) by accurately completing and timely filing certain required information with the IRS.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Return Disclosure</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 Such U.S. individuals are required to file IRS Form 8938 with their U.S. Federal income tax returns. Regulations extend this reporting requirement to certain entities that are treated as formed or availed of to hold direct or indirect interests in specified foreign financial assets based on certain objective criteria. You are encouraged to consult your own tax advisors concerning the filing of IRS Form 8938.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audited consolidated financial statements included elsewhere in this annual report. Further information on our exposure to market risk is included in Note 24 to our audited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2023. Based on our evaluation, the CEO and the CFO have concluded that our disclosure controls and procedures were effective as of December 31, 2023.</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2023.</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the Registered Public Accounting Firm</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delisting of our common shares from the NYSE in June 2021, an attestation report of our registered public accounting firm is not required.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580" w:firstLine="324"/>
        <w:spacing w:after="0" w:line="261" w:lineRule="auto"/>
        <w:rPr>
          <w:sz w:val="20"/>
          <w:szCs w:val="20"/>
          <w:color w:val="auto"/>
        </w:rPr>
      </w:pPr>
      <w:r>
        <w:rPr>
          <w:rFonts w:ascii="Times New Roman" w:cs="Times New Roman" w:eastAsia="Times New Roman" w:hAnsi="Times New Roman"/>
          <w:sz w:val="18"/>
          <w:szCs w:val="18"/>
          <w:color w:val="auto"/>
        </w:rPr>
        <w:t>Julian R. Metherell, whose biographical details are included in “Item 6. Directors, Senior Management and Employees—A. Directors and Senior Management”, qualifies as an “audit committee financial expert”. Our board of directors has affirmatively determined that Mr. Metherell meets the definition of “independent director” for purposes of serving on an audit committee under applicable SEC and NYSE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Company, a copy of which is posted on our website and may be viewed at </w:t>
      </w:r>
      <w:r>
        <w:rPr>
          <w:rFonts w:ascii="Times New Roman" w:cs="Times New Roman" w:eastAsia="Times New Roman" w:hAnsi="Times New Roman"/>
          <w:sz w:val="18"/>
          <w:szCs w:val="18"/>
          <w:i w:val="1"/>
          <w:iCs w:val="1"/>
          <w:color w:val="auto"/>
        </w:rPr>
        <w:t>http://www.gaslogltd.com.</w:t>
      </w:r>
      <w:r>
        <w:rPr>
          <w:rFonts w:ascii="Times New Roman" w:cs="Times New Roman" w:eastAsia="Times New Roman" w:hAnsi="Times New Roman"/>
          <w:sz w:val="18"/>
          <w:szCs w:val="18"/>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LNG Services Ltd., 69 Akti Miaouli, 18537 Piraeus, Greece. No waivers of the Code of Business Conduct and Ethics have been granted to any person during the fiscal year ended December 31, 2023.</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 than 12 months, (y) with respect to the number of Company securities less than or equal to the amount such Covered Person could sell at such time in compliance with Rule 144 under the Securities Act of 1933, as amended, and</w:t>
      </w:r>
    </w:p>
    <w:p>
      <w:pPr>
        <w:spacing w:after="0" w:line="5" w:lineRule="exact"/>
        <w:rPr>
          <w:sz w:val="20"/>
          <w:szCs w:val="20"/>
          <w:color w:val="auto"/>
        </w:rPr>
      </w:pPr>
    </w:p>
    <w:p>
      <w:pPr>
        <w:jc w:val="both"/>
        <w:ind w:right="360" w:firstLine="8"/>
        <w:spacing w:after="0" w:line="253" w:lineRule="auto"/>
        <w:tabs>
          <w:tab w:leader="none" w:pos="2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Deloitte Certified Public Accountants S.A. (PCAOB ID No. 1163), an independent registered public accounting firm, has audited our annual financial statements acting as our independent auditor for the fiscal years ended December 31, 2023 and 2022.</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chart below sets forth the total amount billed and accrued for Deloitte Certified Public Accountants S.A. (PCAOB ID No. 1163) for services performed in 2022 and 2023 and breaks down these amounts by the category of service. The fees paid to our principal accountant were approved in accordance with the pre-approval policies and procedures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04"/>
        </w:trPr>
        <w:tc>
          <w:tcPr>
            <w:tcW w:w="39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gridSpan w:val="3"/>
          </w:tcPr>
          <w:p>
            <w:pPr>
              <w:ind w:left="80"/>
              <w:spacing w:after="0" w:line="104" w:lineRule="exact"/>
              <w:rPr>
                <w:sz w:val="20"/>
                <w:szCs w:val="20"/>
                <w:color w:val="auto"/>
              </w:rPr>
            </w:pPr>
            <w:r>
              <w:rPr>
                <w:rFonts w:ascii="Times New Roman" w:cs="Times New Roman" w:eastAsia="Times New Roman" w:hAnsi="Times New Roman"/>
                <w:sz w:val="12"/>
                <w:szCs w:val="12"/>
                <w:b w:val="1"/>
                <w:bCs w:val="1"/>
                <w:color w:val="auto"/>
                <w:w w:val="88"/>
              </w:rPr>
              <w:t>(Expressed</w:t>
            </w:r>
          </w:p>
        </w:tc>
        <w:tc>
          <w:tcPr>
            <w:tcW w:w="400" w:type="dxa"/>
            <w:vAlign w:val="bottom"/>
          </w:tcPr>
          <w:p>
            <w:pPr>
              <w:jc w:val="right"/>
              <w:ind w:right="27"/>
              <w:spacing w:after="0" w:line="104" w:lineRule="exact"/>
              <w:rPr>
                <w:sz w:val="20"/>
                <w:szCs w:val="20"/>
                <w:color w:val="auto"/>
              </w:rPr>
            </w:pPr>
            <w:r>
              <w:rPr>
                <w:rFonts w:ascii="Times New Roman" w:cs="Times New Roman" w:eastAsia="Times New Roman" w:hAnsi="Times New Roman"/>
                <w:sz w:val="12"/>
                <w:szCs w:val="12"/>
                <w:b w:val="1"/>
                <w:bCs w:val="1"/>
                <w:color w:val="auto"/>
              </w:rPr>
              <w:t>in</w:t>
            </w:r>
          </w:p>
        </w:tc>
        <w:tc>
          <w:tcPr>
            <w:tcW w:w="900" w:type="dxa"/>
            <w:vAlign w:val="bottom"/>
          </w:tcPr>
          <w:p>
            <w:pPr>
              <w:spacing w:after="0"/>
              <w:rPr>
                <w:sz w:val="9"/>
                <w:szCs w:val="9"/>
                <w:color w:val="auto"/>
              </w:rPr>
            </w:pPr>
          </w:p>
        </w:tc>
      </w:tr>
      <w:tr>
        <w:trPr>
          <w:trHeight w:val="149"/>
        </w:trPr>
        <w:tc>
          <w:tcPr>
            <w:tcW w:w="39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900" w:type="dxa"/>
            <w:vAlign w:val="bottom"/>
          </w:tcPr>
          <w:p>
            <w:pPr>
              <w:spacing w:after="0"/>
              <w:rPr>
                <w:sz w:val="12"/>
                <w:szCs w:val="12"/>
                <w:color w:val="auto"/>
              </w:rPr>
            </w:pPr>
          </w:p>
        </w:tc>
      </w:tr>
      <w:tr>
        <w:trPr>
          <w:trHeight w:val="173"/>
        </w:trPr>
        <w:tc>
          <w:tcPr>
            <w:tcW w:w="39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900" w:type="dxa"/>
            <w:vAlign w:val="bottom"/>
          </w:tcPr>
          <w:p>
            <w:pPr>
              <w:spacing w:after="0"/>
              <w:rPr>
                <w:sz w:val="15"/>
                <w:szCs w:val="15"/>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0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0.8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0"/>
        </w:trPr>
        <w:tc>
          <w:tcPr>
            <w:tcW w:w="3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(a) the audit of the consolidated financial statements of the Company and GasLog Partners and (b) the audit of the financial statements for its individual subsidiary companies, (c) fees for the review of the quarterly financial information, as well as (d) in connection with the review of registration statements and related consents and comfort letters, and any other services required for SEC or other regulatory filings.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all purchases of our preference shares by our affiliated purchasers for the period ended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3"/>
        </w:trPr>
        <w:tc>
          <w:tcPr>
            <w:tcW w:w="5280" w:type="dxa"/>
            <w:vAlign w:val="bottom"/>
            <w:gridSpan w:val="3"/>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May 2023</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September 2023 </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acquired these shares in open-market transactions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December 28, 2023, GasLog completed the Partial Redemption held by shareholders of record as of November 27, 2023, pursuant to the Certificate of Designations. The redemption price of the Series A Preference Shares was $25.00 per share plus accrued and unpaid dividends in respect of the Series A Preference Shares up to, but not including, the redemption date of December 28, 2023. The Company funded the Partial Redemption with proceeds of borrowings under its existing Sustainability Facility. The Series A Preference Shares redeemed in connection with the Partial Redemption are no longer outstanding and all rights with respect to such stock have ceased and terminated. The Series A Preference Shares not redeemed in connection with the Partial Redemption remain issued and outstanding and subject to all the terms provided in the Certificate of Designations.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Before the Partial Redemption, on August 2, 2023, the board of directors of GasLog had approved a preference share repurchase programme of up to $35.0 million of Series A Preference Shares, effective immediately. Since the inception of the repurchase programme and prior to the Partial Redemption, GasLog had repurchased an aggregate of 58,319 of Series A Preference Shares at a weighted average price of $24.64 per preference share, for a total amount of $1.4 million, including commissions.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COMPANY’S CERTIFYING ACCOUNTANT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Statement of Significant Differences Between Our Corporate Governance Practices and the NYSE Corporate Governance Standards for U.S. Non-Controlled Issuers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on our Preference Shares. The significant differences between our corporate governance practices and the NYSE standards applicable to listed U.S. companies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GasLog’s business operations, including our onshore operations and vessel operations, rely on information and operational technology systems, which could be targeted by computer hackers and cyber terrorists. We rely on information systems for a significant part of our operations, including for the steering, navigation and propulsion systems of our vessels, communications and cargo management.</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in place safety and security measures on our vessels and onshore operations to secure our vessels against cybersecurity incidents. Our processes for assessing, identifying and managing material risks from cybersecurity threats include:</w:t>
      </w:r>
    </w:p>
    <w:p>
      <w:pPr>
        <w:spacing w:after="0" w:line="162" w:lineRule="exact"/>
        <w:rPr>
          <w:sz w:val="20"/>
          <w:szCs w:val="20"/>
          <w:color w:val="auto"/>
        </w:rPr>
      </w:pPr>
    </w:p>
    <w:p>
      <w:pPr>
        <w:ind w:left="660" w:right="260" w:hanging="328"/>
        <w:spacing w:after="0" w:line="289"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processes designed in accordance with international standards guidelines including the National Institute of Standards and Technology (NIST) Core Framework, BS ISO/IEC 27001, BS ISO/IEC 27002, the Tanker Management Self-Assessment (TMSA) 13 Elements, BIMCO, IMO Guidelines and International Ship and Port Facility Security (ISPS) Code;</w:t>
      </w:r>
    </w:p>
    <w:p>
      <w:pPr>
        <w:sectPr>
          <w:pgSz w:w="11900" w:h="16838" w:orient="portrait"/>
          <w:cols w:equalWidth="0" w:num="1">
            <w:col w:w="9840"/>
          </w:cols>
          <w:pgMar w:left="980" w:top="661" w:right="10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2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protection mechanisms such as access procedures, antivirus programs, endpoint detection &amp; response, maintaining a firewall and antispam, anti-phishing and email filtering processes;</w:t>
      </w:r>
    </w:p>
    <w:p>
      <w:pPr>
        <w:spacing w:after="0" w:line="94"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the Company’s cybersecurity measures;</w:t>
      </w:r>
    </w:p>
    <w:p>
      <w:pPr>
        <w:spacing w:after="0" w:line="11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procedures to assess personnel’s compliance with information security procedures and to test the condition of the Company’s technology infrastructure;</w:t>
      </w:r>
    </w:p>
    <w:p>
      <w:pPr>
        <w:spacing w:after="0" w:line="94"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vulnerability assessment and penetration testing (“VATP”) on shore and on vessels to review our cybersecurity weaknesses, using either internal competencies or external firms;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multi-vendor approach to reduce the risk of the compromise of a major cybersecurity vendor;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comprehensive cybersecurity training for both ship and shore personnel.</w:t>
      </w:r>
    </w:p>
    <w:p>
      <w:pPr>
        <w:spacing w:after="0" w:line="15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have processes to oversee and identify cybersecurity risks from cybersecurity threats associated with our use of suppliers, vendors, third-party service providers and IT support companies. These include the use of cybersecurity questionnaires, the performance of contract reviews to ensure IT-related compliance and the mitigation of identified information security risks and the sharing of our information security and acceptable use policy.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the internal policies mentioned above to implement reporting procedures for any cybersecurity incident and a cybersecurity management framework to continuously monitor and access risk. These policies are developed and periodically reviewed by our IT steering committee. The processes outlined above have also been integrated into our overall risk management strategy.</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how risks from cybersecurity threats could materially affect us, including our business strategy, results of operations or financial condition, see “Item 3. Key Information—D. Risk Factors—Risks related to our Company—We rely on our information systems to conduct our business and failure to protect these systems against security breaches could materially disrupt our business and adversely affect our results of operations,” which is incorporated by reference into this Item 16K.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has ultimate responsibility for the oversight of cybersecurity risks and responses to cybersecurity incidents, should they arise. The Audit Committee receives quarterly updates about cybersecurity threats and processes from the CEO.</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key management body responsible for accessing and managing material risks from cybersecurity threats is our IT steering committee which is made up of the CEO, the COO, the CFO, the Head of Information, Communication and Technology (“ICT”) and the Business Process Innovation Manager. The IT steering committee periodically extends invitations to additional participants.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IT steering committee receives information from the Head of ICT regarding the monitoring, prevention, detection, mitigation and remediation of cybersecurity incidents logged by the ICT department, our Duty Officer and the Cybersecurity Incident Response Team (“CSIRT”). Our Cyber Security Officer (“CySO”) is responsible for researching, developing, implementing, testing and reviewing our information security to protect information and prevent unauthorized access. Our procedures provide that, to the extent any cybersecurity incident occurs, the Head of ICT or the CySO is the immediate contact. The CSIRT and IT steering committee then take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the Company’s reporting and disclosure obligations.</w:t>
      </w:r>
    </w:p>
    <w:p>
      <w:pPr>
        <w:sectPr>
          <w:pgSz w:w="11900" w:h="16838" w:orient="portrait"/>
          <w:cols w:equalWidth="0" w:num="1">
            <w:col w:w="9840"/>
          </w:cols>
          <w:pgMar w:left="980" w:top="66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F-59 included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780" w:type="dxa"/>
            <w:vAlign w:val="bottom"/>
            <w:gridSpan w:val="29"/>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920" w:type="dxa"/>
            <w:vAlign w:val="bottom"/>
            <w:tcBorders>
              <w:top w:val="single" w:sz="8" w:color="auto"/>
              <w:bottom w:val="single" w:sz="8" w:color="auto"/>
            </w:tcBorders>
            <w:vMerge w:val="restart"/>
          </w:tcPr>
          <w:p>
            <w:pPr>
              <w:jc w:val="right"/>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tcBorders>
              <w:top w:val="single" w:sz="8" w:color="auto"/>
              <w:bottom w:val="single" w:sz="8" w:color="auto"/>
            </w:tcBorders>
            <w:gridSpan w:val="12"/>
            <w:vMerge w:val="restart"/>
          </w:tcPr>
          <w:p>
            <w:pPr>
              <w:spacing w:after="0" w:line="169"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Amended Memorandum of Association of GasLog Ltd.</w:t>
              </w:r>
            </w:hyperlink>
          </w:p>
        </w:tc>
        <w:tc>
          <w:tcPr>
            <w:tcW w:w="160" w:type="dxa"/>
            <w:vAlign w:val="bottom"/>
            <w:tcBorders>
              <w:top w:val="single" w:sz="8" w:color="auto"/>
              <w:bottom w:val="single" w:sz="8" w:color="0000EE"/>
            </w:tcBorders>
          </w:tcPr>
          <w:p>
            <w:pPr>
              <w:jc w:val="right"/>
              <w:spacing w:after="0" w:line="102" w:lineRule="exact"/>
              <w:rPr>
                <w:rFonts w:ascii="Times New Roman" w:cs="Times New Roman" w:eastAsia="Times New Roman" w:hAnsi="Times New Roman"/>
                <w:sz w:val="11"/>
                <w:szCs w:val="11"/>
                <w:color w:val="0000EE"/>
              </w:rPr>
            </w:pPr>
            <w:hyperlink r:id="rId129">
              <w:r>
                <w:rPr>
                  <w:rFonts w:ascii="Times New Roman" w:cs="Times New Roman" w:eastAsia="Times New Roman" w:hAnsi="Times New Roman"/>
                  <w:sz w:val="11"/>
                  <w:szCs w:val="11"/>
                  <w:color w:val="0000EE"/>
                </w:rPr>
                <w:t>(3)</w:t>
              </w:r>
            </w:hyperlink>
          </w:p>
        </w:tc>
        <w:tc>
          <w:tcPr>
            <w:tcW w:w="48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1140" w:type="dxa"/>
            <w:vAlign w:val="bottom"/>
            <w:tcBorders>
              <w:top w:val="single" w:sz="8" w:color="auto"/>
              <w:bottom w:val="single" w:sz="8" w:color="auto"/>
            </w:tcBorders>
            <w:vMerge w:val="restart"/>
          </w:tcPr>
          <w:p>
            <w:pPr>
              <w:spacing w:after="0"/>
              <w:rPr>
                <w:sz w:val="10"/>
                <w:szCs w:val="10"/>
                <w:color w:val="auto"/>
              </w:rPr>
            </w:pPr>
          </w:p>
        </w:tc>
        <w:tc>
          <w:tcPr>
            <w:tcW w:w="40" w:type="dxa"/>
            <w:vAlign w:val="bottom"/>
            <w:tcBorders>
              <w:top w:val="single" w:sz="8" w:color="auto"/>
              <w:bottom w:val="single" w:sz="8" w:color="auto"/>
            </w:tcBorders>
            <w:vMerge w:val="restart"/>
          </w:tcPr>
          <w:p>
            <w:pPr>
              <w:spacing w:after="0"/>
              <w:rPr>
                <w:sz w:val="10"/>
                <w:szCs w:val="10"/>
                <w:color w:val="auto"/>
              </w:rPr>
            </w:pPr>
          </w:p>
        </w:tc>
        <w:tc>
          <w:tcPr>
            <w:tcW w:w="280" w:type="dxa"/>
            <w:vAlign w:val="bottom"/>
            <w:tcBorders>
              <w:top w:val="single" w:sz="8" w:color="auto"/>
              <w:bottom w:val="single" w:sz="8" w:color="auto"/>
            </w:tcBorders>
            <w:vMerge w:val="restart"/>
          </w:tcPr>
          <w:p>
            <w:pPr>
              <w:spacing w:after="0"/>
              <w:rPr>
                <w:sz w:val="10"/>
                <w:szCs w:val="10"/>
                <w:color w:val="auto"/>
              </w:rPr>
            </w:pPr>
          </w:p>
        </w:tc>
        <w:tc>
          <w:tcPr>
            <w:tcW w:w="160" w:type="dxa"/>
            <w:vAlign w:val="bottom"/>
            <w:tcBorders>
              <w:top w:val="single" w:sz="8" w:color="auto"/>
              <w:bottom w:val="single" w:sz="8" w:color="auto"/>
            </w:tcBorders>
            <w:vMerge w:val="restart"/>
          </w:tcPr>
          <w:p>
            <w:pPr>
              <w:spacing w:after="0"/>
              <w:rPr>
                <w:sz w:val="10"/>
                <w:szCs w:val="10"/>
                <w:color w:val="auto"/>
              </w:rPr>
            </w:pPr>
          </w:p>
        </w:tc>
        <w:tc>
          <w:tcPr>
            <w:tcW w:w="240" w:type="dxa"/>
            <w:vAlign w:val="bottom"/>
            <w:tcBorders>
              <w:top w:val="single" w:sz="8" w:color="auto"/>
              <w:bottom w:val="single" w:sz="8" w:color="auto"/>
            </w:tcBorders>
            <w:vMerge w:val="restart"/>
          </w:tcPr>
          <w:p>
            <w:pPr>
              <w:spacing w:after="0"/>
              <w:rPr>
                <w:sz w:val="10"/>
                <w:szCs w:val="10"/>
                <w:color w:val="auto"/>
              </w:rPr>
            </w:pPr>
          </w:p>
        </w:tc>
        <w:tc>
          <w:tcPr>
            <w:tcW w:w="160" w:type="dxa"/>
            <w:vAlign w:val="bottom"/>
            <w:tcBorders>
              <w:top w:val="single" w:sz="8" w:color="auto"/>
              <w:bottom w:val="single" w:sz="8" w:color="auto"/>
            </w:tcBorders>
            <w:vMerge w:val="restart"/>
          </w:tcPr>
          <w:p>
            <w:pPr>
              <w:spacing w:after="0"/>
              <w:rPr>
                <w:sz w:val="10"/>
                <w:szCs w:val="10"/>
                <w:color w:val="auto"/>
              </w:rPr>
            </w:pPr>
          </w:p>
        </w:tc>
        <w:tc>
          <w:tcPr>
            <w:tcW w:w="780" w:type="dxa"/>
            <w:vAlign w:val="bottom"/>
            <w:tcBorders>
              <w:top w:val="single" w:sz="8" w:color="auto"/>
              <w:bottom w:val="single" w:sz="8" w:color="auto"/>
            </w:tcBorders>
            <w:vMerge w:val="restart"/>
          </w:tcPr>
          <w:p>
            <w:pPr>
              <w:spacing w:after="0"/>
              <w:rPr>
                <w:sz w:val="10"/>
                <w:szCs w:val="10"/>
                <w:color w:val="auto"/>
              </w:rPr>
            </w:pPr>
          </w:p>
        </w:tc>
        <w:tc>
          <w:tcPr>
            <w:tcW w:w="140" w:type="dxa"/>
            <w:vAlign w:val="bottom"/>
            <w:tcBorders>
              <w:top w:val="single" w:sz="8" w:color="auto"/>
              <w:bottom w:val="single" w:sz="8" w:color="auto"/>
            </w:tcBorders>
            <w:vMerge w:val="restart"/>
          </w:tcPr>
          <w:p>
            <w:pPr>
              <w:spacing w:after="0"/>
              <w:rPr>
                <w:sz w:val="10"/>
                <w:szCs w:val="10"/>
                <w:color w:val="auto"/>
              </w:rPr>
            </w:pPr>
          </w:p>
        </w:tc>
        <w:tc>
          <w:tcPr>
            <w:tcW w:w="80" w:type="dxa"/>
            <w:vAlign w:val="bottom"/>
            <w:tcBorders>
              <w:top w:val="single" w:sz="8" w:color="auto"/>
              <w:bottom w:val="single" w:sz="8" w:color="auto"/>
            </w:tcBorders>
            <w:vMerge w:val="restart"/>
          </w:tcPr>
          <w:p>
            <w:pPr>
              <w:spacing w:after="0"/>
              <w:rPr>
                <w:sz w:val="10"/>
                <w:szCs w:val="10"/>
                <w:color w:val="auto"/>
              </w:rPr>
            </w:pPr>
          </w:p>
        </w:tc>
        <w:tc>
          <w:tcPr>
            <w:tcW w:w="220" w:type="dxa"/>
            <w:vAlign w:val="bottom"/>
            <w:tcBorders>
              <w:top w:val="single" w:sz="8" w:color="auto"/>
              <w:bottom w:val="single" w:sz="8" w:color="auto"/>
            </w:tcBorders>
            <w:vMerge w:val="restart"/>
          </w:tcPr>
          <w:p>
            <w:pPr>
              <w:spacing w:after="0"/>
              <w:rPr>
                <w:sz w:val="10"/>
                <w:szCs w:val="10"/>
                <w:color w:val="auto"/>
              </w:rPr>
            </w:pPr>
          </w:p>
        </w:tc>
        <w:tc>
          <w:tcPr>
            <w:tcW w:w="340" w:type="dxa"/>
            <w:vAlign w:val="bottom"/>
            <w:tcBorders>
              <w:top w:val="single" w:sz="8" w:color="auto"/>
              <w:bottom w:val="single" w:sz="8" w:color="auto"/>
            </w:tcBorders>
            <w:vMerge w:val="restart"/>
          </w:tcPr>
          <w:p>
            <w:pPr>
              <w:spacing w:after="0"/>
              <w:rPr>
                <w:sz w:val="10"/>
                <w:szCs w:val="10"/>
                <w:color w:val="auto"/>
              </w:rPr>
            </w:pPr>
          </w:p>
        </w:tc>
        <w:tc>
          <w:tcPr>
            <w:tcW w:w="40" w:type="dxa"/>
            <w:vAlign w:val="bottom"/>
            <w:tcBorders>
              <w:top w:val="single" w:sz="8" w:color="auto"/>
              <w:bottom w:val="single" w:sz="8" w:color="auto"/>
            </w:tcBorders>
            <w:vMerge w:val="restart"/>
          </w:tcPr>
          <w:p>
            <w:pPr>
              <w:spacing w:after="0"/>
              <w:rPr>
                <w:sz w:val="10"/>
                <w:szCs w:val="10"/>
                <w:color w:val="auto"/>
              </w:rPr>
            </w:pPr>
          </w:p>
        </w:tc>
        <w:tc>
          <w:tcPr>
            <w:tcW w:w="4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4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14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6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40" w:type="dxa"/>
            <w:vAlign w:val="bottom"/>
            <w:tcBorders>
              <w:top w:val="single" w:sz="8" w:color="auto"/>
              <w:bottom w:val="single" w:sz="8" w:color="auto"/>
            </w:tcBorders>
            <w:vMerge w:val="restart"/>
          </w:tcPr>
          <w:p>
            <w:pPr>
              <w:spacing w:after="0"/>
              <w:rPr>
                <w:sz w:val="10"/>
                <w:szCs w:val="10"/>
                <w:color w:val="auto"/>
              </w:rPr>
            </w:pPr>
          </w:p>
        </w:tc>
        <w:tc>
          <w:tcPr>
            <w:tcW w:w="20" w:type="dxa"/>
            <w:vAlign w:val="bottom"/>
            <w:tcBorders>
              <w:top w:val="single" w:sz="8" w:color="auto"/>
              <w:bottom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980" w:type="dxa"/>
            <w:vAlign w:val="bottom"/>
            <w:tcBorders>
              <w:bottom w:val="single" w:sz="8" w:color="0000EE"/>
            </w:tcBorders>
            <w:gridSpan w:val="12"/>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840" w:type="dxa"/>
            <w:vAlign w:val="bottom"/>
            <w:gridSpan w:val="3"/>
            <w:vMerge w:val="restart"/>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Bye-laws of GasLog Ltd.</w:t>
              </w:r>
            </w:hyperlink>
          </w:p>
        </w:tc>
        <w:tc>
          <w:tcPr>
            <w:tcW w:w="14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78"/>
              </w:rPr>
            </w:pPr>
            <w:hyperlink r:id="rId130">
              <w:r>
                <w:rPr>
                  <w:rFonts w:ascii="Times New Roman" w:cs="Times New Roman" w:eastAsia="Times New Roman" w:hAnsi="Times New Roman"/>
                  <w:sz w:val="13"/>
                  <w:szCs w:val="13"/>
                  <w:color w:val="0000EE"/>
                  <w:w w:val="78"/>
                </w:rPr>
                <w:t>(3)</w:t>
              </w:r>
            </w:hyperlink>
          </w:p>
        </w:tc>
        <w:tc>
          <w:tcPr>
            <w:tcW w:w="5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5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gridSpan w:val="2"/>
            <w:vMerge w:val="continue"/>
          </w:tcPr>
          <w:p>
            <w:pPr>
              <w:spacing w:after="0"/>
              <w:rPr>
                <w:sz w:val="2"/>
                <w:szCs w:val="2"/>
                <w:color w:val="auto"/>
              </w:rPr>
            </w:pPr>
          </w:p>
        </w:tc>
        <w:tc>
          <w:tcPr>
            <w:tcW w:w="1840" w:type="dxa"/>
            <w:vAlign w:val="bottom"/>
            <w:tcBorders>
              <w:bottom w:val="single" w:sz="8" w:color="0000EE"/>
            </w:tcBorders>
            <w:gridSpan w:val="3"/>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EE"/>
                <w:w w:val="78"/>
              </w:rPr>
              <w:t>(4)</w:t>
            </w:r>
          </w:p>
        </w:tc>
        <w:tc>
          <w:tcPr>
            <w:tcW w:w="2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660" w:type="dxa"/>
            <w:vAlign w:val="bottom"/>
            <w:gridSpan w:val="7"/>
            <w:vMerge w:val="restart"/>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Description of Registered Securities.</w:t>
              </w:r>
            </w:hyperlink>
          </w:p>
        </w:tc>
        <w:tc>
          <w:tcPr>
            <w:tcW w:w="140" w:type="dxa"/>
            <w:vAlign w:val="bottom"/>
            <w:tcBorders>
              <w:bottom w:val="single" w:sz="8" w:color="0000EE"/>
            </w:tcBorders>
            <w:gridSpan w:val="2"/>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5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7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gridSpan w:val="2"/>
            <w:vMerge w:val="continue"/>
          </w:tcPr>
          <w:p>
            <w:pPr>
              <w:spacing w:after="0"/>
              <w:rPr>
                <w:sz w:val="2"/>
                <w:szCs w:val="2"/>
                <w:color w:val="auto"/>
              </w:rPr>
            </w:pPr>
          </w:p>
        </w:tc>
        <w:tc>
          <w:tcPr>
            <w:tcW w:w="2660" w:type="dxa"/>
            <w:vAlign w:val="bottom"/>
            <w:tcBorders>
              <w:bottom w:val="single" w:sz="8" w:color="0000EE"/>
            </w:tcBorders>
            <w:gridSpan w:val="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8780" w:type="dxa"/>
            <w:vAlign w:val="bottom"/>
            <w:gridSpan w:val="4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Appendix to the Private Agreement of Professional Hiring (English translation), dated December 1, 2010 and October 1,</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520" w:type="dxa"/>
            <w:vAlign w:val="bottom"/>
            <w:tcBorders>
              <w:top w:val="single" w:sz="8" w:color="0000EE"/>
              <w:bottom w:val="single" w:sz="8" w:color="0000EE"/>
            </w:tcBorders>
            <w:gridSpan w:val="21"/>
            <w:vMerge w:val="restart"/>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2011, between Nea Dimitra Ktimatikh Kai Emporikh S.A. and GasLog LNG Services Ltd.</w:t>
              </w:r>
            </w:hyperlink>
          </w:p>
        </w:tc>
        <w:tc>
          <w:tcPr>
            <w:tcW w:w="160" w:type="dxa"/>
            <w:vAlign w:val="bottom"/>
            <w:tcBorders>
              <w:top w:val="single" w:sz="8" w:color="0000EE"/>
              <w:bottom w:val="single" w:sz="8" w:color="0000EE"/>
            </w:tcBorders>
          </w:tcPr>
          <w:p>
            <w:pPr>
              <w:jc w:val="right"/>
              <w:spacing w:after="0" w:line="129" w:lineRule="exact"/>
              <w:rPr>
                <w:rFonts w:ascii="Times New Roman" w:cs="Times New Roman" w:eastAsia="Times New Roman" w:hAnsi="Times New Roman"/>
                <w:sz w:val="13"/>
                <w:szCs w:val="13"/>
                <w:color w:val="0000EE"/>
                <w:w w:val="92"/>
              </w:rPr>
            </w:pPr>
            <w:hyperlink r:id="rId132">
              <w:r>
                <w:rPr>
                  <w:rFonts w:ascii="Times New Roman" w:cs="Times New Roman" w:eastAsia="Times New Roman" w:hAnsi="Times New Roman"/>
                  <w:sz w:val="13"/>
                  <w:szCs w:val="13"/>
                  <w:color w:val="0000EE"/>
                  <w:w w:val="92"/>
                </w:rPr>
                <w:t>(1)</w:t>
              </w:r>
            </w:hyperlink>
          </w:p>
        </w:tc>
        <w:tc>
          <w:tcPr>
            <w:tcW w:w="78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220" w:type="dxa"/>
            <w:vAlign w:val="bottom"/>
            <w:tcBorders>
              <w:top w:val="single" w:sz="8" w:color="0000EE"/>
              <w:bottom w:val="single" w:sz="8" w:color="0000EE"/>
            </w:tcBorders>
            <w:vMerge w:val="restart"/>
          </w:tcPr>
          <w:p>
            <w:pPr>
              <w:spacing w:after="0"/>
              <w:rPr>
                <w:sz w:val="12"/>
                <w:szCs w:val="12"/>
                <w:color w:val="auto"/>
              </w:rPr>
            </w:pPr>
          </w:p>
        </w:tc>
        <w:tc>
          <w:tcPr>
            <w:tcW w:w="34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520" w:type="dxa"/>
            <w:vAlign w:val="bottom"/>
            <w:tcBorders>
              <w:bottom w:val="single" w:sz="8" w:color="0000EE"/>
            </w:tcBorders>
            <w:gridSpan w:val="21"/>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120" w:type="dxa"/>
            <w:vAlign w:val="bottom"/>
            <w:gridSpan w:val="19"/>
            <w:vMerge w:val="restart"/>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Indemnification Agreement for the Company’s directors and certain officers</w:t>
              </w:r>
            </w:hyperlink>
          </w:p>
        </w:tc>
        <w:tc>
          <w:tcPr>
            <w:tcW w:w="160" w:type="dxa"/>
            <w:vAlign w:val="bottom"/>
            <w:tcBorders>
              <w:bottom w:val="single" w:sz="8" w:color="0000EE"/>
            </w:tcBorders>
          </w:tcPr>
          <w:p>
            <w:pPr>
              <w:jc w:val="right"/>
              <w:spacing w:after="0" w:line="129" w:lineRule="exact"/>
              <w:rPr>
                <w:rFonts w:ascii="Times New Roman" w:cs="Times New Roman" w:eastAsia="Times New Roman" w:hAnsi="Times New Roman"/>
                <w:sz w:val="13"/>
                <w:szCs w:val="13"/>
                <w:color w:val="0000EE"/>
                <w:w w:val="92"/>
              </w:rPr>
            </w:pPr>
            <w:hyperlink r:id="rId133">
              <w:r>
                <w:rPr>
                  <w:rFonts w:ascii="Times New Roman" w:cs="Times New Roman" w:eastAsia="Times New Roman" w:hAnsi="Times New Roman"/>
                  <w:sz w:val="13"/>
                  <w:szCs w:val="13"/>
                  <w:color w:val="0000EE"/>
                  <w:w w:val="92"/>
                </w:rPr>
                <w:t>(2)</w:t>
              </w:r>
            </w:hyperlink>
          </w:p>
        </w:tc>
        <w:tc>
          <w:tcPr>
            <w:tcW w:w="1180" w:type="dxa"/>
            <w:vAlign w:val="bottom"/>
            <w:gridSpan w:val="3"/>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40" w:type="dxa"/>
            <w:vAlign w:val="bottom"/>
            <w:gridSpan w:val="2"/>
            <w:vMerge w:val="continue"/>
          </w:tcPr>
          <w:p>
            <w:pPr>
              <w:spacing w:after="0"/>
              <w:rPr>
                <w:sz w:val="2"/>
                <w:szCs w:val="2"/>
                <w:color w:val="auto"/>
              </w:rPr>
            </w:pPr>
          </w:p>
        </w:tc>
        <w:tc>
          <w:tcPr>
            <w:tcW w:w="6120" w:type="dxa"/>
            <w:vAlign w:val="bottom"/>
            <w:tcBorders>
              <w:bottom w:val="single" w:sz="8" w:color="0000EE"/>
            </w:tcBorders>
            <w:gridSpan w:val="19"/>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000" w:type="dxa"/>
            <w:vAlign w:val="bottom"/>
            <w:gridSpan w:val="10"/>
            <w:vMerge w:val="restart"/>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Restrictive Covenant Agreement</w:t>
              </w:r>
            </w:hyperlink>
          </w:p>
        </w:tc>
        <w:tc>
          <w:tcPr>
            <w:tcW w:w="14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78"/>
              </w:rPr>
            </w:pPr>
            <w:hyperlink r:id="rId134">
              <w:r>
                <w:rPr>
                  <w:rFonts w:ascii="Times New Roman" w:cs="Times New Roman" w:eastAsia="Times New Roman" w:hAnsi="Times New Roman"/>
                  <w:sz w:val="13"/>
                  <w:szCs w:val="13"/>
                  <w:color w:val="0000EE"/>
                  <w:w w:val="78"/>
                </w:rPr>
                <w:t>(1)</w:t>
              </w:r>
            </w:hyperlink>
          </w:p>
        </w:tc>
        <w:tc>
          <w:tcPr>
            <w:tcW w:w="15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620" w:type="dxa"/>
            <w:vAlign w:val="bottom"/>
            <w:gridSpan w:val="5"/>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gridSpan w:val="2"/>
            <w:vMerge w:val="continue"/>
          </w:tcPr>
          <w:p>
            <w:pPr>
              <w:spacing w:after="0"/>
              <w:rPr>
                <w:sz w:val="2"/>
                <w:szCs w:val="2"/>
                <w:color w:val="auto"/>
              </w:rPr>
            </w:pPr>
          </w:p>
        </w:tc>
        <w:tc>
          <w:tcPr>
            <w:tcW w:w="3000" w:type="dxa"/>
            <w:vAlign w:val="bottom"/>
            <w:tcBorders>
              <w:bottom w:val="single" w:sz="8" w:color="0000EE"/>
            </w:tcBorders>
            <w:gridSpan w:val="10"/>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620" w:type="dxa"/>
            <w:vAlign w:val="bottom"/>
            <w:gridSpan w:val="5"/>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82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Shareholders Agreement by and among GEPIF III Crown Bidco L.P., Blenheim Holdings, LTD, Blenheim Special</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60" w:type="dxa"/>
            <w:vAlign w:val="bottom"/>
            <w:gridSpan w:val="23"/>
            <w:vMerge w:val="restart"/>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Investments Holding LTD, Olympic LNG Investments LTD and GasLog LTD, dated as of June 9, 2021</w:t>
              </w:r>
            </w:hyperlink>
          </w:p>
        </w:tc>
        <w:tc>
          <w:tcPr>
            <w:tcW w:w="140" w:type="dxa"/>
            <w:vAlign w:val="bottom"/>
            <w:tcBorders>
              <w:bottom w:val="single" w:sz="8" w:color="0000EE"/>
            </w:tcBorders>
          </w:tcPr>
          <w:p>
            <w:pPr>
              <w:jc w:val="right"/>
              <w:spacing w:after="0" w:line="129" w:lineRule="exact"/>
              <w:rPr>
                <w:rFonts w:ascii="Times New Roman" w:cs="Times New Roman" w:eastAsia="Times New Roman" w:hAnsi="Times New Roman"/>
                <w:sz w:val="13"/>
                <w:szCs w:val="13"/>
                <w:color w:val="0000EE"/>
                <w:w w:val="78"/>
              </w:rPr>
            </w:pPr>
            <w:hyperlink r:id="rId135">
              <w:r>
                <w:rPr>
                  <w:rFonts w:ascii="Times New Roman" w:cs="Times New Roman" w:eastAsia="Times New Roman" w:hAnsi="Times New Roman"/>
                  <w:sz w:val="13"/>
                  <w:szCs w:val="13"/>
                  <w:color w:val="0000EE"/>
                  <w:w w:val="78"/>
                </w:rPr>
                <w:t>(3)</w:t>
              </w:r>
            </w:hyperlink>
          </w:p>
        </w:tc>
        <w:tc>
          <w:tcPr>
            <w:tcW w:w="300" w:type="dxa"/>
            <w:vAlign w:val="bottom"/>
            <w:gridSpan w:val="2"/>
            <w:vMerge w:val="restart"/>
          </w:tcPr>
          <w:p>
            <w:pPr>
              <w:jc w:val="right"/>
              <w:ind w:right="220"/>
              <w:spacing w:after="0"/>
              <w:rPr>
                <w:rFonts w:ascii="Times New Roman" w:cs="Times New Roman" w:eastAsia="Times New Roman" w:hAnsi="Times New Roman"/>
                <w:sz w:val="16"/>
                <w:szCs w:val="16"/>
                <w:color w:val="0000EE"/>
                <w:w w:val="74"/>
              </w:rPr>
            </w:pPr>
            <w:hyperlink r:id="rId135">
              <w:r>
                <w:rPr>
                  <w:rFonts w:ascii="Times New Roman" w:cs="Times New Roman" w:eastAsia="Times New Roman" w:hAnsi="Times New Roman"/>
                  <w:sz w:val="16"/>
                  <w:szCs w:val="16"/>
                  <w:color w:val="0000EE"/>
                  <w:w w:val="74"/>
                </w:rPr>
                <w:t>*</w:t>
              </w:r>
            </w:hyperlink>
          </w:p>
        </w:tc>
        <w:tc>
          <w:tcPr>
            <w:tcW w:w="38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60" w:type="dxa"/>
            <w:vAlign w:val="bottom"/>
            <w:gridSpan w:val="23"/>
            <w:vMerge w:val="continue"/>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Facility Agreement dated November 2, 2023, relating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2,800,000,000 Reducing Revolving Loan Facility among</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GasLog Ltd. as borrower, Alpha Bank S.A., ABN Amro Bank N.V., BNP Paribas, Citibank, N.A., London, Branch,</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8"/>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Credit Suisse AG, Danish Ship Finance A/S, DNB (UK) Limited, ING Bank N.V., London Branch, National Bank of</w:t>
            </w: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Greece S.A., Nordea Bank Abp, Filial I Norge, Oversea-Chinese Banking Corporation Limited and Standard Chartered</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Bank (Singapore) Limited as mandated lead arrangers and bookrunners; National Australia Bank Limited and</w:t>
            </w: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8"/>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Skandinaviska Enskilda Banken AB (publ) as mandated lead arrangers; DNB Bank ASA, London Branch as Agent and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security agent; ABN Amro Bank N.V. as Sustainability Co-ordinator; BNP Paribas and Citibank, N.A., London, Branch,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as Global Co-ordinators and GAS-one Ltd., GAS-two Ltd., GAS-four Ltd., GAS-seven Ltd., GAS-eight Ltd., GAS-</w:t>
            </w:r>
          </w:p>
        </w:tc>
        <w:tc>
          <w:tcPr>
            <w:tcW w:w="320" w:type="dxa"/>
            <w:vAlign w:val="bottom"/>
            <w:tcBorders>
              <w:top w:val="single" w:sz="8" w:color="0000EE"/>
            </w:tcBorders>
            <w:gridSpan w:val="7"/>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eleven Ltd., GAS-twelve Ltd., GAS-thirteen Ltd., GAS-fourteen Ltd., GAS-sixteen Ltd., GAS-seventeen Ltd., GAS-</w:t>
            </w: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nineteen Ltd., GAS-twenty two Ltd., GAS-twenty three Ltd., GAS-twenty seven Ltd., GAS-twenty eight Ltd., GAS-</w:t>
            </w:r>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thirty Ltd., GAS-thirty one Ltd., GAS-thirty two Ltd., GAS-thirty three Ltd., GAS-thirty four Ltd., GAS-thirty five Ltd.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12"/>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and GasLog Hellas-1 Special Maritime Enterprise as Owners and Guarantors; GasLog Partners LP, GasLog Carriers Ltd.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and GasLog Partners Holdings LLC as Guarantors; please see “Item 5. Operating and Financial Review and Prospects—</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B. Liquidity and Capital Resources—Borrowing Activities—Credit Facilities”. *</w:t>
            </w:r>
          </w:p>
        </w:tc>
        <w:tc>
          <w:tcPr>
            <w:tcW w:w="29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5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Subsidiaries of GasLog Ltd.</w:t>
            </w:r>
          </w:p>
        </w:tc>
        <w:tc>
          <w:tcPr>
            <w:tcW w:w="622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GasLog Ltd.’s Chief Executive Officer</w:t>
            </w: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58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13a-14(a)/15d-14(a) Certification of GasLog Ltd.’s Chief Financial Officer</w:t>
            </w:r>
          </w:p>
        </w:tc>
        <w:tc>
          <w:tcPr>
            <w:tcW w:w="40" w:type="dxa"/>
            <w:vAlign w:val="bottom"/>
            <w:tcBorders>
              <w:top w:val="single" w:sz="8" w:color="0000EE"/>
            </w:tcBorders>
          </w:tcPr>
          <w:p>
            <w:pPr>
              <w:spacing w:after="0"/>
              <w:rPr>
                <w:sz w:val="17"/>
                <w:szCs w:val="17"/>
                <w:color w:val="auto"/>
              </w:rPr>
            </w:pPr>
          </w:p>
        </w:tc>
        <w:tc>
          <w:tcPr>
            <w:tcW w:w="29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83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GasLog Ltd. Certification of Paolo Enoizi, Chief Executive Officer, pursuant to 18 U.S.C. Section 1350, as adopted</w:t>
            </w:r>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U.S. Sarbanes-Oxley Act of 2002</w:t>
            </w:r>
          </w:p>
        </w:tc>
        <w:tc>
          <w:tcPr>
            <w:tcW w:w="41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GasLog Ltd. Certification of Achilleas Tasioulas, Chief Financial Officer, pursuant to 18 U.S.C. Section 1350, as adopted</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U.S. Sarbanes-Oxley Act of 2002</w:t>
            </w:r>
          </w:p>
        </w:tc>
        <w:tc>
          <w:tcPr>
            <w:tcW w:w="4120" w:type="dxa"/>
            <w:vAlign w:val="bottom"/>
            <w:tcBorders>
              <w:top w:val="single" w:sz="8" w:color="0000EE"/>
            </w:tcBorders>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87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Clawback Policy</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56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101.INS</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101.SCH</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101.CAL</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Taxonomy Extension Scheme Calculation Linkbase</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101.DEF</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Taxonomy Extension Scheme Definition Linkbase</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101.LAB</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Taxonomy Extension Scheme Label Linkbase</w:t>
            </w:r>
          </w:p>
        </w:tc>
        <w:tc>
          <w:tcPr>
            <w:tcW w:w="0" w:type="dxa"/>
            <w:vAlign w:val="bottom"/>
          </w:tcPr>
          <w:p>
            <w:pPr>
              <w:spacing w:after="0"/>
              <w:rPr>
                <w:sz w:val="1"/>
                <w:szCs w:val="1"/>
                <w:color w:val="auto"/>
              </w:rPr>
            </w:pPr>
          </w:p>
        </w:tc>
      </w:tr>
      <w:tr>
        <w:trPr>
          <w:trHeight w:val="234"/>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101.PRE</w:t>
            </w:r>
          </w:p>
        </w:tc>
        <w:tc>
          <w:tcPr>
            <w:tcW w:w="8780" w:type="dxa"/>
            <w:vAlign w:val="bottom"/>
            <w:gridSpan w:val="42"/>
          </w:tcPr>
          <w:p>
            <w:pPr>
              <w:spacing w:after="0"/>
              <w:rPr>
                <w:sz w:val="20"/>
                <w:szCs w:val="20"/>
                <w:color w:val="auto"/>
              </w:rPr>
            </w:pPr>
            <w:r>
              <w:rPr>
                <w:rFonts w:ascii="Times New Roman" w:cs="Times New Roman" w:eastAsia="Times New Roman" w:hAnsi="Times New Roman"/>
                <w:sz w:val="18"/>
                <w:szCs w:val="18"/>
                <w:color w:val="auto"/>
              </w:rPr>
              <w:t>XBRL Taxonomy Extension Scheme Presentation Linkbase</w:t>
            </w:r>
          </w:p>
        </w:tc>
        <w:tc>
          <w:tcPr>
            <w:tcW w:w="0" w:type="dxa"/>
            <w:vAlign w:val="bottom"/>
          </w:tcPr>
          <w:p>
            <w:pPr>
              <w:spacing w:after="0"/>
              <w:rPr>
                <w:sz w:val="1"/>
                <w:szCs w:val="1"/>
                <w:color w:val="auto"/>
              </w:rPr>
            </w:pPr>
          </w:p>
        </w:tc>
      </w:tr>
    </w:tbl>
    <w:p>
      <w:pPr>
        <w:ind w:left="1140" w:hanging="496"/>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1" w:lineRule="exact"/>
        <w:rPr>
          <w:rFonts w:ascii="Times New Roman" w:cs="Times New Roman" w:eastAsia="Times New Roman" w:hAnsi="Times New Roman"/>
          <w:sz w:val="18"/>
          <w:szCs w:val="18"/>
          <w:color w:val="auto"/>
        </w:rPr>
      </w:pPr>
    </w:p>
    <w:p>
      <w:pPr>
        <w:ind w:left="340" w:right="260" w:hanging="332"/>
        <w:spacing w:after="0" w:line="261" w:lineRule="auto"/>
        <w:tabs>
          <w:tab w:leader="none" w:pos="340" w:val="left"/>
        </w:tabs>
        <w:numPr>
          <w:ilvl w:val="0"/>
          <w:numId w:val="9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Registration Statement on Form F-1 (File No. 333-179034), declared effective by the SEC on March 29, 2012, and hereby incorporated by reference to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-267335</wp:posOffset>
            </wp:positionV>
            <wp:extent cx="15684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180" w:hanging="332"/>
        <w:spacing w:after="0" w:line="261" w:lineRule="auto"/>
        <w:tabs>
          <w:tab w:leader="none" w:pos="340"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Annual Report on Form 20-F (File No. 001-35466), filed with the SEC on March 14, 2016,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hanging="332"/>
        <w:spacing w:after="0" w:line="261" w:lineRule="auto"/>
        <w:tabs>
          <w:tab w:leader="none" w:pos="340"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6-K (File No. 001-35466), filed with the SEC on March 3, 2021,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520" w:hanging="332"/>
        <w:spacing w:after="0" w:line="261" w:lineRule="auto"/>
        <w:tabs>
          <w:tab w:leader="none" w:pos="340"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20-F (File No. 001-35466), filed with the SEC on March 9, 2022, and hereby incorporated by reference to such Report.</w:t>
      </w:r>
    </w:p>
    <w:p>
      <w:pPr>
        <w:spacing w:after="0" w:line="163" w:lineRule="exact"/>
        <w:rPr>
          <w:sz w:val="20"/>
          <w:szCs w:val="20"/>
          <w:color w:val="auto"/>
        </w:rPr>
      </w:pPr>
    </w:p>
    <w:p>
      <w:pPr>
        <w:ind w:left="340" w:right="380" w:hanging="332"/>
        <w:spacing w:after="0" w:line="261" w:lineRule="auto"/>
        <w:tabs>
          <w:tab w:leader="none" w:pos="3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The registrant hereby undertakes to furnish supplemental copies of any of the omitted schedules upon request by the SEC, provided, however, that GasLog may request confidential treatment pursuant to Rule 24b-2 of the Exchange Act for any schedule so furnished.</w:t>
      </w:r>
    </w:p>
    <w:p>
      <w:pPr>
        <w:spacing w:after="0" w:line="162" w:lineRule="exact"/>
        <w:rPr>
          <w:rFonts w:ascii="Times New Roman" w:cs="Times New Roman" w:eastAsia="Times New Roman" w:hAnsi="Times New Roman"/>
          <w:sz w:val="14"/>
          <w:szCs w:val="14"/>
          <w:color w:val="auto"/>
        </w:rPr>
      </w:pPr>
    </w:p>
    <w:p>
      <w:pPr>
        <w:ind w:left="340" w:right="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hereby agrees to furnish to the SEC upon request a copy of any instrument relating to long-term debt that does not exceed 10% of the total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PAOLO ENOIZI</w:t>
      </w:r>
    </w:p>
    <w:p>
      <w:pPr>
        <w:spacing w:after="0" w:line="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-116205</wp:posOffset>
            </wp:positionV>
            <wp:extent cx="30175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6"/>
          <w:szCs w:val="16"/>
          <w:i w:val="1"/>
          <w:iCs w:val="1"/>
          <w:color w:val="auto"/>
        </w:rPr>
        <w:t>Chief Executive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—Deloitte Certified Public Accountants S.A. (PCAOB ID No. 1163)</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2022 and 2023</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for the years ended December 31, 2021, 2022 and 2023</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or loss for the years ended December 31, 2021, 2022 and 2023</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2021, 2022 and 2023</w:t>
            </w:r>
          </w:p>
        </w:tc>
        <w:tc>
          <w:tcPr>
            <w:tcW w:w="2140" w:type="dxa"/>
            <w:vAlign w:val="bottom"/>
            <w:tcBorders>
              <w:bottom w:val="single" w:sz="8" w:color="CCEEFF"/>
            </w:tcBorders>
            <w:gridSpan w:val="2"/>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 2023</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300" w:type="dxa"/>
            <w:vAlign w:val="bottom"/>
            <w:tcBorders>
              <w:top w:val="single" w:sz="8" w:color="0000EE"/>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5220" w:type="dxa"/>
            <w:vAlign w:val="bottom"/>
            <w:tcBorders>
              <w:top w:val="single" w:sz="8" w:color="CCEEFF"/>
            </w:tcBorders>
            <w:gridSpan w:val="6"/>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GasLog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Ltd. and subsidiaries (the “Company”) as of December 31, 2023 and 2022, the related consolidated statements of profit or loss, comprehensive income or loss,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60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9,511</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9,511</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associates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28,823</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43,081</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8,095</w:t>
            </w: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non-current portion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13,225</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Tangible fixed assets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4,514,663</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3,912,762</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Vessels under construction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210,099</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265,575</w:t>
            </w:r>
          </w:p>
        </w:tc>
      </w:tr>
      <w:tr>
        <w:trPr>
          <w:trHeight w:val="148"/>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7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416,485</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468,603</w:t>
            </w:r>
          </w:p>
        </w:tc>
      </w:tr>
      <w:tr>
        <w:trPr>
          <w:trHeight w:val="142"/>
        </w:trPr>
        <w:tc>
          <w:tcPr>
            <w:tcW w:w="6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5,203,676</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4,712,055</w:t>
            </w: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Floating Storage Regasification Unit (“FSRU”) held for sale</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269,687</w:t>
            </w: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22,897</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36,718</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receivable and other amounts due from related parties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current portion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25,383</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8,483</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9,066</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7,262</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11,620</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cash deposits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r>
      <w:tr>
        <w:trPr>
          <w:trHeight w:val="149"/>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368,286</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221,371</w:t>
            </w:r>
          </w:p>
        </w:tc>
      </w:tr>
      <w:tr>
        <w:trPr>
          <w:trHeight w:val="142"/>
        </w:trPr>
        <w:tc>
          <w:tcPr>
            <w:tcW w:w="6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468,372</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560,409</w:t>
            </w:r>
          </w:p>
        </w:tc>
      </w:tr>
      <w:tr>
        <w:trPr>
          <w:trHeight w:val="182"/>
        </w:trPr>
        <w:tc>
          <w:tcPr>
            <w:tcW w:w="60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5,672,048</w:t>
            </w: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5,272,464</w:t>
            </w:r>
          </w:p>
        </w:tc>
      </w:tr>
      <w:tr>
        <w:trPr>
          <w:trHeight w:val="129"/>
        </w:trPr>
        <w:tc>
          <w:tcPr>
            <w:tcW w:w="6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Equity and liabilities</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Preference shares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Contributed surplus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658,888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929,308</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Reserves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16,464</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15,236</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108,685</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160,832</w:t>
            </w: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attributable to owners of the Group</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785,037</w:t>
            </w:r>
          </w:p>
        </w:tc>
        <w:tc>
          <w:tcPr>
            <w:tcW w:w="18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1,106,332</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936,741</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280,067</w:t>
            </w:r>
          </w:p>
        </w:tc>
      </w:tr>
      <w:tr>
        <w:trPr>
          <w:trHeight w:val="142"/>
        </w:trPr>
        <w:tc>
          <w:tcPr>
            <w:tcW w:w="60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1,721,778</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1,386,399</w:t>
            </w:r>
          </w:p>
        </w:tc>
      </w:tr>
      <w:tr>
        <w:trPr>
          <w:trHeight w:val="142"/>
        </w:trPr>
        <w:tc>
          <w:tcPr>
            <w:tcW w:w="6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19,725</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22,776</w:t>
            </w: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Ship management creditors</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current portion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166,932</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409,291</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current portion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294,977</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107,917</w:t>
            </w:r>
          </w:p>
        </w:tc>
      </w:tr>
      <w:tr>
        <w:trPr>
          <w:trHeight w:val="148"/>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current portion</w:t>
            </w:r>
          </w:p>
        </w:tc>
        <w:tc>
          <w:tcPr>
            <w:tcW w:w="7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48,548</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70,979</w:t>
            </w:r>
          </w:p>
        </w:tc>
      </w:tr>
      <w:tr>
        <w:trPr>
          <w:trHeight w:val="142"/>
        </w:trPr>
        <w:tc>
          <w:tcPr>
            <w:tcW w:w="6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533,056</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622,542</w:t>
            </w: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non-current portion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non-current portion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3,004,767</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2,944,987</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 portion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287,828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312,446</w:t>
            </w:r>
          </w:p>
        </w:tc>
      </w:tr>
      <w:tr>
        <w:trPr>
          <w:trHeight w:val="148"/>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119,121</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6,090</w:t>
            </w:r>
          </w:p>
        </w:tc>
      </w:tr>
      <w:tr>
        <w:trPr>
          <w:trHeight w:val="142"/>
        </w:trPr>
        <w:tc>
          <w:tcPr>
            <w:tcW w:w="60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3,417,214</w:t>
            </w:r>
          </w:p>
        </w:tc>
        <w:tc>
          <w:tcPr>
            <w:tcW w:w="1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3,263,523</w:t>
            </w: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5,672,048</w:t>
            </w:r>
          </w:p>
        </w:tc>
        <w:tc>
          <w:tcPr>
            <w:tcW w:w="18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5,272,464</w:t>
            </w:r>
          </w:p>
        </w:tc>
      </w:tr>
      <w:tr>
        <w:trPr>
          <w:trHeight w:val="20"/>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809,577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918,031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(19,430)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and supervision costs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(166,432)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(170,591)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(202,953)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(228,639)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(153,669)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(68,287)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(43,313)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(34,934)</w:t>
            </w:r>
          </w:p>
        </w:tc>
      </w:tr>
      <w:tr>
        <w:trPr>
          <w:trHeight w:val="209"/>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222,680</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398,435</w:t>
            </w: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453,291</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(142,164)</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(101,188)</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(256,988)</w:t>
            </w:r>
          </w:p>
        </w:tc>
      </w:tr>
      <w:tr>
        <w:trPr>
          <w:trHeight w:val="249"/>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196,303</w:t>
            </w:r>
          </w:p>
        </w:tc>
      </w:tr>
      <w:tr>
        <w:trPr>
          <w:trHeight w:val="197"/>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67,458</w:t>
            </w:r>
          </w:p>
        </w:tc>
      </w:tr>
      <w:tr>
        <w:trPr>
          <w:trHeight w:val="210"/>
        </w:trPr>
        <w:tc>
          <w:tcPr>
            <w:tcW w:w="5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196,303</w:t>
            </w:r>
          </w:p>
        </w:tc>
      </w:tr>
      <w:tr>
        <w:trPr>
          <w:trHeight w:val="20"/>
        </w:trPr>
        <w:tc>
          <w:tcPr>
            <w:tcW w:w="5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196,303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fair value of cash flow hedges, net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amounts recycled to profit or loss</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 for the year</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r>
      <w:tr>
        <w:trPr>
          <w:trHeight w:val="24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8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80,355</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297,631</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196,098</w:t>
            </w:r>
          </w:p>
        </w:tc>
      </w:tr>
      <w:tr>
        <w:trPr>
          <w:trHeight w:val="197"/>
        </w:trPr>
        <w:tc>
          <w:tcPr>
            <w:tcW w:w="5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67,458</w:t>
            </w:r>
          </w:p>
        </w:tc>
      </w:tr>
      <w:tr>
        <w:trPr>
          <w:trHeight w:val="210"/>
        </w:trPr>
        <w:tc>
          <w:tcPr>
            <w:tcW w:w="5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80,355</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297,631</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196,098</w:t>
            </w:r>
          </w:p>
        </w:tc>
      </w:tr>
      <w:tr>
        <w:trPr>
          <w:trHeight w:val="20"/>
        </w:trPr>
        <w:tc>
          <w:tcPr>
            <w:tcW w:w="5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 -</w:t>
            </w:r>
          </w:p>
        </w:tc>
        <w:tc>
          <w:tcPr>
            <w:tcW w:w="64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Preference</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Contributed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deficit)/</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64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surplus</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retained</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owners of</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640" w:type="dxa"/>
            <w:vAlign w:val="bottom"/>
          </w:tcPr>
          <w:p>
            <w:pPr>
              <w:spacing w:after="0"/>
              <w:rPr>
                <w:sz w:val="11"/>
                <w:szCs w:val="11"/>
                <w:color w:val="auto"/>
              </w:rPr>
            </w:pPr>
          </w:p>
        </w:tc>
      </w:tr>
      <w:tr>
        <w:trPr>
          <w:trHeight w:val="155"/>
        </w:trPr>
        <w:tc>
          <w:tcPr>
            <w:tcW w:w="294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(Note 11)</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(Note 12)</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the Group</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(Note 4)</w:t>
            </w: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January 1, 2021</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759,822</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18,667</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(1,340)</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(132,780)</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645,369</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951,768</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1,597,137</w:t>
            </w:r>
          </w:p>
        </w:tc>
      </w:tr>
      <w:tr>
        <w:trPr>
          <w:trHeight w:val="97"/>
        </w:trPr>
        <w:tc>
          <w:tcPr>
            <w:tcW w:w="29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Net proceeds from GasLog Partners’ public offerings</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common units (Note 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9,633</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Repurchases of GasLog Partners’ preference units</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(18,388)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(18,388)</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(67,286)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(67,286)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(31,236)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(98,522)</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Settlement of share-based compensation</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(6,535)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w:t>
            </w:r>
          </w:p>
        </w:tc>
        <w:tc>
          <w:tcPr>
            <w:tcW w:w="14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(5,195)</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(5,195)</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80,516</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r>
      <w:tr>
        <w:trPr>
          <w:trHeight w:val="128"/>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(loss)/income for the year</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67,663</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67,502</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12,853</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80,355</w:t>
            </w:r>
          </w:p>
        </w:tc>
      </w:tr>
      <w:tr>
        <w:trPr>
          <w:trHeight w:val="129"/>
        </w:trPr>
        <w:tc>
          <w:tcPr>
            <w:tcW w:w="2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692,536</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15,322</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(65,117)</w:t>
            </w: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643,741</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924,630</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1,568,371</w:t>
            </w:r>
          </w:p>
        </w:tc>
      </w:tr>
      <w:tr>
        <w:trPr>
          <w:trHeight w:val="97"/>
        </w:trPr>
        <w:tc>
          <w:tcPr>
            <w:tcW w:w="2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Repurchases of GasLog Partners’ preference units</w:t>
            </w: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(49,244)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(49,244)</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(33,648)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(33,648)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(67,296)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(28,442)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(95,738)</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207,450</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207,450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89,797</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297,247</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r>
      <w:tr>
        <w:trPr>
          <w:trHeight w:val="128"/>
        </w:trPr>
        <w:tc>
          <w:tcPr>
            <w:tcW w:w="2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income for the year</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384</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207,450</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207,834</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89,797</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297,631</w:t>
            </w:r>
          </w:p>
        </w:tc>
      </w:tr>
      <w:tr>
        <w:trPr>
          <w:trHeight w:val="128"/>
        </w:trPr>
        <w:tc>
          <w:tcPr>
            <w:tcW w:w="2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658,888</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16,464</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108,685</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785,037</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936,741</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1,721,778</w:t>
            </w:r>
          </w:p>
        </w:tc>
      </w:tr>
      <w:tr>
        <w:trPr>
          <w:trHeight w:val="128"/>
        </w:trPr>
        <w:tc>
          <w:tcPr>
            <w:tcW w:w="29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Repurchases of GasLog's preference shares (Note 11)</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(1,440)</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(1,440)</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4 and 12)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(76,698)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(76,698)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(146,124)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(222,822)</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Merger consideration, including fees (Notes 4 and 11)</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(3,319)</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(3,319)</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(194,261)</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(197,580)</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Merger transaction - difference between net book value</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29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of acquired subsidiary and consideration paid (Note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11)</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383,747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383,747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(383,747)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Settlement of share-based compensation</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(1,486)</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(1,486)</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Partial redemption of GasLog’s preference shares, net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fees (Note 11)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(108,569)</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(108,612)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(108,612)</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128,845</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128,845</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67,458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196,303</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r>
      <w:tr>
        <w:trPr>
          <w:trHeight w:val="128"/>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(loss)/income for the year</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(205)</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128,845</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128,640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67,458</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196,098</w:t>
            </w:r>
          </w:p>
        </w:tc>
      </w:tr>
      <w:tr>
        <w:trPr>
          <w:trHeight w:val="129"/>
        </w:trPr>
        <w:tc>
          <w:tcPr>
            <w:tcW w:w="2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929,308</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15,236</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160,832</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1,106,332</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280,067</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1,386,399</w:t>
            </w:r>
          </w:p>
        </w:tc>
      </w:tr>
      <w:tr>
        <w:trPr>
          <w:trHeight w:val="20"/>
        </w:trPr>
        <w:tc>
          <w:tcPr>
            <w:tcW w:w="2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297,247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287,068</w:t>
            </w: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derivatives (excluding realized (loss)/gain on forward foreign</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contracts held for trading)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(23,817)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(80,742)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09"/>
        </w:trPr>
        <w:tc>
          <w:tcPr>
            <w:tcW w:w="5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582,713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690,592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709,648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Movements in operating assets and liabilities: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and other receivables including related parties, net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prepayments and other assets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non-current assets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other non-current liabilities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592,107</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698,912</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688,570</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tangible fixed assets and vessels under construction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(506,641)</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(193,464)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and sale and leasebacks of tangible fixed assets, net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FSRU forthcoming sale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right-of-use assets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 from associate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cash deposits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of short-term cash deposits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 received</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(262,050)</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107,373</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259,570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 and bonds, net of discount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2,431,355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bond repayments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(592,463)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(729,849)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(2,676,420)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(14,843)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loan and bond issuance costs, 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(13,058)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GasLog Partners’ common unit offerings (net of underwriting</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equity raising costs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 – Transaction (including special distribution)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interest rate swaps termination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(172,772)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(164,499)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Loan/bond modification costs related to the 2021 Transaction (as defined in Note 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(15,718)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collaterals for swaps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cash collaterals for swaps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GasLog’s and GasLog Partners’ preference shares/units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Partial redemption of GasLog’s preference shares, net of fees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(common and preference)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(91,499)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(105,277)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(104,059)</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(414,744)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(720,690)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(1,096,152)</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(Decrease)/increase in cash and cash equivalents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(146,915)</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367,269</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282,246</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368,286</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year</w:t>
            </w: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282,246</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368,286</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221,371</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included in liabilities at the end of the year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included in liabilities at the end of the year – Right-of-use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raising costs included in liabilities at the end of the year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Loan issuance costs included in liabilities at the end of the year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declared included in liabilities at the end of the year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Non-cash prepayment of lease payments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included in liabilities at the end of the year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 included in current liabilities at the end of the year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GasLog Ltd. (“GasLog”) was incorporated in Bermuda on July 16, 2003. GasLog and its subsidiaries (the “Company” or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lease asset companies, right-of-use asset companies and through its vessel management services subsidiary. The Group’s operations are carried out from offices in Piraeus, London and Singapore. The registered office of GasLog is Clarendon House, 2 Church Street, Hamilton HM 11, Bermuda.</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February 21, 2021, GasLog entered into an agreement and plan of merger (the “2021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“2021 Transaction”). On June 4, 2021, the special general meeting of shareholders (the “Special Meeting”) was held, and shareholders approved (i) the previously announced 2021 Merger Agreement, (ii) the merger and (iii) the statutory merger agreement contemplated by the 2021 Merger Agreement. Trading in GasLog’s common shares on the New York Stock Exchange (“NYSE”) was suspended and the delisting of the common shares from the NYSE became effective on June 21, 2021. GasLog’s 8.75% Series A Cumulative Redeemable Perpetual Preference Shares (“Preference Shares”) remain outstanding and continue to trade in the NYSE under the ticker symbol “GLOG PR A”.</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2021 Transaction on June 9, 2021, the Company, Blenheim Holdings Ltd., Blenheim Special Investments Holding Ltd. and Olympic LNG Investments Ltd. (collectively, the “Rolling Shareholders”) and GEPIF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24, 2023, the board of directors (the “Board”) extended to GasLog Partners LP (“GasLog Partners” or the “Partnership”) an unsolicited non-binding proposal to acquire all of the outstanding common units representing limited partner interests of the Partnership not already beneficially owned by GasLog. On April 6, 2023, GasLog entered into an Agreement and Plan of Merger (the “Merger Agreement”) with the Partnership, GasLog Partners GP LLC, the general partner of the Partnership,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Exchange Commission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 Partners is consolidated in the Group’s financial statements.</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Transaction consideration was financed by the Group’s cash and the borrowing of a term loan in an aggregate principal amount of $50,000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GasLog and its subsidiaries. Unless indicated otherwise, the subsidiaries listed below were 100% held (either directly or indirectly) by GasLog. As of December 31, 2023, the Group’s structure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Cargo</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1"/>
        </w:trPr>
        <w:tc>
          <w:tcPr>
            <w:tcW w:w="2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Place of</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Date of</w:t>
            </w: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Capacity Cubic</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7"/>
        </w:trPr>
        <w:tc>
          <w:tcPr>
            <w:tcW w:w="35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Incorporation</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Incorporation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Principal Activities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Meters (“cbm”)</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Vessel</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Delivery Date</w:t>
            </w:r>
          </w:p>
        </w:tc>
      </w:tr>
      <w:tr>
        <w:trPr>
          <w:trHeight w:val="115"/>
        </w:trPr>
        <w:tc>
          <w:tcPr>
            <w:tcW w:w="346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Investments Ltd.</w:t>
            </w: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4"/>
              </w:rPr>
              <w:t>BVI</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July 2003</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Investment Holdings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September 2016</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Carriers Ltd. (“GasLog Carriers”)</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Shipping Company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2006</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Partners GP LLC</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Cyprus Investments Ltd.</w:t>
            </w:r>
          </w:p>
        </w:tc>
        <w:tc>
          <w:tcPr>
            <w:tcW w:w="100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4"/>
              </w:rPr>
              <w:t>Cyprus</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2016</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Services UK Ltd.</w:t>
            </w: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5"/>
              </w:rPr>
              <w:t>England and Wales</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Service company</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Asia Pte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Singapore</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2015</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Service company</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LNG Services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August 2004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Vessel management services</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GasLog-one Malta Ltd.</w:t>
            </w:r>
          </w:p>
        </w:tc>
        <w:tc>
          <w:tcPr>
            <w:tcW w:w="100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Malta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GAS-one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Savannah</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2010</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GAS-two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Singapore</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2010</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GAS-six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February 2011</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Skagen</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2013</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GAS-nine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June 2011</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Saratoga</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2014</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GAS-ten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June 2011</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Salem</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2015</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GAS-fifteen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August 2013</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153,600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0"/>
                <w:szCs w:val="10"/>
                <w:i w:val="1"/>
                <w:iCs w:val="1"/>
                <w:color w:val="auto"/>
              </w:rPr>
              <w:t>Alexandroupolis</w:t>
            </w:r>
            <w:r>
              <w:rPr>
                <w:rFonts w:ascii="Times New Roman" w:cs="Times New Roman" w:eastAsia="Times New Roman" w:hAnsi="Times New Roman"/>
                <w:sz w:val="14"/>
                <w:szCs w:val="14"/>
                <w:color w:val="auto"/>
                <w:vertAlign w:val="superscript"/>
              </w:rPr>
              <w:t>(1)</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October 2013</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GAS-eighteen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two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Genoa</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2018</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GAS-twenty three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Gladstone</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2019</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four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June 2014</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Lease asset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Houston</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2018</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GAS-twenty five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June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Lease asset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Hong Kong</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2018</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six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2015</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Julia Louise</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2015</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GAS-twenty eight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September 2016</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Windsor</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2020</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Westminster</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2020</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GAS-thirty one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Wales</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2020</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two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Georgetown</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November 2020</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GAS-thirty three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Galveston</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4, 2021</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four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2018</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Wellington</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15, 2021</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GAS-thirty five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Winchester</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August 24, 2021</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GAS-FFA Trading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GAS-FFA Partnership Trading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eight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2532</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2024</w:t>
            </w:r>
            <w:r>
              <w:rPr>
                <w:rFonts w:ascii="Times New Roman" w:cs="Times New Roman" w:eastAsia="Times New Roman" w:hAnsi="Times New Roman"/>
                <w:sz w:val="14"/>
                <w:szCs w:val="14"/>
                <w:color w:val="auto"/>
                <w:vertAlign w:val="superscript"/>
              </w:rPr>
              <w:t>(2)</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GAS-thirty nine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2533</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2024</w:t>
            </w:r>
            <w:r>
              <w:rPr>
                <w:rFonts w:ascii="Times New Roman" w:cs="Times New Roman" w:eastAsia="Times New Roman" w:hAnsi="Times New Roman"/>
                <w:sz w:val="14"/>
                <w:szCs w:val="14"/>
                <w:color w:val="auto"/>
                <w:vertAlign w:val="superscript"/>
              </w:rPr>
              <w:t>(2)</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GAS-forty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2534</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2025</w:t>
            </w:r>
            <w:r>
              <w:rPr>
                <w:rFonts w:ascii="Times New Roman" w:cs="Times New Roman" w:eastAsia="Times New Roman" w:hAnsi="Times New Roman"/>
                <w:sz w:val="14"/>
                <w:szCs w:val="14"/>
                <w:color w:val="auto"/>
                <w:vertAlign w:val="superscript"/>
              </w:rPr>
              <w:t>(2)</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GAS-forty one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2535</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0"/>
                <w:szCs w:val="10"/>
                <w:color w:val="auto"/>
              </w:rPr>
              <w:t>Q4 2025</w:t>
            </w:r>
            <w:r>
              <w:rPr>
                <w:rFonts w:ascii="Times New Roman" w:cs="Times New Roman" w:eastAsia="Times New Roman" w:hAnsi="Times New Roman"/>
                <w:sz w:val="14"/>
                <w:szCs w:val="14"/>
                <w:color w:val="auto"/>
                <w:vertAlign w:val="superscript"/>
              </w:rPr>
              <w:t>(2)</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Hellas-1 Special Maritime Enterprise</w:t>
            </w:r>
          </w:p>
        </w:tc>
        <w:tc>
          <w:tcPr>
            <w:tcW w:w="100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6"/>
              </w:rPr>
              <w:t>Greece</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June 2019</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Warsaw</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2019</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Hellas-2 Special Maritime Enterprise</w:t>
            </w: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6"/>
              </w:rPr>
              <w:t>Greece</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Partners LP</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GasLog Partners Holdings LLC</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Holding company</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GasLog-two Malta Ltd.</w:t>
            </w:r>
          </w:p>
        </w:tc>
        <w:tc>
          <w:tcPr>
            <w:tcW w:w="100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Malta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GAS-three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2010</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Shanghai</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2013</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GAS-four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2010</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Santiago</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2013</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GAS-five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February 2011</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Sydney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2013</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GAS-seven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March 2011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Seattle</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2013</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GAS-eight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March 2011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Solaris</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GAS-eleven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2012</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Greece</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2016</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GAS-twelve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December 2012</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Glasgow</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2016</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GAS-thirteen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July 2013</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Geneva</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September 2016</w:t>
            </w: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GAS-fourteen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July 2013</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Gibraltar</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October 2016</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GAS-sixteen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Rita Andrea</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2014</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GAS-seventeen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Jane Elizabeth</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2014</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GAS-nineteen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w w:val="99"/>
              </w:rPr>
              <w:t>Methane Alison Victoria</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GAS-twenty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Dormant</w:t>
            </w:r>
          </w:p>
        </w:tc>
        <w:tc>
          <w:tcPr>
            <w:tcW w:w="9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one Ltd.</w:t>
            </w:r>
          </w:p>
        </w:tc>
        <w:tc>
          <w:tcPr>
            <w:tcW w:w="100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Right-of-use asset company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2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Heather Sally</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1"/>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GAS-twenty seven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January 2015</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Becki Anne</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2015</w:t>
            </w:r>
          </w:p>
        </w:tc>
      </w:tr>
      <w:tr>
        <w:trPr>
          <w:trHeight w:val="122"/>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25% interest associate:</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22"/>
        </w:trPr>
        <w:tc>
          <w:tcPr>
            <w:tcW w:w="35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Egypt LNG Shipping Ltd.</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May 2010</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2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Nile Eagle</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2007</w:t>
            </w:r>
          </w:p>
        </w:tc>
      </w:tr>
      <w:tr>
        <w:trPr>
          <w:trHeight w:val="121"/>
        </w:trPr>
        <w:tc>
          <w:tcPr>
            <w:tcW w:w="358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20% interest associate:</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40"/>
        </w:trPr>
        <w:tc>
          <w:tcPr>
            <w:tcW w:w="3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Gastrade S.A. (“Gastrade”)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Greece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June 2010</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Service company</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89"/>
        </w:trPr>
        <w:tc>
          <w:tcPr>
            <w:tcW w:w="248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102"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In 2023, the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changed from the flag of Bermuda to the flag of Greece and was renamed to </w:t>
      </w:r>
      <w:r>
        <w:rPr>
          <w:rFonts w:ascii="Times New Roman" w:cs="Times New Roman" w:eastAsia="Times New Roman" w:hAnsi="Times New Roman"/>
          <w:sz w:val="14"/>
          <w:szCs w:val="14"/>
          <w:i w:val="1"/>
          <w:iCs w:val="1"/>
          <w:color w:val="auto"/>
        </w:rPr>
        <w:t>Alexandroupolis</w:t>
      </w:r>
      <w:r>
        <w:rPr>
          <w:rFonts w:ascii="Times New Roman" w:cs="Times New Roman" w:eastAsia="Times New Roman" w:hAnsi="Times New Roman"/>
          <w:sz w:val="14"/>
          <w:szCs w:val="14"/>
          <w:color w:val="auto"/>
        </w:rPr>
        <w:t>.</w:t>
      </w:r>
    </w:p>
    <w:p>
      <w:pPr>
        <w:spacing w:after="0" w:line="57" w:lineRule="exact"/>
        <w:rPr>
          <w:rFonts w:ascii="Times New Roman" w:cs="Times New Roman" w:eastAsia="Times New Roman" w:hAnsi="Times New Roman"/>
          <w:sz w:val="22"/>
          <w:szCs w:val="22"/>
          <w:color w:val="auto"/>
          <w:vertAlign w:val="superscript"/>
        </w:rPr>
      </w:pPr>
    </w:p>
    <w:p>
      <w:pPr>
        <w:ind w:left="340" w:hanging="332"/>
        <w:spacing w:after="0" w:line="189" w:lineRule="auto"/>
        <w:tabs>
          <w:tab w:leader="none" w:pos="340" w:val="left"/>
        </w:tabs>
        <w:numPr>
          <w:ilvl w:val="0"/>
          <w:numId w:val="9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Expected quarter of delivery for newbuildings as of December 31, 2023, are presented.</w:t>
      </w:r>
    </w:p>
    <w:p>
      <w:pPr>
        <w:spacing w:after="0" w:line="179"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and GasLog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Salem</w:t>
      </w:r>
      <w:r>
        <w:rPr>
          <w:rFonts w:ascii="Times New Roman" w:cs="Times New Roman" w:eastAsia="Times New Roman" w:hAnsi="Times New Roman"/>
          <w:sz w:val="18"/>
          <w:szCs w:val="18"/>
          <w:color w:val="auto"/>
        </w:rPr>
        <w:t>, respectively, with a wholly-owned subsidiary of China Development Bank Financial Leasing Co., Ltd. (“CDBL”). The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sold and leased back under bareboat charters with CDBL for a period of five years with no repurchase option or obligation.</w:t>
      </w:r>
    </w:p>
    <w:p>
      <w:pPr>
        <w:spacing w:after="0" w:line="17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28, 2022, GasLog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The vessel was sold and leased back under a bareboat charter from CDBL for a period of five years with no repurchase option or obligation.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(previously owned by GAS-twenty Ltd.) to an unrelated third party.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31, 2022, GasLog Partners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with an unrelated third party.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was sold and leased back under a bareboat charter until the middle of 2025, with no repurchase option or obligation.</w:t>
      </w:r>
    </w:p>
    <w:p>
      <w:pPr>
        <w:spacing w:after="0" w:line="205"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and GasLog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Saratoga</w:t>
      </w:r>
      <w:r>
        <w:rPr>
          <w:rFonts w:ascii="Times New Roman" w:cs="Times New Roman" w:eastAsia="Times New Roman" w:hAnsi="Times New Roman"/>
          <w:sz w:val="18"/>
          <w:szCs w:val="18"/>
          <w:color w:val="auto"/>
        </w:rPr>
        <w:t>, respectively, with a wholly-owned subsidiary of CDBL. The vessels were sold and leased back under bareboat charters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CDBL for a period of five years with no repurchase option or obligation.</w:t>
      </w:r>
    </w:p>
    <w:p>
      <w:pPr>
        <w:spacing w:after="0" w:line="173"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17, 2023, GasLog completed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(previously owned by GasLog Hellas-2 Special Maritime Enterprise) to an unrelated third party.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entities in the Group have a December 31st year end. During 2023, the Group employed an average of 149 employees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 and 2021: 159).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GasLog and its subsidiaries have been prepared in accordance with International Financial Reporting Standards (“IFRS”) as issued by the International Accounting Standards Board (the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approval</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considering going concern management has reviewed the Group’s future cash requirements, covenant compliance and earnings projections. As of December 31, 2023, the Group’s current assets totaled $560,409, while current liabilities totaled $622,542, resulting in a negative working capital position of $62,133. Current liabilities include $88,323 relating to the NOK 2024 Bonds (as defined below) which mature in November 2024 (Note 13) and $66,414 of unearned revenue in relation to hires received in advance of December 31, 2023 (which represents a non-cash liability that will be recognized as revenue in January as the services are rendered).</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Management anticipates that our primary sources of funds over the next twelve months will be available cash, cash from operations,undrawn amounts under our existing facilities, future borrowings and future sale and leaseback transactions. Management believes that these anticipated sources of funds will be sufficient for the Company to meet its liquidity needs and to comply with its financial covenants for at least twelve months from the date of this report and therefore it is appropriate to prepare the financial statements on a going concern basis.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7, 2024, the financial statements were authorized on behalf of GasLog’s board of directors for issuance and filing.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GasLog and entities controlled by GasLog (its subsidiaries). Control is achieved where GasLog:</w:t>
      </w:r>
    </w:p>
    <w:p>
      <w:pPr>
        <w:spacing w:after="0" w:line="162" w:lineRule="exact"/>
        <w:rPr>
          <w:sz w:val="20"/>
          <w:szCs w:val="20"/>
          <w:color w:val="auto"/>
        </w:rPr>
      </w:pPr>
    </w:p>
    <w:p>
      <w:pPr>
        <w:ind w:left="680" w:hanging="321"/>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intra-group transactions, balances, income and expenses are eliminated in full on consolidation.</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 such subsidiaries.</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Total comprehensive income is attributed to a non-controlling interest even if this results in the non-controlling interest having a deficit balance.</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disposal of a subsidiary, the attributable amount of goodwill is included in the determination of the profit or loss on disposal.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associates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Times New Roman" w:cs="Times New Roman" w:eastAsia="Times New Roman" w:hAnsi="Times New Roman"/>
          <w:sz w:val="18"/>
          <w:szCs w:val="18"/>
          <w:i w:val="1"/>
          <w:iCs w:val="1"/>
          <w:color w:val="auto"/>
        </w:rPr>
        <w:t>Non-current Assets Held for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Discontinued Operations. </w:t>
      </w:r>
      <w:r>
        <w:rPr>
          <w:rFonts w:ascii="Times New Roman" w:cs="Times New Roman" w:eastAsia="Times New Roman" w:hAnsi="Times New Roman"/>
          <w:sz w:val="18"/>
          <w:szCs w:val="18"/>
          <w:color w:val="auto"/>
        </w:rPr>
        <w:t>An impairment assessment of investments in associates is performed when there is an indication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has been impaired or the impairment losses recognized in prior years no longer exist.</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Lease income from operating leases of vessels where the Group is a lessor is recognized in the consolidated statement of profit or loss on a straight-line basis over the lease term. The respective leased assets are included in the statement of financial position based on their nature under “Tangible fixed assets” or “Right-of-use assets”.</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Group is a lessee under vessel sale and leaseback arrangements and also leases various properties, vessel and office equipment. Rental contracts are typically made for fixed periods but may have extension options. Lease terms are negotiated on an individual basis and contain a wide range of different terms and conditions. On initial recognition, a lease is recognized as a right-of-use asset and a corresponding liability at the date at which the leased asset is available for use by the Group.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5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w:t>
      </w:r>
    </w:p>
    <w:p>
      <w:pPr>
        <w:ind w:firstLine="8"/>
        <w:spacing w:after="0" w:line="251"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which is the Group’s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the consolidated statement of profit or loss. Short-term leases are leases with a lease term of 12 months or less. Low-value items comprise of vessel or office equipment with value of less or equal to $5.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Group’s revenues comprise revenues from time charters for the charter hire of its vessels, management fees, project supervision income and other income earned during the period in accordance with existing contracts.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revenue is recognized “over time” as the customer (i.e., the charterer) is simultaneously receiving and consuming the benefits of the service.</w:t>
      </w:r>
    </w:p>
    <w:p>
      <w:pPr>
        <w:spacing w:after="0" w:line="12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is recognized on an accrual basis. Dividend income is recognized when the right to receive payment is established.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other borrowing costs and realized loss on cross currency swaps (“CCSs”) are recognized on an accrual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and bonds are classified in Financial costs, while all other foreign exchange differences are classified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for undrawn facilities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Non-current assets (such as vessels and FSRU)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under construction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Vessels under construction are presented at cost less identified impairment losses, if any. Costs include scheduled advance shipyard installment payments and other vessel costs including capitalized interest incurred during the construction period that are directly attributable to the acquisition or construction of the vessels.</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Upon completion of the construction, the vessels are presented on the statement of financial position in accordance with the “Tangible fixed assets: Property, plant and equipment” policy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Property, plant and equipment</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LNG vessels are also required to undergo an underwater survey in lieu of dry-docking (“intermediate survey”) in order to meet certain classification requirements. The intermediate survey component is recognized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useful lives of all long-lived assets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4560" w:type="dxa"/>
            <w:vAlign w:val="bottom"/>
            <w:tcBorders>
              <w:bottom w:val="single" w:sz="8" w:color="CCEEFF"/>
            </w:tcBorders>
          </w:tcPr>
          <w:p>
            <w:pPr>
              <w:spacing w:after="0"/>
              <w:rPr>
                <w:sz w:val="15"/>
                <w:szCs w:val="15"/>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Intermediate survey component</w:t>
            </w: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period until the next dry-docking (i.e. 1-3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computer, software and other office equipment</w:t>
            </w: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 years (or remaining term of the lease)</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the consolidated statement of profit or loss in the period of the change and future periods.</w:t>
      </w:r>
    </w:p>
    <w:p>
      <w:pPr>
        <w:spacing w:after="0" w:line="9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Management estimates the residual value of its vessels to be equal to the product of their lightweight tonnage (“LWT”) and an estimated scrap rate per LWT. The estimated residual value of the vessels may not represent the fair market value at any time partly because market prices of scrap values tend to fluctuate. The Group might revise the estimate of the residual values of the vessels in the future in response to changing market conditions.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15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When assets are sold, they are derecognized and any gain or loss resulting from their disposal is included in the consolidated statement of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tangible fixed assets, vessels under construction and right-of-use assets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or “Right-of-use assets”. Concurrently, an equal amount is deferred as a liability and amortized to the consolidated statement of profit or loss as revenue over the remaining tenure of the charter party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charter, the bunkers on board the vessel. Inventories are stated at the lower of cost calculated on a first in, first out basis, and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76" w:lineRule="exact"/>
        <w:rPr>
          <w:sz w:val="20"/>
          <w:szCs w:val="20"/>
          <w:color w:val="auto"/>
        </w:rPr>
      </w:pPr>
    </w:p>
    <w:p>
      <w:pPr>
        <w:ind w:left="680" w:hanging="321"/>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340" w:right="8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left="340" w:right="300"/>
        <w:spacing w:after="0" w:line="312" w:lineRule="auto"/>
        <w:rPr>
          <w:sz w:val="20"/>
          <w:szCs w:val="20"/>
          <w:color w:val="auto"/>
        </w:rPr>
      </w:pPr>
      <w:r>
        <w:rPr>
          <w:rFonts w:ascii="Times New Roman" w:cs="Times New Roman" w:eastAsia="Times New Roman" w:hAnsi="Times New Roman"/>
          <w:sz w:val="17"/>
          <w:szCs w:val="17"/>
          <w:color w:val="auto"/>
        </w:rPr>
        <w:t>Restricted cash comprises cash held that is not available for use by the Group including cash held in blocked accounts in order to comply with the covenants under the Group’s credit facilities and amounts held as guarantees as part of stand-by letters of credit.</w:t>
      </w:r>
    </w:p>
    <w:p>
      <w:pPr>
        <w:spacing w:after="0" w:line="136" w:lineRule="exact"/>
        <w:rPr>
          <w:sz w:val="20"/>
          <w:szCs w:val="20"/>
          <w:color w:val="auto"/>
        </w:rPr>
      </w:pPr>
    </w:p>
    <w:p>
      <w:pPr>
        <w:ind w:left="680" w:hanging="321"/>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cash deposits</w:t>
      </w:r>
    </w:p>
    <w:p>
      <w:pPr>
        <w:spacing w:after="0" w:line="229"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83"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Group recognizes lifetime expected credit losses (“ECLs”) on trade receivables. Under the simplified approach, the loss allowance is always equal to ECLs.</w:t>
      </w:r>
    </w:p>
    <w:p>
      <w:pPr>
        <w:spacing w:after="0" w:line="158" w:lineRule="exact"/>
        <w:rPr>
          <w:sz w:val="20"/>
          <w:szCs w:val="20"/>
          <w:color w:val="auto"/>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consolidated statement of profit or loss over the term of the borrowings.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also include arrangements such as sale and leaseback transactions with an option or obligation to repurchase the asset.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continues to recognize the asset and a financial liability for the amount of the consideration received from the customer.</w:t>
      </w:r>
    </w:p>
    <w:p>
      <w:pPr>
        <w:spacing w:after="0" w:line="203" w:lineRule="exact"/>
        <w:rPr>
          <w:sz w:val="20"/>
          <w:szCs w:val="20"/>
          <w:color w:val="auto"/>
        </w:rPr>
      </w:pPr>
    </w:p>
    <w:p>
      <w:pPr>
        <w:ind w:left="680" w:hanging="321"/>
        <w:spacing w:after="0"/>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162"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87"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 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89" w:lineRule="exact"/>
        <w:rPr>
          <w:sz w:val="20"/>
          <w:szCs w:val="20"/>
          <w:color w:val="auto"/>
        </w:rPr>
      </w:pPr>
    </w:p>
    <w:p>
      <w:pPr>
        <w:jc w:val="both"/>
        <w:ind w:left="340" w:right="280"/>
        <w:spacing w:after="0" w:line="266" w:lineRule="auto"/>
        <w:rPr>
          <w:sz w:val="20"/>
          <w:szCs w:val="20"/>
          <w:color w:val="auto"/>
        </w:rPr>
      </w:pPr>
      <w:r>
        <w:rPr>
          <w:rFonts w:ascii="Times New Roman" w:cs="Times New Roman" w:eastAsia="Times New Roman" w:hAnsi="Times New Roman"/>
          <w:sz w:val="18"/>
          <w:szCs w:val="18"/>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 hedges that qualify for hedge accounting</w:t>
      </w:r>
    </w:p>
    <w:p>
      <w:pPr>
        <w:spacing w:after="0" w:line="227" w:lineRule="exact"/>
        <w:rPr>
          <w:sz w:val="20"/>
          <w:szCs w:val="20"/>
          <w:color w:val="auto"/>
        </w:rPr>
      </w:pPr>
    </w:p>
    <w:p>
      <w:pPr>
        <w:ind w:left="340" w:right="100"/>
        <w:spacing w:after="0" w:line="253"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income/loss. The gain or loss relating to the ineffective portion is recognized immediately in the consolidated statement of profit or loss. Amounts previously recognized in other comprehensive income/loss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 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92"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7"/>
          <w:szCs w:val="17"/>
          <w:color w:val="auto"/>
        </w:rPr>
        <w:t xml:space="preserve">In accordance with the transition provisions, in December 2019 the Group adopted the amendments to IFRS 9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and IFRS 7 </w:t>
      </w:r>
      <w:r>
        <w:rPr>
          <w:rFonts w:ascii="Times New Roman" w:cs="Times New Roman" w:eastAsia="Times New Roman" w:hAnsi="Times New Roman"/>
          <w:sz w:val="17"/>
          <w:szCs w:val="17"/>
          <w:i w:val="1"/>
          <w:iCs w:val="1"/>
          <w:color w:val="auto"/>
        </w:rPr>
        <w:t>Financial Instruments: Disclosures which provide certain reliefs in connection with interest rate benchmark reform</w:t>
      </w:r>
      <w:r>
        <w:rPr>
          <w:rFonts w:ascii="Times New Roman" w:cs="Times New Roman" w:eastAsia="Times New Roman" w:hAnsi="Times New Roman"/>
          <w:sz w:val="17"/>
          <w:szCs w:val="17"/>
          <w:color w:val="auto"/>
        </w:rPr>
        <w:t>, retrospectively to hedging relationships that existed at the start of the reporting period or were designated thereafter. The amendments provide temporary relief from applying specific hedge accounting requirements to hedging relationships directly affected by interbank offered rate (“IBOR”) reform. The reliefs have the effect that IBOR reform should not generally cause hedge accounting to terminate. However, any hedge ineffectiveness should continue to be recorded in the income statement. The reliefs will cease to apply when the uncertainty arising from interest rate benchmark reform is no longer present. The Group uses CCSs in order to hedge the Group’s exposure to fluctuations deriving from its bonds (Note 26). The amendments permit continuation of hedge accounting even though there is uncertainty about the replacement of the floating interest rates included in its CCSs (Note 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 Short-term employee benefits</w:t>
      </w:r>
    </w:p>
    <w:p>
      <w:pPr>
        <w:spacing w:after="0" w:line="229"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(ii)Long-term employee benefits</w:t>
      </w:r>
    </w:p>
    <w:p>
      <w:pPr>
        <w:spacing w:after="0" w:line="229"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measured as the present value of expected future payments to be made with any unwind in the discount reflected in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Share-based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to employees and executives are measured at the fair value of the equity instruments on the grant date.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regarding the determination of the fair value of share-based transactions are set out in Note 22.</w:t>
      </w:r>
    </w:p>
    <w:p>
      <w:pPr>
        <w:spacing w:after="0" w:line="207"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3" w:lineRule="exact"/>
        <w:rPr>
          <w:sz w:val="20"/>
          <w:szCs w:val="20"/>
          <w:color w:val="auto"/>
        </w:rPr>
      </w:pPr>
    </w:p>
    <w:p>
      <w:pPr>
        <w:ind w:left="340"/>
        <w:spacing w:after="0" w:line="274" w:lineRule="auto"/>
        <w:rPr>
          <w:sz w:val="20"/>
          <w:szCs w:val="20"/>
          <w:color w:val="auto"/>
        </w:rPr>
      </w:pPr>
      <w:r>
        <w:rPr>
          <w:rFonts w:ascii="Times New Roman" w:cs="Times New Roman" w:eastAsia="Times New Roman" w:hAnsi="Times New Roman"/>
          <w:sz w:val="17"/>
          <w:szCs w:val="17"/>
          <w:color w:val="auto"/>
        </w:rPr>
        <w:t>If a grant of equity instruments is cancelled or settled during the vesting period (other than a grant cancelled by forfeiture when the vesting conditions are not satisfied), (a) the Group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Termination benefits</w:t>
      </w:r>
    </w:p>
    <w:p>
      <w:pPr>
        <w:spacing w:after="0" w:line="22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Group recognizes costs for a restructuring that is within the scope of IAS 37 </w:t>
      </w:r>
      <w:r>
        <w:rPr>
          <w:rFonts w:ascii="Times New Roman" w:cs="Times New Roman" w:eastAsia="Times New Roman" w:hAnsi="Times New Roman"/>
          <w:sz w:val="18"/>
          <w:szCs w:val="18"/>
          <w:i w:val="1"/>
          <w:iCs w:val="1"/>
          <w:color w:val="auto"/>
        </w:rPr>
        <w:t>Provisions, Contingent Liabilities and Contingent Assets</w:t>
      </w:r>
      <w:r>
        <w:rPr>
          <w:rFonts w:ascii="Times New Roman" w:cs="Times New Roman" w:eastAsia="Times New Roman" w:hAnsi="Times New Roman"/>
          <w:sz w:val="18"/>
          <w:szCs w:val="18"/>
          <w:color w:val="auto"/>
        </w:rPr>
        <w:t xml:space="preserve"> and which involve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present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the process of applying the GasLog’s accounting policies as of December 31, 2022, management made several critical accounting judgments in preparing its discounted cashflow analysis, that had the most significant effect on the amounts recognized in the consolidated financial statements. As of December 31, 2023, limited judgements were made in assessing internal and external factors of impairment and reversal triggers that could have impacted the amounts recognized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on vessels: </w:t>
      </w:r>
      <w:r>
        <w:rPr>
          <w:rFonts w:ascii="Times New Roman" w:cs="Times New Roman" w:eastAsia="Times New Roman" w:hAnsi="Times New Roman"/>
          <w:sz w:val="18"/>
          <w:szCs w:val="18"/>
          <w:color w:val="auto"/>
        </w:rPr>
        <w:t>The Group evaluates the carrying amounts of each of its vessels and vessels under construction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whether there is any indication that they have suffered an impairment loss by considering both internal and external sources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If any such indication exists, their recoverable amounts are estimated in order to determine the extent of the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if any. With respect to vessels, their total carrying amount as of December 31, 2023, was $3,876,050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$4,480,422). Recoverable amount is the higher of fair value less costs to sell and value in use. The Group’s estimates of recoverable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assume that the vessels are all in seaworthy condition without need for repair and certified in class without notations of any kind.</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Group obtains charter free market values for each vessel from independent and internationally recognized ship brokers on a semi-annual basis, which are also commonly used and accepted by the Group’s lenders for determining compliance with the relevant covenants in its credit facilities. Vessel values can be highly volatile, so the charter-free market values may not be indicative of the current or future market value of the Group’s vessels, or prices that could be achieved if it were to sell them.</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Group’s steam turbine propulsion (“Steam”) vessels, as estimated by ship brokers, driven by reduced market expectations of the long-term rates at which the Group could expect to secure term employment for the remaining economic lives of the Steam vessels, combined with potential costs of compliance with environmental regulations applicable from 2023 onwards, continued to influence management’s strategic decisions and prompted the Group to conclude that events and circumstances triggered the existence of potential impairment of Steam vessels, resulting in the company performing a discounted cash flow impairment analysis with no impairment indicators identified with respect to the remaining owned and bareboat fleet as of December 31, 2022.</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Group concluded that there were no events or circumstances triggering the existence of potential impairment or reversal of impairment of its owned and bareboat fleet.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25"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Standards and interpretations adopted in the current period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standards and amendments relevant to the Group were effective in the current year:</w:t>
      </w:r>
    </w:p>
    <w:p>
      <w:pPr>
        <w:spacing w:after="0" w:line="2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2021, the IASB amended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IFRS Practice Statement 2 and IAS 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Changes in Accounting Estimates and Errors </w:t>
      </w:r>
      <w:r>
        <w:rPr>
          <w:rFonts w:ascii="Times New Roman" w:cs="Times New Roman" w:eastAsia="Times New Roman" w:hAnsi="Times New Roman"/>
          <w:sz w:val="18"/>
          <w:szCs w:val="18"/>
          <w:color w:val="auto"/>
        </w:rPr>
        <w:t>to improve accounting policy disclosures and to help the users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distinguish between changes in accounting estimates and changes in accounting policies. The amendments are effective for annual periods beginning on or after January 1, 2023. These amendments did not have a material impact on the Group’s financial statements.</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All other IFRS standards and amendments that became effective in the current year were not relevant to the Group or were not material with respect to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date of authorization of these consolidated financial statements, the following standards and amendments relevant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were in issue but not yet effective:</w:t>
      </w:r>
    </w:p>
    <w:p>
      <w:pPr>
        <w:spacing w:after="0" w:line="20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2020, the IASB issued a narrow-scope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8"/>
          <w:szCs w:val="18"/>
          <w:i w:val="1"/>
          <w:iCs w:val="1"/>
          <w:color w:val="auto"/>
        </w:rPr>
        <w:t>Accounting Policies, Changes in Accounting Estimates and Errors</w:t>
      </w:r>
      <w:r>
        <w:rPr>
          <w:rFonts w:ascii="Times New Roman" w:cs="Times New Roman" w:eastAsia="Times New Roman" w:hAnsi="Times New Roman"/>
          <w:sz w:val="18"/>
          <w:szCs w:val="18"/>
          <w:color w:val="auto"/>
        </w:rPr>
        <w:t>. Earlier application is permitted. Management anticipates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will not have a material impact on the Group’s financial statements.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2023, the International Sustainability Standards Board (“ISSB”) issued IFRS S1 </w:t>
      </w:r>
      <w:r>
        <w:rPr>
          <w:rFonts w:ascii="Times New Roman" w:cs="Times New Roman" w:eastAsia="Times New Roman" w:hAnsi="Times New Roman"/>
          <w:sz w:val="18"/>
          <w:szCs w:val="18"/>
          <w:i w:val="1"/>
          <w:iCs w:val="1"/>
          <w:color w:val="auto"/>
        </w:rPr>
        <w:t>General Requirements for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Sustainability-related Financial Information </w:t>
      </w:r>
      <w:r>
        <w:rPr>
          <w:rFonts w:ascii="Times New Roman" w:cs="Times New Roman" w:eastAsia="Times New Roman" w:hAnsi="Times New Roman"/>
          <w:sz w:val="18"/>
          <w:szCs w:val="18"/>
          <w:color w:val="auto"/>
        </w:rPr>
        <w:t>and IFRS S2</w:t>
      </w:r>
      <w:r>
        <w:rPr>
          <w:rFonts w:ascii="Times New Roman" w:cs="Times New Roman" w:eastAsia="Times New Roman" w:hAnsi="Times New Roman"/>
          <w:sz w:val="18"/>
          <w:szCs w:val="18"/>
          <w:i w:val="1"/>
          <w:iCs w:val="1"/>
          <w:color w:val="auto"/>
        </w:rPr>
        <w:t xml:space="preserve"> Climate-related Disclosures</w:t>
      </w:r>
      <w:r>
        <w:rPr>
          <w:rFonts w:ascii="Times New Roman" w:cs="Times New Roman" w:eastAsia="Times New Roman" w:hAnsi="Times New Roman"/>
          <w:sz w:val="18"/>
          <w:szCs w:val="18"/>
          <w:color w:val="auto"/>
        </w:rPr>
        <w:t>. The objective of IFRS S1 and IFRS S2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an entity to disclose information about its sustainability-related risks and opportunities and climate-related risks and opportunities, respectively, that is useful to users of general-purpose financial reports in making decisions relating to providing resources to the entity. IFRS S1 is effective for annual reporting periods beginning on or after January 1, 2024 with earlier application permitted as long as IFRS S2 is also applied. IFRS S2 is effective for annual reporting periods beginning on or after January 1, 2024 with earlier application permitted as long as IFRS S1 is also applied. Management anticipates that these standards will have a disclosure impact on the Group’s financial statements.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2023,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2024 and management forecasts until 2027.</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assumptions used in the value-in-use calculations (2024 and beyond) are as follows:</w:t>
      </w:r>
    </w:p>
    <w:p>
      <w:pPr>
        <w:spacing w:after="0" w:line="225" w:lineRule="exact"/>
        <w:rPr>
          <w:sz w:val="20"/>
          <w:szCs w:val="20"/>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inflation of 1.0% per annum based on historical data and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discount rate of 10.2% per annum based on cost of equity;</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80" w:hanging="321"/>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growth rate of 1.0%;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Euro (“EUR”) = USD 1.09 based on the 2024 budget.</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76" w:lineRule="exact"/>
        <w:rPr>
          <w:sz w:val="20"/>
          <w:szCs w:val="20"/>
          <w:color w:val="auto"/>
        </w:rPr>
      </w:pPr>
    </w:p>
    <w:p>
      <w:pPr>
        <w:ind w:left="340" w:right="7560" w:hanging="332"/>
        <w:spacing w:after="0" w:line="532" w:lineRule="auto"/>
        <w:tabs>
          <w:tab w:leader="none" w:pos="196"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Transactions </w:t>
      </w:r>
      <w:r>
        <w:rPr>
          <w:rFonts w:ascii="Times New Roman" w:cs="Times New Roman" w:eastAsia="Times New Roman" w:hAnsi="Times New Roman"/>
          <w:sz w:val="17"/>
          <w:szCs w:val="17"/>
          <w:b w:val="1"/>
          <w:bCs w:val="1"/>
          <w:i w:val="1"/>
          <w:iCs w:val="1"/>
          <w:color w:val="auto"/>
        </w:rPr>
        <w:t>GasLog Partners’ offerings</w:t>
      </w:r>
    </w:p>
    <w:p>
      <w:pPr>
        <w:spacing w:after="0" w:line="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31, 2021, GasLog Partners entered into a Fourth Amended and Restated Equity Distribution Agreement to renew the Partnership’s “at-the-market” common equity offering programme (“ATM Programme”). Under the ATM Programme, in the year ended December 31, 2021, GasLog Partners issued and received payment for 3,195,401 common units at a weighted average price of $3.19 per common unit for total net proceeds, after deducting fees and other expenses, of $9,633. As of December 31, 2022, the unutilized portion of the ATM Programme was $116,351.</w:t>
      </w:r>
    </w:p>
    <w:p>
      <w:pPr>
        <w:spacing w:after="0" w:line="183" w:lineRule="exact"/>
        <w:rPr>
          <w:sz w:val="20"/>
          <w:szCs w:val="20"/>
          <w:color w:val="auto"/>
        </w:rPr>
      </w:pPr>
    </w:p>
    <w:p>
      <w:pPr>
        <w:jc w:val="both"/>
        <w:ind w:right="260" w:firstLine="324"/>
        <w:spacing w:after="0" w:line="282" w:lineRule="auto"/>
        <w:rPr>
          <w:sz w:val="20"/>
          <w:szCs w:val="20"/>
          <w:color w:val="auto"/>
        </w:rPr>
      </w:pPr>
      <w:r>
        <w:rPr>
          <w:rFonts w:ascii="Times New Roman" w:cs="Times New Roman" w:eastAsia="Times New Roman" w:hAnsi="Times New Roman"/>
          <w:sz w:val="18"/>
          <w:szCs w:val="18"/>
          <w:color w:val="auto"/>
        </w:rPr>
        <w:t>On April 6, 2021, GasLog Partners issued 8,976 common units in connection with the vesting of 5,984 Restricted Common Units (“RCUs”) and 2,992 Performance Common Units (“PCUs”) under its 2015 Long-Term Incentive Plan (the “GasLog Partners’ Plan”).</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July 1, 2021, GasLog Partners issued 415,000 common units in connection with GasLog’s option to convert the second tranche of its Class B units issued upon the elimination of incentive distribution rights (“IDRs”) in June 2019.</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April 1, 2022, GasLog Partners issued 33,700 common units in connection with the vesting of 19,638 RCUs and 14,062 PCUs under the GasLog Partners’ Plan. On June 30, 2022, GasLog Partners issued 101,964 common units in connection with the vesting of 50,982 RCUs and 50,982 PCUs under the GasLog Partners’ Plan.</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July 1, 2022, GasLog Partners issued 415,000 common units in connection with GasLog’s option to convert the third tranche of its Class B units issued upon the elimination of IDRs in June 2019.</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April 3, 2023, GasLog Partners issued 108,894 common units in connection with the vesting of 92,805 RCUs and 16,089 PCUs under the GasLog Partners’ Plan.</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July 3, 2023, GasLog Partners issued 415,000 common units in connection with GasLog’s election to convert the fourth tranche of its Class B units issued upon the elimination of IDRs in June 2019.</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Finally, under the Partnership’s preference unit repurchase programme established in 2021, renewed in 2022 and covering the period from March 11, 2021 to March 31, 2023, the preference units repurchased and cancelled as well as the amounts paid including commissions for the years ended December 31, 2021 and 2022 are presented in the following table, there were no preference units repurchased and cancelled for the year ended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56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5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Amount paid including</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Partnership’s Series B Preference Units</w:t>
            </w: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464,429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Partnership’s Series C Preference Units</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269,549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2021</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733,978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Partnership’s Series A Preference Units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Partnership’s Series B Preference Units</w:t>
            </w:r>
          </w:p>
        </w:tc>
        <w:tc>
          <w:tcPr>
            <w:tcW w:w="2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Partnership’s Series C Preference Units</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669,406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2022</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1,973,611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0" w:type="dxa"/>
            <w:vAlign w:val="bottom"/>
            <w:gridSpan w:val="3"/>
          </w:tcPr>
          <w:p>
            <w:pPr>
              <w:jc w:val="right"/>
              <w:ind w:right="2134"/>
              <w:spacing w:after="0"/>
              <w:rPr>
                <w:sz w:val="20"/>
                <w:szCs w:val="20"/>
                <w:color w:val="auto"/>
              </w:rPr>
            </w:pPr>
            <w:r>
              <w:rPr>
                <w:rFonts w:ascii="Times New Roman" w:cs="Times New Roman" w:eastAsia="Times New Roman" w:hAnsi="Times New Roman"/>
                <w:sz w:val="18"/>
                <w:szCs w:val="18"/>
                <w:color w:val="auto"/>
              </w:rPr>
              <w:t>F-23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further described in Note 1, on July 7, 2023, the Partnership’s common unitholders voted to approve the Transaction, with GasLog acquiring all of the outstanding common units of the Partnership not already beneficially owned by GasLog. The payment date for the 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Upon the completion of the Transaction, 36,175,157 common units and the remaining 830,000 Class B units were cancelled.</w:t>
      </w:r>
    </w:p>
    <w:p>
      <w:pPr>
        <w:spacing w:after="0" w:line="1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Dividends declared attributable to non-controlling interests included in the consolidated statement of changes in equity represent cash distributions to holders of common and preference units.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the board of directors of the Partnership approved and declared cash distributions of $119,377 and of $26,747 for the common units and preference units, respectively, held by non-controlling interests.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Allocation of GasLog Partners’ (loss)/profit</w:t>
            </w: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(loss)/profit attributable to:</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106,716</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Preference unitholders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Partnership’s (loss)/profit allocated to GasLog</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2"/>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(7,127)</w:t>
            </w: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29,189</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71,251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allocated to non-controlling interests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67,458</w:t>
            </w: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in Associates and Joint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participates in the following associates: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60" w:type="dxa"/>
            <w:vAlign w:val="bottom"/>
            <w:gridSpan w:val="6"/>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60" w:type="dxa"/>
            <w:vAlign w:val="bottom"/>
            <w:tcBorders>
              <w:bottom w:val="single" w:sz="8" w:color="auto"/>
            </w:tcBorders>
            <w:gridSpan w:val="4"/>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relationship</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method</w:t>
            </w:r>
          </w:p>
        </w:tc>
        <w:tc>
          <w:tcPr>
            <w:tcW w:w="18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Principal activity</w:t>
            </w:r>
          </w:p>
        </w:tc>
        <w:tc>
          <w:tcPr>
            <w:tcW w:w="0" w:type="dxa"/>
            <w:vAlign w:val="bottom"/>
          </w:tcPr>
          <w:p>
            <w:pPr>
              <w:spacing w:after="0"/>
              <w:rPr>
                <w:sz w:val="1"/>
                <w:szCs w:val="1"/>
                <w:color w:val="auto"/>
              </w:rPr>
            </w:pPr>
          </w:p>
        </w:tc>
      </w:tr>
      <w:tr>
        <w:trPr>
          <w:trHeight w:val="209"/>
        </w:trPr>
        <w:tc>
          <w:tcPr>
            <w:tcW w:w="34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Egypt LNG Shipping Ltd.</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Equity method</w:t>
            </w:r>
          </w:p>
        </w:tc>
        <w:tc>
          <w:tcPr>
            <w:tcW w:w="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Vessel-owning company</w:t>
            </w:r>
          </w:p>
        </w:tc>
        <w:tc>
          <w:tcPr>
            <w:tcW w:w="0" w:type="dxa"/>
            <w:vAlign w:val="bottom"/>
          </w:tcPr>
          <w:p>
            <w:pPr>
              <w:spacing w:after="0"/>
              <w:rPr>
                <w:sz w:val="1"/>
                <w:szCs w:val="1"/>
                <w:color w:val="auto"/>
              </w:rPr>
            </w:pPr>
          </w:p>
        </w:tc>
      </w:tr>
      <w:tr>
        <w:trPr>
          <w:trHeight w:val="35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Gastrade</w:t>
            </w:r>
            <w:r>
              <w:rPr>
                <w:rFonts w:ascii="Times New Roman" w:cs="Times New Roman" w:eastAsia="Times New Roman" w:hAnsi="Times New Roman"/>
                <w:sz w:val="26"/>
                <w:szCs w:val="26"/>
                <w:color w:val="auto"/>
                <w:vertAlign w:val="superscript"/>
              </w:rPr>
              <w:t>(2)</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Greece</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20 % Associate</w:t>
            </w: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Equity method</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Service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Egypt LNG Shipping Ltd. owns and operates a 145,000 cbm LNG vessel built in 2007.</w:t>
      </w:r>
    </w:p>
    <w:p>
      <w:pPr>
        <w:spacing w:after="0" w:line="3" w:lineRule="exact"/>
        <w:rPr>
          <w:rFonts w:ascii="Times New Roman" w:cs="Times New Roman" w:eastAsia="Times New Roman" w:hAnsi="Times New Roman"/>
          <w:sz w:val="11"/>
          <w:szCs w:val="11"/>
          <w:color w:val="auto"/>
        </w:rPr>
      </w:pPr>
    </w:p>
    <w:p>
      <w:pPr>
        <w:ind w:left="340" w:right="160" w:hanging="332"/>
        <w:spacing w:after="0" w:line="239" w:lineRule="auto"/>
        <w:tabs>
          <w:tab w:leader="none" w:pos="340" w:val="left"/>
        </w:tabs>
        <w:numPr>
          <w:ilvl w:val="0"/>
          <w:numId w:val="10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Gastrade is a private limited company licensed to develop an independent natural gas system offshore Alexandroupolis in Northern Greece utilizing an FSRU along with other fixed infrastructure.</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investment in associates are reported in the following table:</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Associates</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0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43,081</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additions of $13,493 relate mainly to capital contribution of $3,871 and subordinated loan of $9,047 for the investment in Gastrade. On February 9, 2017, the Group acquired a 20% shareholding in Gastrade, a private limited company licensed to develop an independent natural gas system offshore Alexandroupolis in Northern Greece utilizing an FSRU along with other fixed infrastructure. The Group, as well as being a shareholder, provides operations and maintenance (“ O&amp;M”) services for the FSRU through an O&amp;M agreement which was signed on February 23, 2018.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April 3, 2023, the Company acquired a 33.3% shareholding in CLEOS SINGLE MEMBER PRIVATE COMPANY (“CLEOS”), a single member private company for the a) conduct of scientific research in the fields of energy, fuels and technology in general, b) provision of consulting services to its partners, c) commercial application of any technologies developed and d) development and implementation of innovative decarbonization technologies. The Company invested in CLEOS an amount of $248 in exchange for its 33.3% interest in CLEOS. The investment in CLEOS is classified as joint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Tangible Fixed Assets and Vessels Under Construction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tangible fixed assets and vessels under construction are reported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tangible</w:t>
            </w: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Vessels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12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1"/>
              </w:rPr>
              <w:t>Cost</w:t>
            </w:r>
          </w:p>
        </w:tc>
        <w:tc>
          <w:tcPr>
            <w:tcW w:w="50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6,265,547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6,302,766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(530,752)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(530,752)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5,739,816</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41,222</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5,781,038</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(574,399)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(574,399)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under Vessels under construction</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(167,863)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(167,863)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 under FSRU held for sale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(12,979)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5,002,159</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43,225</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5,045,384</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 loss</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1,293,264</w:t>
            </w: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6,673</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1,299,937</w:t>
            </w: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(266,735)</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(266,735)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1,259,394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1,266,375</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(215,884)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(215,884)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 under Vessels under construction</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(63,934)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1,126,109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1,132,622</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4,480,422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34,241</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4,514,663</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3,876,050</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36,712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3,912,762</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Vessels with an aggregate carrying amount of $3,876,050 as of December 31, 2023 (December 31, 2022: $4,480,422) have been pledged as collateral under the terms of the Group’s credit facilities (Note 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February 2, 2022, GasLog entered into an agreement for the sale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a 153,600 cbm tri-fuel diesel electric propulsion (“TFDE”) LNG carrier built in 2010 to Gastrade for $265,086, payable in installments, following its conversion to an FSRU. The sale is expected to be completed in the first half of 2024. On February 3, 2022, GasLog, through its subsidiary GAS-fifteen Ltd., issued a Final Notice to Proceed to Seatrium O&amp;G (Americas) Limited, formerly known as Keppel Shipyard Ltd. (“Seatrium”) to convert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into an FSRU in connection with the Final Investment Decision (“FID”) taken by Gastrade for the construction of a regasification terminal in Alexandroupolis. In 2023,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changed from the flag of Bermuda to the flag of Greece and was renamed to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The proceeds from the sale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and specifically the amount of $245,581 (including $7,004 of extra proceeds due to variation orders) (December 31, 2022: $108,632, including $2,598 of extra proceeds due to variation orders) already received as of December 31, 2023 and the amount of $26,509 received in 2024 were considered as a significant financing component according to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were initially recognized under Other non-current liabilities. Consequently, the Group assessed the interest to be capitalized over time relating to the transaction, and the capitalized amount as of December 31, 2023 was $12,329 (December 31, 2022: $3,294) and was initially included in Vessels Under Construction and Other non-current liabilities. All criteria outlined by IFRS 5 </w:t>
      </w:r>
      <w:r>
        <w:rPr>
          <w:rFonts w:ascii="Times New Roman" w:cs="Times New Roman" w:eastAsia="Times New Roman" w:hAnsi="Times New Roman"/>
          <w:sz w:val="18"/>
          <w:szCs w:val="18"/>
          <w:i w:val="1"/>
          <w:iCs w:val="1"/>
          <w:color w:val="auto"/>
        </w:rPr>
        <w:t>Non-current Assets Held for Sale and Discontinued Operations</w:t>
      </w:r>
      <w:r>
        <w:rPr>
          <w:rFonts w:ascii="Times New Roman" w:cs="Times New Roman" w:eastAsia="Times New Roman" w:hAnsi="Times New Roman"/>
          <w:sz w:val="18"/>
          <w:szCs w:val="18"/>
          <w:color w:val="auto"/>
        </w:rPr>
        <w:t xml:space="preserve"> were deemed to have been met as of December 31, 2023. As a result, the carrying amount of the FSRU recorded in Vessels Under Construction was reclassified as “FSRU held for sale” (within current assets) and remeasured at the lower of its carrying amount and its fair value less costs to sell, resulting in no recognition of impairment loss and the proceeds and the imputed interest initially recorded under Other non-current liabilities were reclassified as “Other payables and accruals” (within current liabilities) (Note 14). During the year ended December 31, 2023, the Group recorded a credit against impairment loss of $3,788 in relation to the write-off of a cost included in Tangible Fixed Assets before the remeasurement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the recognition of an impairment loss of $9,534 on March 31, 2022.</w:t>
      </w:r>
    </w:p>
    <w:p>
      <w:pPr>
        <w:spacing w:after="0" w:line="189" w:lineRule="exact"/>
        <w:rPr>
          <w:sz w:val="20"/>
          <w:szCs w:val="20"/>
          <w:color w:val="auto"/>
        </w:rPr>
      </w:pPr>
    </w:p>
    <w:p>
      <w:pPr>
        <w:ind w:right="5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28, 2022, GAS-six Ltd. completed the sale and leaseback of the TFDE vessel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(Note 7).</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June 2022, GAS-twenty Ltd., the vessel-owning entity of the Steam vessel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with the transaction completed on September 14, 2022. Also, as of June 30, 2022, GasLog Partners was actively pursuing to enter into an agreement for the sale and lease-back of a Steam vessel,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which was completed on October 31, 2022 (Note 7).</w:t>
      </w:r>
    </w:p>
    <w:p>
      <w:pPr>
        <w:spacing w:after="0" w:line="180"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March 30, 2023, GAS-five Ltd. and GAS-nine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Saratoga</w:t>
      </w:r>
      <w:r>
        <w:rPr>
          <w:rFonts w:ascii="Times New Roman" w:cs="Times New Roman" w:eastAsia="Times New Roman" w:hAnsi="Times New Roman"/>
          <w:sz w:val="18"/>
          <w:szCs w:val="18"/>
          <w:color w:val="auto"/>
        </w:rPr>
        <w:t>, respectively, with a wholly-owned subsidiary of CDBL (Note 7). All criteria outlined by IFRS 5</w:t>
      </w:r>
      <w:r>
        <w:rPr>
          <w:rFonts w:ascii="Times New Roman" w:cs="Times New Roman" w:eastAsia="Times New Roman" w:hAnsi="Times New Roman"/>
          <w:sz w:val="18"/>
          <w:szCs w:val="18"/>
          <w:i w:val="1"/>
          <w:iCs w:val="1"/>
          <w:color w:val="auto"/>
        </w:rPr>
        <w:t xml:space="preserve"> Non-current Assets Held for Sale and Discontinued Operations </w:t>
      </w:r>
      <w:r>
        <w:rPr>
          <w:rFonts w:ascii="Times New Roman" w:cs="Times New Roman" w:eastAsia="Times New Roman" w:hAnsi="Times New Roman"/>
          <w:sz w:val="18"/>
          <w:szCs w:val="18"/>
          <w:color w:val="auto"/>
        </w:rPr>
        <w:t>were deemed to have been met on that date and as a result, both vessels were initially remeasured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lower of their carrying amount and fair value less costs to sell, resulting in the recognition of a non-cash impairment loss of $142 and $6,053 for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respectively. In addition, a loss on disposal of $660 and $649 was recorded in the consolidated statement of profit or loss for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respectively.</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January 17, 2023, GasLog Hellas-2 Special Maritime Enterprise, the vessel-owning entity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and the sale was completed on July 17, 2023. All criteria outlined by IFRS 5 </w:t>
      </w:r>
      <w:r>
        <w:rPr>
          <w:rFonts w:ascii="Times New Roman" w:cs="Times New Roman" w:eastAsia="Times New Roman" w:hAnsi="Times New Roman"/>
          <w:sz w:val="18"/>
          <w:szCs w:val="18"/>
          <w:i w:val="1"/>
          <w:iCs w:val="1"/>
          <w:color w:val="auto"/>
        </w:rPr>
        <w:t>Non-current Assets Held for Sale and Discontinued Operations</w:t>
      </w:r>
      <w:r>
        <w:rPr>
          <w:rFonts w:ascii="Times New Roman" w:cs="Times New Roman" w:eastAsia="Times New Roman" w:hAnsi="Times New Roman"/>
          <w:sz w:val="18"/>
          <w:szCs w:val="18"/>
          <w:color w:val="auto"/>
        </w:rPr>
        <w:t xml:space="preserve"> were deemed to have been met as of January 31, 2023. As a result, the carrying amount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($63,783) was remeasured at the lower of the carrying amount and fair value less costs to sell, resulting in the recognition of an impairment loss of $9,333 and was reclassified as “Vessel held for sale” (within current assets). During the year ended December 31, 2023, a loss of $749 arising from the sale of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was recorded in the consolidated statement of profit or loss.</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Group concluded that there were no events or circumstances triggering the existence of potential impairment or reversal of impairment of its vessels.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under construction</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GasLog has the following newbuildings on order at Hanwha Ocean Co. Ltd. (“Hanwha”), an affiliate of the Hanwha Group and formerly known as Daewoo Shipbuilding and Marine Engineering Co., Ltd.:</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LNG Carrier</w:t>
            </w: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delivery</w:t>
            </w: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(cbm)</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Hull No. 2532</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2021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Q3 2024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Hull No. 2533</w:t>
            </w:r>
          </w:p>
        </w:tc>
        <w:tc>
          <w:tcPr>
            <w:tcW w:w="1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November 2021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Q3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Hull No. 2534</w:t>
            </w:r>
          </w:p>
        </w:tc>
        <w:tc>
          <w:tcPr>
            <w:tcW w:w="13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November 2021</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Q3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Hull No. 2535</w:t>
            </w:r>
          </w:p>
        </w:tc>
        <w:tc>
          <w:tcPr>
            <w:tcW w:w="1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November 2021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Q4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Vessels under construction represent scheduled advance payments to the shipyards as well as certain capitalized expenditures. As of December 31, 2023, the Group has paid to the shipyard $247,709 for the vessels that are under construction and expects to pay the remaining installments as they come due upon each vessel’s keel laying, launching and delivery or achievement of other agreed milestones (Note 23(a)).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vessels under construction costs as of December 31, 2022 and 2023 are comprised of:</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Progress shipyard installments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Onsite supervision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Critical spare parts, equipment and other vessel delivery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210,099</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265,575</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Group recognises lease liabilities in relation to leases of various properties, vessel communication equipment and certain printers.</w:t>
      </w:r>
    </w:p>
    <w:p>
      <w:pPr>
        <w:spacing w:after="0" w:line="16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February 24, 2016, GasLog’s subsidiary, GAS-twenty six Ltd., completed the sale and leaseback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with a subsidiary of Mitsui &amp; Co., Ltd.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and GasLog’s subsidiary,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a wholly-owned subsidiary of CDBL. CDBL has the right to sell the vessels to third parties. The vessels were sold to CDBL for net proceeds of $242,979. GasLog Partners and GasLog, respectively, leased back the vessels under bareboat charters from CDBL for a period of five years with no repurchase option or obligation. These sale and leasebacks meet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$173,550 and a corresponding lease liability of $118,176.</w:t>
      </w:r>
    </w:p>
    <w:p>
      <w:pPr>
        <w:spacing w:after="0" w:line="18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28, 2022, GasLog’s subsidiary,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CDBL has the right to sell the vessel to third parties. The vessel was sold to CDBL for net proceeds of $123,448. GasLog leased back the vessel under a bareboat charter from CDBL for a period of five years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$83,969 and a corresponding lease liability of $57,412.</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third party (which has the right to sell the vessel to third parties) for net proceeds of $49,472. GasLog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leased back the vessel under a bareboat charter until the middle of 2025,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$30,345 and a corresponding lease liability of $18,719.</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30, 2023, GasLog Partner’s subsidiary, GAS-five Ltd., and GasLog’s subsidiary, GAS-nine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respectively, with a wholly-owned subsidiary of CDBL. The vessels were sold to CDBL for net proceeds of $278,297 and leased back under bareboat charters for a period of five years with no repurchase option or obligation. These sale and leasebacks meet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right-of-use assets of $136,037 and corresponding lease liabilities of $111,578.</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right-of-use assets are reported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Vessels’</w:t>
            </w:r>
          </w:p>
        </w:tc>
        <w:tc>
          <w:tcPr>
            <w:tcW w:w="140" w:type="dxa"/>
            <w:vAlign w:val="bottom"/>
          </w:tcPr>
          <w:p>
            <w:pPr>
              <w:spacing w:after="0"/>
              <w:rPr>
                <w:sz w:val="13"/>
                <w:szCs w:val="13"/>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20" w:type="dxa"/>
            <w:vAlign w:val="bottom"/>
          </w:tcPr>
          <w:p>
            <w:pPr>
              <w:spacing w:after="0"/>
              <w:rPr>
                <w:sz w:val="13"/>
                <w:szCs w:val="13"/>
                <w:color w:val="auto"/>
              </w:rPr>
            </w:pPr>
          </w:p>
        </w:tc>
        <w:tc>
          <w:tcPr>
            <w:tcW w:w="8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356,555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363,035</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Additions/(write-offs),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113,929</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(57,675)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9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(60,479)</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413,151</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2,458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416,485</w:t>
            </w:r>
          </w:p>
        </w:tc>
        <w:tc>
          <w:tcPr>
            <w:tcW w:w="0" w:type="dxa"/>
            <w:vAlign w:val="bottom"/>
          </w:tcPr>
          <w:p>
            <w:pPr>
              <w:spacing w:after="0"/>
              <w:rPr>
                <w:sz w:val="1"/>
                <w:szCs w:val="1"/>
                <w:color w:val="auto"/>
              </w:rPr>
            </w:pPr>
          </w:p>
        </w:tc>
      </w:tr>
      <w:tr>
        <w:trPr>
          <w:trHeight w:val="210"/>
        </w:trPr>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146,093</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(91,877)</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(1,258)</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(839)</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(93,975)</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464,835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468,603</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An analysis of the lease liabilities is as follows: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75,788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(55,901)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48,548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383,425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An amount of $320 has been recognized in the consolidated statement of profit or loss for the year ended December 31, 2023 ($337 for the year ended December 31, 2022), which represents the lease expense incurred for low value leases not included in the measurement of the right-of-use assets and the lease liability.</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An amount of $82 has been recognized in the consolidated statement of profit or loss for the year ended December 31, 2023 ($6 for the year ended December 31, 2022), which represents the lease expense incurred for short-term leases not included in the measurement of the right-of-use assets and lease liability.</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An amount of $183,472 has been recognized in the consolidated statement of profit or loss for the year ended December 31, 2023 ($108,773 for the year ended December 31, 2022, $42,034 for the year ending December 31, 2021), which represents the revenue from subleasing right-of-use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(with original maturities of three months or less)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 management client accounts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368,286</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221,371</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as of December 31, 2022 and 2023 represents cash provided for bank guarantees (Note 23).</w:t>
      </w:r>
    </w:p>
    <w:p>
      <w:pPr>
        <w:spacing w:after="0" w:line="22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 amount of $10,000 of time deposits with an original duration greater than three months was classified under short-term cash deposits ($36,000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Trade and Other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and other receivables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22,897</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36,718</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Accrued income represents net revenues receivable from charterers, which have not yet been invoiced; all other amounts not yet invoiced are included under Other receivables.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and 2023 no allowance for expected credit losses was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guarantees</w:t>
            </w:r>
          </w:p>
        </w:tc>
        <w:tc>
          <w:tcPr>
            <w:tcW w:w="3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71"/>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F-29</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 Capital and Preference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GasLog’s authorized share capital consists of 500,000,000 shares with a par value $0.01 per share.</w:t>
      </w:r>
    </w:p>
    <w:p>
      <w:pPr>
        <w:spacing w:after="0" w:line="225"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On August 2, 2023, the board of directors of GasLog approved a preference share repurchase programme of up to $35,000 of GasLog’s Preference Shares, effective immediately. Under the terms of the preference repurchase programme, GasLog may repurchase GasLog’s Preference Shares from time to time, at GasLog’s discretion, on the open market, in privately negotiated transactions or through redemptions. Any repurchases are subject to market conditions, applicable law and conditions. GasLog is not obligated under the preference repurchase programme to repurchase any specific dollar amount or number of GasLog’s Preference Shares, and the preference repurchase programme may be modified, suspended or discontinued at any time or never utilized. In the year ended December 31, 2023, and since the inception of the repurchase programme but prior to the Partial Redemption (as defined below), GasLog has repurchased an aggregate of 58,319 of GasLog’s Preference Shares at a weighted average price of $24.64 per preference share. The total amount paid during the year ended December 31, 2023 for repurchases of GasLog’s Preference Shares was $1,440, including commissions.</w:t>
      </w:r>
    </w:p>
    <w:p>
      <w:pPr>
        <w:spacing w:after="0" w:line="17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On December 28, 2023, GasLog completed the redemption of 4,341,681 shares of its outstanding Preference Shares (the “Partial Redemption”) held by shareholders of record as of November 27, 2023, pursuant to the Certificate of Designations, dated as of March 30, 2015 (the “Certificate of Designations”). The redemption price of the Preference Shares was $25.00 per share plus accrued and unpaid dividends in respect of the Preference Shares up to, but not including, the redemption date of December 28, 2023.</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Preference Shares redeemed in connection with the Partial Redemption are no longer outstanding and all rights with respect to such stock have ceased and terminated. The Preference Shares not redeemed in connection with the Partial Redemption remain issued and outstanding and subject to all the terms provided in the Certificate of Designations.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total amount paid including fees, during the year ended December 31, 2023 for the Partial Redemption of GasLog’s Preference Shares was $108,612.</w:t>
      </w:r>
    </w:p>
    <w:p>
      <w:pPr>
        <w:spacing w:after="0" w:line="16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 share capital consisted of 95,389,062 issued and outstanding common shares, par value $0.01 per share and 200,000 Preference Shares issued and outstanding (December 31, 2022: 95,389,062 issued and outstanding common shares, par value $0.01 per share and 4,600,000 Preference Shares issued and outstanding, December 31, 2021: 95,389,062 issued and outstanding common shares, par value $0.01 per share and 4,600,000 Preference Shares issued and outstanding). The movements in the number of shares, the share capital, the Preference Shares, the contributed surplus and the treasury shares are reported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treasury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Outstanding as of January 1, 2021</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95,176,443</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216,683</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4,600,000</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759,822</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(1,340)</w:t>
            </w:r>
          </w:p>
        </w:tc>
        <w:tc>
          <w:tcPr>
            <w:tcW w:w="0" w:type="dxa"/>
            <w:vAlign w:val="bottom"/>
          </w:tcPr>
          <w:p>
            <w:pPr>
              <w:spacing w:after="0"/>
              <w:rPr>
                <w:sz w:val="1"/>
                <w:szCs w:val="1"/>
                <w:color w:val="auto"/>
              </w:rPr>
            </w:pPr>
          </w:p>
        </w:tc>
      </w:tr>
      <w:tr>
        <w:trPr>
          <w:trHeight w:val="106"/>
        </w:trPr>
        <w:tc>
          <w:tcPr>
            <w:tcW w:w="34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Treasury shares distributed for awards vested 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212,619</w:t>
            </w:r>
          </w:p>
        </w:tc>
        <w:tc>
          <w:tcPr>
            <w:tcW w:w="16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(212,619)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exercised in the year</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shares cancelled</w:t>
            </w: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Dividends declared deducted from contributed surplus</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(67,286)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to accumulated deficit</w:t>
            </w:r>
          </w:p>
        </w:tc>
        <w:tc>
          <w:tcPr>
            <w:tcW w:w="11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Outstanding as of December 31, 2021</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95,389,062</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4,600,000</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692,536</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6"/>
        </w:trPr>
        <w:tc>
          <w:tcPr>
            <w:tcW w:w="34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Dividends declared deducted from contributed surplus</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(33,648)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to accumulated deficit</w:t>
            </w:r>
          </w:p>
        </w:tc>
        <w:tc>
          <w:tcPr>
            <w:tcW w:w="11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Outstanding as of December 31, 2022</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95,389,062</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4,600,000</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658,888</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6"/>
        </w:trPr>
        <w:tc>
          <w:tcPr>
            <w:tcW w:w="34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Partial redemption of GasLog’s preference shares, net of</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(4,341,681)</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(43)</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(108,569)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fees</w:t>
            </w:r>
          </w:p>
        </w:tc>
        <w:tc>
          <w:tcPr>
            <w:tcW w:w="11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Merger transaction- difference between net book value</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383,747</w:t>
            </w: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acquired subsidiary and consideration paid</w:t>
            </w:r>
          </w:p>
        </w:tc>
        <w:tc>
          <w:tcPr>
            <w:tcW w:w="11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GasLog’s preference shares</w:t>
            </w: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(58,319)</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(1,439)</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Merger consideration fees</w:t>
            </w: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(3,319)</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Outstanding as of December 31, 2023</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95,389,062</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200,000</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929,308</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treasury shares acquired by GasLog in 2014, 2018, 2019 and 2020 in relation to the settlement of share-based compensation awards were cancelled in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Reserves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reserves are reported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Hedging</w:t>
            </w: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22,588</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18,667</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share-based compensation</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(3,599)</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20,162</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16,464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share-based compensation</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19,139</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15,236</w:t>
            </w:r>
          </w:p>
        </w:tc>
        <w:tc>
          <w:tcPr>
            <w:tcW w:w="0" w:type="dxa"/>
            <w:vAlign w:val="bottom"/>
          </w:tcPr>
          <w:p>
            <w:pPr>
              <w:spacing w:after="0"/>
              <w:rPr>
                <w:sz w:val="1"/>
                <w:szCs w:val="1"/>
                <w:color w:val="auto"/>
              </w:rPr>
            </w:pPr>
          </w:p>
        </w:tc>
      </w:tr>
      <w:tr>
        <w:trPr>
          <w:trHeight w:val="858"/>
        </w:trPr>
        <w:tc>
          <w:tcPr>
            <w:tcW w:w="4620" w:type="dxa"/>
            <w:vAlign w:val="bottom"/>
          </w:tcPr>
          <w:p>
            <w:pPr>
              <w:spacing w:after="0"/>
              <w:rPr>
                <w:sz w:val="24"/>
                <w:szCs w:val="24"/>
                <w:color w:val="auto"/>
              </w:rPr>
            </w:pPr>
          </w:p>
        </w:tc>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F-31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GasLog’s dividend distributions for the years ended December 31, 2021, 2022 and 2023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 shares</w:t>
            </w:r>
          </w:p>
        </w:tc>
        <w:tc>
          <w:tcPr>
            <w:tcW w:w="14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21, 2021</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0.05</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11, 2021</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11, 2021</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May 5, 2021</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May 26,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13, 2021</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30,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4, 2021</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August 11,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16, 2021</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October 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0.10</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October 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2021</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November 18,</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2021</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2021</w:t>
            </w:r>
          </w:p>
        </w:tc>
        <w:tc>
          <w:tcPr>
            <w:tcW w:w="130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0.10</w:t>
            </w:r>
          </w:p>
        </w:tc>
        <w:tc>
          <w:tcPr>
            <w:tcW w:w="2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February 28,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67,286</w:t>
            </w:r>
          </w:p>
        </w:tc>
        <w:tc>
          <w:tcPr>
            <w:tcW w:w="0" w:type="dxa"/>
            <w:vAlign w:val="bottom"/>
          </w:tcPr>
          <w:p>
            <w:pPr>
              <w:spacing w:after="0"/>
              <w:rPr>
                <w:sz w:val="1"/>
                <w:szCs w:val="1"/>
                <w:color w:val="auto"/>
              </w:rPr>
            </w:pPr>
          </w:p>
        </w:tc>
      </w:tr>
      <w:tr>
        <w:trPr>
          <w:trHeight w:val="210"/>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February 23, 2022</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March 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March 9, 2022</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April 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10, 2022</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12,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10, 2022</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July 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3, 2022</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August 5,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3, 2022</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October 4,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November 10,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November 9, 2022</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December 30,</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29, 2022</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67,296</w:t>
            </w:r>
          </w:p>
        </w:tc>
        <w:tc>
          <w:tcPr>
            <w:tcW w:w="0" w:type="dxa"/>
            <w:vAlign w:val="bottom"/>
          </w:tcPr>
          <w:p>
            <w:pPr>
              <w:spacing w:after="0"/>
              <w:rPr>
                <w:sz w:val="1"/>
                <w:szCs w:val="1"/>
                <w:color w:val="auto"/>
              </w:rPr>
            </w:pPr>
          </w:p>
        </w:tc>
      </w:tr>
      <w:tr>
        <w:trPr>
          <w:trHeight w:val="210"/>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February 24,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March 1, 2023</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April 3,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10, 2023</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May 12,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May 10, 2023</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July 3,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2, 2023</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August 4,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2, 2023</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October 2,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November 16,</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2023</w:t>
            </w: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2023</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0.10</w:t>
            </w:r>
          </w:p>
        </w:tc>
        <w:tc>
          <w:tcPr>
            <w:tcW w:w="2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December 8,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0" w:type="dxa"/>
            <w:vAlign w:val="bottom"/>
          </w:tcPr>
          <w:p>
            <w:pPr>
              <w:spacing w:after="0"/>
              <w:rPr>
                <w:sz w:val="1"/>
                <w:szCs w:val="1"/>
                <w:color w:val="auto"/>
              </w:rPr>
            </w:pPr>
          </w:p>
        </w:tc>
      </w:tr>
      <w:tr>
        <w:trPr>
          <w:trHeight w:val="198"/>
        </w:trPr>
        <w:tc>
          <w:tcPr>
            <w:tcW w:w="428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November 15, 2023</w:t>
            </w:r>
            <w:r>
              <w:rPr>
                <w:rFonts w:ascii="Times New Roman" w:cs="Times New Roman" w:eastAsia="Times New Roman" w:hAnsi="Times New Roman"/>
                <w:sz w:val="26"/>
                <w:szCs w:val="26"/>
                <w:color w:val="auto"/>
                <w:w w:val="97"/>
                <w:vertAlign w:val="superscript"/>
              </w:rPr>
              <w:t>(1)</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December 28,</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vMerge w:val="continue"/>
            <w:shd w:val="clear" w:color="auto" w:fill="CCEEFF"/>
          </w:tcPr>
          <w:p>
            <w:pPr>
              <w:spacing w:after="0"/>
              <w:rPr>
                <w:sz w:val="20"/>
                <w:szCs w:val="20"/>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0.528646</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November 15, 2023</w:t>
            </w:r>
          </w:p>
        </w:tc>
        <w:tc>
          <w:tcPr>
            <w:tcW w:w="130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Preference</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0.546875</w:t>
            </w:r>
          </w:p>
        </w:tc>
        <w:tc>
          <w:tcPr>
            <w:tcW w:w="2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2,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76,698</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00" w:hanging="332"/>
        <w:spacing w:after="0" w:line="261" w:lineRule="auto"/>
        <w:tabs>
          <w:tab w:leader="none" w:pos="3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dividends in respect of the Preference Shares that had accrued up to, but not including, December 28, 2023 and that were paid to holders of the Preference Shares that were redeemed in connection with the Partial Redemption.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borrowings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82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108,985</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current portion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294,977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107,917</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3,047,916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2,997,216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(41,049)</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 non-current portion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3,004,767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2,944,987</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3,299,744</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3,052,904</w:t>
            </w:r>
          </w:p>
        </w:tc>
      </w:tr>
      <w:tr>
        <w:trPr>
          <w:trHeight w:val="20"/>
        </w:trPr>
        <w:tc>
          <w:tcPr>
            <w:tcW w:w="6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Terminated Facilities:</w:t>
      </w:r>
    </w:p>
    <w:p>
      <w:pPr>
        <w:spacing w:after="0" w:line="225" w:lineRule="exact"/>
        <w:rPr>
          <w:sz w:val="20"/>
          <w:szCs w:val="20"/>
          <w:color w:val="auto"/>
        </w:rPr>
      </w:pPr>
    </w:p>
    <w:p>
      <w:pPr>
        <w:ind w:right="240" w:firstLine="8"/>
        <w:spacing w:after="0" w:line="259" w:lineRule="auto"/>
        <w:tabs>
          <w:tab w:leader="none" w:pos="25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(“HSBC”), ING Bank N.V. (“ING”), London Branch, KEB HANA Bank, London Branch, KfW IPEX-Bank GmbH, National Australia Bank Limited, Oversea-Chinese Banking Corporation Limited, Société Générale and The Korea Development Bank loan (October 2015 Facility, as defined below)</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October 16, 2015, GAS-eleven Ltd., GAS-twelve Ltd., GAS-thirteen Ltd., GAS-fourteen Ltd., GAS-twenty two Ltd., GAS-twenty three Ltd., GAS-twenty four Ltd. and GAS-twenty five Ltd. entered into a debt financing agreement with 14 international banks (“October 2015 Facility”) for $1,311,356 to partially finance the delivery of the eight newbuildings delivered in 2016, 2018 and 2019. The financing was backed by the Export Import Bank of Korea (“KEXIM”) and the Korea Trade Insurance Corporation (“K-Sure”), who were either directly lending or providing cover for over 60% of the facility. Amounts drawn bore interest at USD London Interbank Offered Rate (“LIBOR”) plus a margin.</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October 21, 2020, the outstanding indebtedness of GAS-twenty five Ltd., in the amount of $136,776 was prepaid pursuant to the sale and leaseback agreement entered into with a wholly owned subsidiary of CMB Financial Leasing Co. Ltd., Sea 190 Leasing Co. Limited (“Sea 190 Leasing”) (refer below).</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January 22, 2021, the outstanding indebtedness of GAS-twenty four Ltd., in the amount of $130,889 was prepaid pursuant to the sale and leaseback agreement entered into with a wholly owned subsidiary of ICBC Financial Leasing Co., Ltd., Hai Kuo Shipping 2051G Limited (“Hai Kuo Shipping”) (refer below). The relevant tranches of the loan agreement were terminated and the respective unamortized loan fees of $3,528 written-off to the consolidated statement of profit or loss.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under the loan facility as of December 31, 2022 was $598,313.</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June 2023, a supplemental agreement was entered into, which provided for the transition of the rate of interest on the facility to a risk-free rate. It was agreed that the margin would remain unchanged, and the facility transitioned from LIBOR to the daily non-cumulative compounded Secured Overnight Financing Rate (“SOFR”) rate as administered by Federal Reserve Bank of New York plus the applicable Credit Adjustment Spread (“CAS”), effective immediately from and including the interest period beginning after June 30, 2023. Additionally, in June 2023, HSBC Bank plc transferred to ING Bank N.V., London Branch via transfer certificate its commitments, rights and obligations under the October 2015 Facility.</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GAS-eleven Ltd., GAS-twelve Ltd., GAS-thirteen Ltd., GAS-fourteen Ltd., GAS-twenty two Ltd. and GAS-twenty three Ltd. under the October 2015 Facility totaling $534,742 were fully repaid. The October 2015 Facility was terminated and the respective unamortized loan fees of $8,822 written-off to the consolidated statement of profit or loss.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right="100" w:firstLine="8"/>
        <w:spacing w:after="0" w:line="286" w:lineRule="auto"/>
        <w:tabs>
          <w:tab w:leader="none" w:pos="26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Suisse AG, Nordea Bank Abp, filial I Norge and Iyo Bank Ltd., Singapore Branch (2019 GasLog Partners Facility, as defined below)</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five - year credit facility of up to $450,000 (the “2019 GasLog Partners Facility”). Subsequently, on the same date, the Development Bank of Japan, Inc. entered the facility as lender via transfer certificate. The vessels covered by the 2019 GasLog Partners Facility were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The credit facility bore interest at LIBOR plus a margin.</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October 26, 2021, the outstanding indebtedness of GAS-three Ltd., in the amount of $97,050 was prepaid pursuant to the sale and leaseback agreement entered into with a wholly-owned subsidiary of CDBL (refer to Note 7). The relevant advance of the loan agreement was cancelled and the respective unamortized loan fees of $604 written-off to the consolidated statement of profit or loss.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as of December 31, 2022 was $250,320, with no amount available to be redrawn as of December 31, 2022.</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March 30, 2023, the outstanding indebtedness of GAS-five Ltd., in the amount of $87,780 was prepaid pursuant to the sale and leaseback agreement entered into with a wholly-owned subsidiary of CDBL (refer to Note 7). The relevant advance of the loan agreement was cancelled and the respective unamortized loan fees of $229 written-off to the consolidated statement of profit or loss.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February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August 21, 2023.</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GAS-four Ltd., GAS-sixteen Ltd. and GAS-seventeen Ltd. under the 2019 GasLog Partners Facility totaling $148,194 were fully repaid. The 2019 GasLog Partners Facility was terminated and the respective unamortized loan fees of $157 written-off to the consolidated statement of profit or loss.</w:t>
      </w:r>
    </w:p>
    <w:p>
      <w:pPr>
        <w:spacing w:after="0" w:line="179" w:lineRule="exact"/>
        <w:rPr>
          <w:sz w:val="20"/>
          <w:szCs w:val="20"/>
          <w:color w:val="auto"/>
        </w:rPr>
      </w:pPr>
    </w:p>
    <w:p>
      <w:pPr>
        <w:ind w:right="100" w:firstLine="8"/>
        <w:spacing w:after="0" w:line="286" w:lineRule="auto"/>
        <w:tabs>
          <w:tab w:leader="none" w:pos="24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ABN AMRO BANK N.V. (“ABN”) and Oversea-Chinese Banking Corporation Limited (“OCBC”) (</w:t>
      </w:r>
      <w:r>
        <w:rPr>
          <w:rFonts w:ascii="Times New Roman" w:cs="Times New Roman" w:eastAsia="Times New Roman" w:hAnsi="Times New Roman"/>
          <w:sz w:val="18"/>
          <w:szCs w:val="18"/>
          <w:b w:val="1"/>
          <w:bCs w:val="1"/>
          <w:i w:val="1"/>
          <w:iCs w:val="1"/>
          <w:color w:val="auto"/>
        </w:rPr>
        <w:t>GasLog Warsaw</w:t>
      </w:r>
      <w:r>
        <w:rPr>
          <w:rFonts w:ascii="Times New Roman" w:cs="Times New Roman" w:eastAsia="Times New Roman" w:hAnsi="Times New Roman"/>
          <w:sz w:val="18"/>
          <w:szCs w:val="18"/>
          <w:b w:val="1"/>
          <w:bCs w:val="1"/>
          <w:color w:val="auto"/>
        </w:rPr>
        <w:t xml:space="preserve"> Facility, as defined below)</w:t>
      </w:r>
    </w:p>
    <w:p>
      <w:pPr>
        <w:spacing w:after="0" w:line="15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June 25, 2019, GasLog Hellas-1 Special Maritime Enterprise entered into a seven - year loan agreement with ABN AMRO BANK N.V. and OCBC, for the financing of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which was delivered on July 31, 2019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Facility”). The agreement provided for a single tranche of $129,500. The loan bore interest at LIBOR plus a margin.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outstanding as of December 31, 2022 was $108,456.</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May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25, 2023.</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November 14, 2023, pursuant to the Sustainability Facility entered into by GasLog to refinance all outstanding debt secured by 23 LNG carriers across both GasLog and GasLog Partners (refer to (d) in the Existing Facilities section), the outstanding balance of GasLog Hellas-1 Special Maritime Enterprise totaling $101,981 under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Facility was fully repaid.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Warsaw </w:t>
      </w:r>
      <w:r>
        <w:rPr>
          <w:rFonts w:ascii="Times New Roman" w:cs="Times New Roman" w:eastAsia="Times New Roman" w:hAnsi="Times New Roman"/>
          <w:sz w:val="18"/>
          <w:szCs w:val="18"/>
          <w:color w:val="auto"/>
        </w:rPr>
        <w:t>Facility was terminated and the respective unamortized loan fees of $645 written-off to the consolidated statement of profit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right="280" w:firstLine="8"/>
        <w:spacing w:after="0" w:line="262" w:lineRule="auto"/>
        <w:tabs>
          <w:tab w:leader="none" w:pos="26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Citibank, N.A., London Branch, DNB (UK) Ltd., Skandinaviska Enskilda Banken AB (publ) (“SEB”), The Export-Import Bank of Korea, Bank of America, National Association, BNP Paribas, Seoul Branch, Commonwealth Bank of Australia, KfW IPEX-Bank GmbH, National Australia Bank Limited, Oversea-Chinese Banking Corporation Limited, Société Générale, Standard Chartered Bank (“SCB”), The Korea Development Bank and KB Kookmin Bank (7xNB Facility, as defined below)</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12, 2019, GAS-twenty eight Ltd., GAS-thirty Ltd., GAS-thirty one Ltd., GAS-thirty two Ltd., GAS-thirty three Ltd., GAS-thirty four Ltd. and GAS-thirty five Ltd. entered into a loan agreement (the “7xNB Facility”) with 13 international banks, with Citibank N.A. London Branch and DNB Bank ASA (“DNB”), London Branch acting as agents on behalf of the other finance parties. The financing was backed by KEXIM and K-Sure, who were either directly lending or providing cover for over 60% of the facility. The agreement of up to $1,052,791 partially financed the delivery of seven newbuildings delivered in 2020 and 2021. The loan agreement provided for four tranches of $176,547, $174,787, $356,671 and $344,786. The facility was also sub-divided into seven loans, one loan per newbuilding vessel, provided for each of the vessels on a pro rata basis under each of the four tranches. Amounts drawn bore interest at LIBOR plus a margin.</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June 11, 2021 and on August 20, 2021, $152,955 and $152,955, respectively, was drawn down with respect to the deliveries of the </w:t>
      </w:r>
      <w:r>
        <w:rPr>
          <w:rFonts w:ascii="Times New Roman" w:cs="Times New Roman" w:eastAsia="Times New Roman" w:hAnsi="Times New Roman"/>
          <w:sz w:val="18"/>
          <w:szCs w:val="18"/>
          <w:i w:val="1"/>
          <w:iCs w:val="1"/>
          <w:color w:val="auto"/>
        </w:rPr>
        <w:t>GasLog Wellington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Winchester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under the loan facility as of December 31, 2022 was $939,188.</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June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immediately from and including the interest period beginning after June 30, 2023.</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GAS-twenty eight Ltd., GAS-thirty Ltd., GAS-thirty one Ltd., GAS-thirty two Ltd., GAS-thirty three Ltd., GAS-thirty four Ltd. and GAS-thirty five Ltd. under the 7xNB Facility totaling $892,759 were fully repaid. The 7xNB Facility was terminated and the respective unamortized loan fees of $16,506 written-off to the consolidated statement of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BNP Paribas, Credit Suisse AG and Alpha Bank S.A. (GasLog Partners $260.3M Facility, as defined below)</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 – year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Interest on the facility was payable at a rate of LIBOR plus a margin.</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(refer to Note 6). The relevant advance of the loan agreement was cancelled and the respective unamortized loan fees of $294 written-off on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as of December 31, 2022 was $193,790.</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June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GAS-seven Ltd. and GAS-eight Ltd. under the GasLog Partners $260.3M Facility totaling $181,419 were fully repaid. The GasLog Partners $260.3M Facility was terminated and the respective unamortized loan fees of $985 written-off to the consolidated statement of profit or loss.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DNB Bank ASA, London Branch, and ING Bank N.V., London Branch (GasLog Partners $193.7M Facility, as defined below)</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 – year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Becki Anne</w:t>
      </w:r>
      <w:r>
        <w:rPr>
          <w:rFonts w:ascii="Times New Roman" w:cs="Times New Roman" w:eastAsia="Times New Roman" w:hAnsi="Times New Roman"/>
          <w:sz w:val="18"/>
          <w:szCs w:val="18"/>
          <w:color w:val="auto"/>
        </w:rPr>
        <w:t>. Interest on the facility was payable at a rate of LIBOR plus a margin.</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the margin would remain unchanged and the facility would be transitioned from the six-month LIBOR to the three-month Chicago Mercantile Exchange (“CME”) Term SOFR Reference Rates as administered by CME Group Benchmark Administration Limited (“CBA”), effective July 21, 2022.</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31, 2022, the outstanding indebtedness of GAS-twenty one Ltd. in the amount of $32,939 was prepaid pursuant to the sale and leaseback agreement entered into with an unrelated third party (refer to Note 7). The relevant advance of the loan agreement was cancelled and the respective unamortized loan fees of $360 written-off on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as of December 31, 2022 was $126,378.</w:t>
      </w:r>
    </w:p>
    <w:p>
      <w:pPr>
        <w:spacing w:after="0" w:line="22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GAS-nineteen Ltd. and GAS-twenty seven Ltd. under the GasLog Partners $193.7M Facility totaling $113,886 were fully repaid. The GasLog Partners $193.7M Facility was terminated and the respective unamortized loan fees of $805 written - off to the consolidated statement of profit or loss.</w:t>
      </w:r>
    </w:p>
    <w:p>
      <w:pPr>
        <w:spacing w:after="0" w:line="179" w:lineRule="exact"/>
        <w:rPr>
          <w:sz w:val="20"/>
          <w:szCs w:val="20"/>
          <w:color w:val="auto"/>
        </w:rPr>
      </w:pPr>
    </w:p>
    <w:p>
      <w:pPr>
        <w:ind w:right="280" w:firstLine="8"/>
        <w:spacing w:after="0" w:line="268" w:lineRule="auto"/>
        <w:tabs>
          <w:tab w:leader="none" w:pos="25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ABN AMRO Bank N.V., Citigroup Global Markets Limited and Nordea Bank ABP, Filial I Norge, HSBC Bank plc, Credit Agricole Corporate and Investment Bank, Unicredit Bank AG and National Bank of Australia Limited (GasLog $576.9M Facility, as defined below)</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16, 2020 GAS-one Ltd., GAS-two Ltd., GAS-six Ltd., GAS-nine Ltd., GAS-ten Ltd., and GAS-eighteen Ltd. entered into a credit agreement of $576,888 (the “GasLog $576.9M Facility”) with ABN AMRO Bank N.V., Citigroup Global Markets Limited and Nordea Bank ABP, Filial I Norge acting as global co-ordinators and bookrunners, while HSBC Bank plc acting as mandated lead arranger; Credit Agricole Corporate and Investment Bank acting as lead arranger and Unicredit Bank AG and National Bank of Australia Limited acting as arrangers, each of those being an original lender. The credit agreement was entered to refinance the existing indebtedness due in 2021 of six of the Group’s vessels,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Saratoga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Lydon Volney</w:t>
      </w:r>
      <w:r>
        <w:rPr>
          <w:rFonts w:ascii="Times New Roman" w:cs="Times New Roman" w:eastAsia="Times New Roman" w:hAnsi="Times New Roman"/>
          <w:sz w:val="18"/>
          <w:szCs w:val="18"/>
          <w:color w:val="auto"/>
        </w:rPr>
        <w:t>. ABN AMRO Bank N.V. was appointed by the other finance parties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syndicate as security agent and trustee. The facility comprised of a $494,475 Term Loan Facility and a $82,413 revolving loan facility which matured in June 2025. The facility bore interest at LIBOR plus a margin.</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October 26, 2021, the outstanding indebtedness of GAS-ten Ltd., in the amount of $87,390 and $15,794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$1,302 written-off to the consolidated statement of profit or loss.</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On March 28, 2022, the outstanding indebtedness of GAS-six Ltd. in amounts of $86,027 and $15,984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$1,150 written-off on the consolidated statement of profit or loss.</w:t>
      </w:r>
    </w:p>
    <w:p>
      <w:pPr>
        <w:spacing w:after="0" w:line="18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April 2022, the outstanding indebtedness of GAS-eighteen Ltd. was reduced by an amount of $2,500 which was prepaid in accordance with the terms of the credit agreement.</w:t>
      </w:r>
    </w:p>
    <w:p>
      <w:pPr>
        <w:spacing w:after="0" w:line="160"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October 2022,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changed from the flag of Bermuda to the flag of Greece, was renamed to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Athens </w:t>
      </w:r>
      <w:r>
        <w:rPr>
          <w:rFonts w:ascii="Times New Roman" w:cs="Times New Roman" w:eastAsia="Times New Roman" w:hAnsi="Times New Roman"/>
          <w:sz w:val="18"/>
          <w:szCs w:val="18"/>
          <w:color w:val="auto"/>
        </w:rPr>
        <w:t>and sold from GAS-eighteen Ltd. to the subsidiary GasLog Hellas-2 Special Maritime Enterprise.</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October 2022, a supplemental agreement was entered into, which among other things, provided for the addition of GasLog Hellas-2 Special Maritime Enterprise as a new borrower, the change of flag and name of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and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October 6, 2022.</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the term and revolving loan facility as of December 31, 2022 was $245,990 and $50,215, respectively with no amount available to be redrawn under the revolving loan facility as of December 31, 2022.</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March 2023, the outstanding indebtedness of GasLog Hellas-2 Special Maritime Enterprise was reduced by an amount of $2,500 which was prepaid in accordance with the terms of the credit agreement.</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March 30, 2023, the outstanding indebtedness of GAS-nine Ltd. in amounts of $78,553 and $15,556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$786 written-off on the consolidated statement of profit or loss.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July 17, 2023, the outstanding indebtedness of GasLog Hellas-2 Special Maritime Enterprise in amounts of $24,668 and $6,138 outstanding under the term and revolving loan facility, respectively, was prepaid pursuant to the sale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(refer to Note 6). The relevant advance of the loan agreement was cancelled and the respective unamortized loan fees of $290 written-off on the consolidated statement of profit or loss.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Sustainability Facility entered into by GasLog to refinance all outstanding debt secured by 23 LNG carriers across both GasLog and GasLog Partners (refer to (d) in the Existing Facilities section), the outstanding balances of GAS-one Ltd. and GAS-two Ltd. under the GasLog $576.9M Facility totaling $150,461 were fully repaid. The GasLog $576.9M Facility was terminated and the respective unamortized loan fees of $954 written-off to the consolidated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National Bank of Greece S.A. (“NBG”) (</w:t>
      </w:r>
      <w:r>
        <w:rPr>
          <w:rFonts w:ascii="Times New Roman" w:cs="Times New Roman" w:eastAsia="Times New Roman" w:hAnsi="Times New Roman"/>
          <w:sz w:val="18"/>
          <w:szCs w:val="18"/>
          <w:b w:val="1"/>
          <w:bCs w:val="1"/>
          <w:i w:val="1"/>
          <w:iCs w:val="1"/>
          <w:color w:val="auto"/>
        </w:rPr>
        <w:t>GasLog Chelsea</w:t>
      </w:r>
      <w:r>
        <w:rPr>
          <w:rFonts w:ascii="Times New Roman" w:cs="Times New Roman" w:eastAsia="Times New Roman" w:hAnsi="Times New Roman"/>
          <w:sz w:val="18"/>
          <w:szCs w:val="18"/>
          <w:b w:val="1"/>
          <w:bCs w:val="1"/>
          <w:color w:val="auto"/>
        </w:rPr>
        <w:t xml:space="preserve"> $96.8M Facility, as defined below)</w:t>
      </w:r>
    </w:p>
    <w:p>
      <w:pPr>
        <w:spacing w:after="0" w:line="227" w:lineRule="exact"/>
        <w:rPr>
          <w:sz w:val="20"/>
          <w:szCs w:val="20"/>
          <w:color w:val="auto"/>
        </w:rPr>
      </w:pPr>
    </w:p>
    <w:p>
      <w:pPr>
        <w:ind w:right="400" w:firstLine="324"/>
        <w:spacing w:after="0" w:line="267" w:lineRule="auto"/>
        <w:rPr>
          <w:sz w:val="20"/>
          <w:szCs w:val="20"/>
          <w:color w:val="auto"/>
        </w:rPr>
      </w:pPr>
      <w:r>
        <w:rPr>
          <w:rFonts w:ascii="Times New Roman" w:cs="Times New Roman" w:eastAsia="Times New Roman" w:hAnsi="Times New Roman"/>
          <w:sz w:val="18"/>
          <w:szCs w:val="18"/>
          <w:color w:val="auto"/>
        </w:rPr>
        <w:t>On July 30, 2020, GasLog entered into a five – year credit agreement of $96,815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$96.8M Facility”) with National Bank of Greece S.A. for the refinancing of GAS-fifteen Ltd., the entity owning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(formerly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Chelsea</w:t>
      </w:r>
      <w:r>
        <w:rPr>
          <w:rFonts w:ascii="Times New Roman" w:cs="Times New Roman" w:eastAsia="Times New Roman" w:hAnsi="Times New Roman"/>
          <w:sz w:val="18"/>
          <w:szCs w:val="18"/>
          <w:color w:val="auto"/>
        </w:rPr>
        <w:t>). National Bank of Greece S.A. was acting as the sole original lender. The loan bore interest at LIBOR plus a margin.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outstanding as of December 31, 2022 was $79,790.</w:t>
      </w:r>
    </w:p>
    <w:p>
      <w:pPr>
        <w:spacing w:after="0" w:line="2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7, 2023, GasLog prepaid an amount of $77,899 with respect to the associated debt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xml:space="preserve"> (formerly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pursuant to the commencement of the conversion of the vessel to an FSRU, using the additional proceeds of $92,780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received from Gastrade at the same date. GasLog has agreed to sell the vessel following its conversion to an FSRU.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$96.8M Facility was terminated and the respective unamortized loan fees of $661 written-off to the consolidated statement of profit or loss.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Sea 190 Leasing (</w:t>
      </w:r>
      <w:r>
        <w:rPr>
          <w:rFonts w:ascii="Times New Roman" w:cs="Times New Roman" w:eastAsia="Times New Roman" w:hAnsi="Times New Roman"/>
          <w:sz w:val="18"/>
          <w:szCs w:val="18"/>
          <w:b w:val="1"/>
          <w:bCs w:val="1"/>
          <w:i w:val="1"/>
          <w:iCs w:val="1"/>
          <w:color w:val="auto"/>
        </w:rPr>
        <w:t>GasLog Hong Kong</w:t>
      </w:r>
      <w:r>
        <w:rPr>
          <w:rFonts w:ascii="Times New Roman" w:cs="Times New Roman" w:eastAsia="Times New Roman" w:hAnsi="Times New Roman"/>
          <w:sz w:val="18"/>
          <w:szCs w:val="18"/>
          <w:b w:val="1"/>
          <w:bCs w:val="1"/>
          <w:color w:val="auto"/>
        </w:rPr>
        <w:t xml:space="preserve"> SLB, as defined below)</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21, 2020, GasLog refinanced through a sale-and-leaseback transaction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a 174,000 cbm LNG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carrier with low pressure dual fuel two-stroke engine (“X-DF”) propulsion built in 2018. GAS-twenty five Ltd. (“G25”) sold the vessel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Sea 190 Leasing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raising $163,406 and leased it back under a bareboat charter for a period of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At the end of the period, G25 has the option to buy the vessel for $70,000 otherwise a premium of $30,000 will be payable. G25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 also buy back the vessel at any time by paying the capital outstanding and a prepayment fee where applicable. The amount 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used to refinance the outstanding indebtedness of G25, in the amount of $136,776. The amount drawn on October 21, 2020,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repayable in 48 quarterly installments, the first 20 installments amount to $2,670 each and the following 28 installments amount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$1,429 each, and a final balloon payment of $70,000 payable concurrently with the last quarterly installment in October 2032. Interest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capital of the bareboat charter is payable at a rate of LIBOR plus a margin. G25 has the option to repurchase the vessel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a result under IFRS 15, the transfer of the vessel does not qualify as a sale and leaseback. The Company did not derecognize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vessel from its balance sheet and accounted for the amount received under the sale-and-leaseback transaction as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March 2023, a supplemental agreement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 The balance outstanding as of December 31, 2023 is $131,362 (December 31, 2022: $142,044).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Hai Kuo Shipping (</w:t>
      </w:r>
      <w:r>
        <w:rPr>
          <w:rFonts w:ascii="Times New Roman" w:cs="Times New Roman" w:eastAsia="Times New Roman" w:hAnsi="Times New Roman"/>
          <w:sz w:val="18"/>
          <w:szCs w:val="18"/>
          <w:b w:val="1"/>
          <w:bCs w:val="1"/>
          <w:i w:val="1"/>
          <w:iCs w:val="1"/>
          <w:color w:val="auto"/>
        </w:rPr>
        <w:t>GasLog Houston</w:t>
      </w:r>
      <w:r>
        <w:rPr>
          <w:rFonts w:ascii="Times New Roman" w:cs="Times New Roman" w:eastAsia="Times New Roman" w:hAnsi="Times New Roman"/>
          <w:sz w:val="18"/>
          <w:szCs w:val="18"/>
          <w:b w:val="1"/>
          <w:bCs w:val="1"/>
          <w:color w:val="auto"/>
        </w:rPr>
        <w:t xml:space="preserve"> SLB, as defined below)</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22, 2021, GasLog refinanced through a sale-and-leaseback transaction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a 174,000 cbm LNG carrier with X-DF propulsion built in 2018. GAS-twenty four Ltd. (“G24”) sold the vessel to Hai Kuo Shipping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raising $165,958 and leased it back under a bareboat charter for a period of up to eight years. At the end of the charter period, G24 has the obligation to re-purchase the vessel for $99,575. G24 has also the option to re-purchase the vessel on pre-agreed terms no earlier than the end of the first interest period, and no later than the end of year eight, of the bareboat charter. The amount drawn was used to refinance the outstanding indebtedness of G24, in the amount of $130,889. The amount drawn on January 22, 2021, is repayable in 32 quarterly installments of $2,074 each and a final balloon payment of $99,575 payable concurrently with the last quarterly installment in January 2029. Interest on the outstanding capital of the bareboat charter is payable at a rate of LIBOR plus a margin. G24 has the obligation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w:t>
      </w:r>
    </w:p>
    <w:p>
      <w:pPr>
        <w:spacing w:after="0" w:line="1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July 2023, a supplemental agreement was entered into, which provided for the transition of the rate of interest on the facility to a risk - free rate. It was agreed that the margin would remain unchanged, and the facility transitioned from LIBOR to the CME Term SOFR rate as administered by CME Group CBA plus the applicable CAS, effective July 22, 2023. The balance outstanding as of December 31, 2023 is $143,139 (December 31, 2022: $151,437).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CMB Financial Leasing Co., Ltd. (“CMBFL”) (4xNB SLBs, as defined below)</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July 6, 2022, each of GAS-thirty eight Ltd., GAS-thirty nine Ltd., GAS-forty Ltd. and GAS-forty one Ltd. entered into sale and leaseback agreements (the “4xNB SLBs”) with wholly owned subsidiaries of CMBFL that provide for the financing of each LNG carrier on order at Hanwha. The Group will sell the aforementioned newbuildings for a total amount of up to $762,604, raising 92.5% of the newbuilding contract price in form of pre- and post- delivery financing and will lease the newbuildings back for a period of ten years (under a 20-year profile) from each delivery date. GasLog has the option to repurchase the vessels no earlier than the third anniversary of each delivery date and as a result, under IFRS 15 the transaction does not qualify as a sale and leaseback. The Company recognized the respective advance shipyard installment payments on its balance sheet under Vessels under construction and accounted for the amount received under the sale-and-leaseback transaction as a financial liability. The interest on the outstanding capital is calculated on a daily compounded SOFR plus a margin. All criteria outlined by IAS 23 </w:t>
      </w:r>
      <w:r>
        <w:rPr>
          <w:rFonts w:ascii="Times New Roman" w:cs="Times New Roman" w:eastAsia="Times New Roman" w:hAnsi="Times New Roman"/>
          <w:sz w:val="18"/>
          <w:szCs w:val="18"/>
          <w:i w:val="1"/>
          <w:iCs w:val="1"/>
          <w:color w:val="auto"/>
        </w:rPr>
        <w:t>Borrowing Costs</w:t>
      </w:r>
      <w:r>
        <w:rPr>
          <w:rFonts w:ascii="Times New Roman" w:cs="Times New Roman" w:eastAsia="Times New Roman" w:hAnsi="Times New Roman"/>
          <w:sz w:val="18"/>
          <w:szCs w:val="18"/>
          <w:color w:val="auto"/>
        </w:rPr>
        <w:t xml:space="preserve"> were deemed to have been met upon the initial installment drawdown and as a result such borrowing costs incurred or to be incurred up to the delivery of the vessels qualify for capitalization under Vessels under construction. As of December 31, 2023, $11,397 of capitalized interest was classified under Vessels under construction in the statement of financial position (December 31, 2022: $776).</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July 15, 2022, the amount of $20,611 was drawn under these agreements to partially finance installments already paid by the Company to the shipyard. All future installments (including the delivery installment) will be financed by CMBFL. On November 30, 2022, the amount of $41,411 was drawn down to finance shipyard installments. During the year ended December 31, 2023, the Group drew down the amount of $123,855 to finance shipyard installments relating to the vessels under construction (Note 6). The delivery installment is subject to a fair market value test. As of December 31, 2023, the aggregate balance outstanding is $185,877 (December 31, 2022: $62,022), with $576,727 available to be drawn.</w:t>
      </w:r>
    </w:p>
    <w:p>
      <w:pPr>
        <w:spacing w:after="0" w:line="18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commitment, underwriting and legal fees of $8,095 for obtaining the undrawn portion of the financing were classified under Deferred financing costs in the statement of financial position and will be netted off debt on the respective drawdown dates (December 31, 2022: $8,764).</w:t>
      </w:r>
    </w:p>
    <w:p>
      <w:pPr>
        <w:spacing w:after="0" w:line="172" w:lineRule="exact"/>
        <w:rPr>
          <w:sz w:val="20"/>
          <w:szCs w:val="20"/>
          <w:color w:val="auto"/>
        </w:rPr>
      </w:pPr>
    </w:p>
    <w:p>
      <w:pPr>
        <w:ind w:right="400" w:firstLine="8"/>
        <w:spacing w:after="0" w:line="286" w:lineRule="auto"/>
        <w:tabs>
          <w:tab w:leader="none" w:pos="26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 billion Five-year Sustainability-linked Senior Secured Reducing Revolving Credit Facility (Sustainability Facility as defined below)</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November 2, 2023, GasLog, signed a new Five-Year Sustainability-Linked Senior Secured Reducing Revolving Credit Facility in the amount of $2,800,000 (the “Sustainability Facility”). This financing, involving 14 international banks, includes decarbonization and social key performance targets as a component of the Sustainability Facility pricing. The Sustainability Facility refinanced the outstanding debt of $2,123,443 secured by 23 LNG carriers across both GasLog and GasLog Partners, following the acquisition by GasLog on July 13, 2023 of all the outstanding common units of GasLog Partners not already beneficially owned by GasLog. The 23 LNG carriers (12 GasLog vessels and eleven GasLog Partners vessels) securing the Sustainability Facility are comprised of ten X-DF LNG carriers, ten TFDE LNG carriers and three Steam LNG carriers. Citibank, N.A., London Branch and BNP Paribas acted as joint coordinators on the Sustainability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$2,128,000 and $672,000 remaining available as of that date, for general corporate purposes.</w:t>
      </w:r>
    </w:p>
    <w:p>
      <w:pPr>
        <w:spacing w:after="0" w:line="19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Sustainability Facility has a five-year tenor, includes two one-year extension options and can be repaid and redrawn at any time, subject to the outstanding amount immediately after any drawdown not exceeding the total facility amount. The total facility amount reduces in 20 equal quarterly amounts of $45,319, with a final balloon amount of up to $1,893,620, together with the last quarterly reduction in November 2028. The credit facility bears interest at a daily compounded SOFR plus a margin.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22, 2023 an additional amount of $129,500 was drawn under this facility.</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all fees of $41,157 for obtaining the financing were netted off the debt on the drawdown date. Commitment fees on the undrawn portion of the financing amounted to $1,203 for the period from the facility signing date to December 31, 2023 and were classified under Finance costs in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balance outstanding is $2,257,500, with $542,500 available to be drawn.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covenants and guarantees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obligations under the aforementioned facilities are secured by a first priority mortgage over the vessels, a pledge or negative pledge of the share capital of the respective borrower and a first priority assignment of earnings and insurance related to the vessels, including charter revenue, management revenue, any insurance and requisition compensation and pre-delivery assignments of the shipbuilding contracts and the refund guarantees in the case of the 4xNB SLBs. Obligations under the Sustainability Facility are guaranteed by the 23 vessel owning companies securing the Sustainability Facility, GasLog Carriers, the Partnership and GasLog Partners Holdings LLC. Charters under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and the 4xNB SLBs are guaranteed by GasLog. The Company’s existing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total facility amount in the case of the Sustainability Facility, 100% in the case of the 4xNB SLBs (following the vessels’ delivery), 100% in the case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and 110% in the case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The Group was in compliance with the required minimum security coverage as of December 31, 2023. In addition, under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the respective lease asset entity is required to maintain at all times minimum liquidity equivalent of the next hire payment or $5,500 as of December 31, 2023 and was in compliance as of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22, 2017, GasLog closed a public offering of $250,000 aggregate principal amount of the 8.875% senior unsecured notes due in 2022 (the “8.875% Senior Notes”) at a public offering price of 100% of the principal amount. On May 16, 2019, GasLog closed a follow-on issue of $75,000 aggregate principal amount of the 8.875% Senior Notes priced at 102.5% of par with a yield to maturity of 7.89%. The gross proceeds from this offering were $76,875, including a $1,875 premium. In addition, GasLog paid $10,000 for the partial exchange of the outstanding 8.875% Senior Notes at a price of 104.75% of par value, resulting in a loss of $475 for the year ended December 31, 2019. The exchange was completed on January 13, 2020. On March 21, 2022, the Group used the proceeds of the 2029 Notes, as defined below, to repay the $315,000 of 8.875% Senior Notes at maturity.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November 27, 2019, GasLog completed the issuance of Norwegian Kroner (“NOK”) 900,000 (equivalent to $98,550) of new senior unsecured bonds (the “NOK 2024 Bonds”) in the Norwegian bond market. The NOK 2024 Bonds mature in November 2024 and bear interest at three-month Norwegian Interbank Offered Rate (“NIBOR”) plus margin. Interest payments are made in arrears on a quarterly basis. GasLog may redeem the NOK 2024 Bonds in whole or in part as from May 2024 at 101% of par plus accrued interests on the redeemed amount.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under the NOK 2024 Bonds, net of unamortized financing costs and unamortized premium, as of December 31, 2023 was $87,973 (December 31, 2022: $90,241) while their fair value was $91,021 based on a USD/NOK exchange rate of 0.0981 as of December 31, 2023 (December 31, 2022: $93,414, based on a USD/NOK exchange rate of 0.1011).</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2021, GasLog entered into a Note Purchase Agreement (the “Note Purchase Agreement”) with certain affiliates of The Carlyle Group and EIG Management Company, LLC (such affiliates, the “Purchasers”) and Wilmington Trust (London) Limited, as administrative agent, for an amount of up to $325,000 of 7.75% Notes due in 2029 (the “2029 Notes”). On March 21, 2022, the Company proceeded with the issuance of $315,000 of the 2029 Notes. The proceeds of the 2029 Notes were used to refinance the Company’s 8.875% Senior Notes at maturity. The Note Purchase Agreement allows for the issuance of additional notes in an amount up to $100,000 for the purpose of refinancing existing obligations or pursuing new growth opportunities.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2029 Notes were issued at 99.25% of face value and bear a fixed interest rate of 7.75%. The Purchasers received an upfront fee of 0.75% on signing and received a ticking fee of 1.5% from signing until drawing. Under certain conditions, the Company may elect to pay interest in kind up to three times, with the interest rate increasing to 9.75% for the applicable quarter. During the year ended December 31, 2023, the Group prepaid $15,000 in accordance with the prepayment terms under the 2029 Notes. The carrying amount under the 2029 Notes, net of unamortized financing costs and discount as of December 31, 2023, was $292,648 (December 31, 2022: $306,432).</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Upon funding, the Purchasers have obtained a charge on the shares of GasLog Carriers held by the Company and a pledge on a designated bank account of GasLog Carriers.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$150,000.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is subject to specified financial covenants on a consolidated basis. These financial covenants include the following:</w:t>
      </w:r>
    </w:p>
    <w:p>
      <w:pPr>
        <w:spacing w:after="0" w:line="225" w:lineRule="exact"/>
        <w:rPr>
          <w:sz w:val="20"/>
          <w:szCs w:val="20"/>
          <w:color w:val="auto"/>
        </w:rPr>
      </w:pPr>
    </w:p>
    <w:p>
      <w:pPr>
        <w:ind w:left="680" w:hanging="32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cash deposits must be at least $75,000;</w:t>
      </w:r>
    </w:p>
    <w:p>
      <w:pPr>
        <w:spacing w:after="0" w:line="22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debt service obligations (including interest and debt repayments) on a trailing twelve-months’ basis must be not less than 1.10:1 provided that such covenant is not applicable as long as cash and cash equivalent and short-term cash deposits are not less than $110,000;</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adjusted net worth of GasLog must at all times be not less than $350,000; and</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is permitted to pay dividends or make distributions, subject to no event of default having occurred or occurring as a consequence of the payment of such dividends.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credit facilities also impose certain restrictions relating to the Group,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terms of the NOK 2024 Bonds include a dividend restriction according to which GasLog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$1.10/share. Notwithstanding the foregoing, GasLog may make any amount of Distributions, so long as the Group’s cash and cash equivalents and short-term cash deposits exceed $150,000, provided that GasLog can demonstrate, by delivering a compliance certificate to the bond trustee, that no event of default is continuing or would result from such Distributions.</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terms of the 2029 Notes impose certain restrictions on GasLog and our wholly owned subsidiaries. These restrictions generally limit our ability to, among other things:</w:t>
      </w:r>
    </w:p>
    <w:p>
      <w:pPr>
        <w:spacing w:after="0" w:line="162" w:lineRule="exact"/>
        <w:rPr>
          <w:sz w:val="20"/>
          <w:szCs w:val="20"/>
          <w:color w:val="auto"/>
        </w:rPr>
      </w:pPr>
    </w:p>
    <w:p>
      <w:pPr>
        <w:ind w:left="680" w:right="440" w:hanging="321"/>
        <w:spacing w:after="0" w:line="282" w:lineRule="auto"/>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 in relation to indebtedness above an aggregate amount of $30,000; certain exceptions apply mainly for indebtedness incurred in the normal course of business;</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new vessels unless the Charter Coverage Ratio on a pro-forma basis is either above what it would have been without the acquisition and incurrence of the associated debt or above pre-determined thresholds for the remaining tenor of the 2029 Notes;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second-hand vessels unless the Charter Coverage Ratio on a pro-forma basis is above pre-determined thresholds for the remaining tenor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or other corporate reconstruction transactions;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80" w:right="500" w:hanging="321"/>
        <w:spacing w:after="0" w:line="282"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ships or shares in subsidiaries if the net proceeds are above $10,000 unless such proceeds are applied towards prepayment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(vii)provide any loans to third parties except in the ordinary course of business; 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 declare or make any dividend payment of distribution, that in aggregate exceed during any calendar year $1.10/share.</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GasLog may make any amount of Distributions, so long as the Group’s cash and cash equivalents and short term investments exceed $150,000, provided that GasLog can demonstrate by delivering a compliance certificate to the administrative agent that no event of default is continuing or would result from such Distributions.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de-listing of GasLog’s common shares from the New York Stock Exchange completed in June 2021, supplemental agreements have been signed with certain lenders with respect to clauses relating to GasLog. Costs relating to the aforementioned amendment of the agreements amounted to $15,718 for the year ended December 31, 2021, respectively and have been included in Financial costs (Note 19).</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Compliance with the loan financial covenants is required to be reported to the Group’s lenders on a semi-annual basis while compliance with the NOK 2024 Bonds and the 2029 Notes covenants is required to be reported on a quarterly basis. The Group was in compliance with all financial covenants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 Schedule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maturity table below reflects the principal repayments of the borrowings outstanding as of December 31, 2023 based on their repayment schedules: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67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50,662</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five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2,302,785</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643,769</w:t>
            </w:r>
          </w:p>
        </w:tc>
      </w:tr>
      <w:tr>
        <w:trPr>
          <w:trHeight w:val="209"/>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3,106,201</w:t>
            </w:r>
          </w:p>
        </w:tc>
      </w:tr>
      <w:tr>
        <w:trPr>
          <w:trHeight w:val="20"/>
        </w:trPr>
        <w:tc>
          <w:tcPr>
            <w:tcW w:w="6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for the outstanding credit facilities and bonds for the year ended December 31, 2023 was 7.1% (December 31, 2022: 4.3%) excluding the fixed interest rate for the interest rate swaps where hedge accounting is not applicable (Note 26).</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excluding the unamortized deferred loan issuance costs the carrying amount of the Group’s debt recognized in the consolidated financial statements approximates its fair value since the debt bears interest at a variable interest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Payables and Accruals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7"/>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7"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294,970</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166,932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409,291</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2023, an amount of $257,910 is included in Other accruals which relates to the sale proceeds of the </w:t>
      </w:r>
      <w:r>
        <w:rPr>
          <w:rFonts w:ascii="Times New Roman" w:cs="Times New Roman" w:eastAsia="Times New Roman" w:hAnsi="Times New Roman"/>
          <w:sz w:val="18"/>
          <w:szCs w:val="18"/>
          <w:i w:val="1"/>
          <w:iCs w:val="1"/>
          <w:color w:val="auto"/>
        </w:rPr>
        <w:t>Alexandroupolis</w:t>
      </w:r>
      <w:r>
        <w:rPr>
          <w:rFonts w:ascii="Times New Roman" w:cs="Times New Roman" w:eastAsia="Times New Roman" w:hAnsi="Times New Roman"/>
          <w:sz w:val="18"/>
          <w:szCs w:val="18"/>
          <w:color w:val="auto"/>
        </w:rPr>
        <w:t>, already received by the Company and the respective imputed interest (Note 6).</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unearned revenue represents charter hires received in advance in December 2023 relating to the hire period of January 2024 for 27 vessels (December 2022: 29 vessels).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Vessel Operating and Supervision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vessel operating and supervision costs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and vessel management employee costs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vessel operating expenses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09"/>
        </w:trPr>
        <w:tc>
          <w:tcPr>
            <w:tcW w:w="65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166,432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170,591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162,790</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Voyage Expenses and Commissions</w:t>
            </w: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Bunkers’ consumption and other voyage expenses represent mainly bunkers consumed during vessels’ unemployment and off-hire (including bunkers consumed during dry-docking).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long-term employee benefits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43,313</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35,007</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34,934</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April 1, 2021, the Company granted $3,355 of cash settled awards to selected employees, in consideration of their key roles in the Company’s operations and their continuing commitment to its success. This grant will be settled in cash three years after the grant date, i.e., in April 2024. It is subject to the employees’ continuing employment with the Company.</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April 1, 2022, the Company granted $6,000 of cash settled awards to selected employees, in consideration of their key roles in the Company’s operations and their continuing commitment to its success. This grant will be settled 25% on each of the first and second anniversary (April 1 of 2023 and 2024, respectively) and 50% on the third anniversary (April 1, 2025), without performance conditions. This grant is subject to the employees’ continuing employment with the Company.</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April 1, 2023, the Company granted $5,976 of cash settled awards to selected employees, in consideration of their key roles in the Company’s operations and their continuing commitment to its success. This grant will be settled 25% on each of the first and second anniversary (April 1 of 2024 and 2025, respectively) and 50% on the third anniversary (April 1, 2026), without performance conditions. This grant is subject to the employees’ continuing employment with the Company. These obligations are measured as the present value of expected future payments to be made with any unwind in the discount reflected in the consolidated statement of profit or loss. The expense of the period is included in Amortization of long-term employee benefits in the table above.</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expenses include legal and professional costs relating to the Transaction of $4,344 for the year ended December 31, 2023. Other expenses include legal and professional costs relating to the 2021 Transaction of $136 for the year ended December 31, 2022 and $10,698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Revenues from Contracts with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has recognized the following amounts relating to revenues: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fleet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541,738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536,334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544,320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spot fleet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378,439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372,952</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vessel management 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809,577</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915,625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918,031</w:t>
            </w: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Management allocates vessel revenues to two categories: a) spot fleet and b) long-term fleet, which reflects its commercial strategy. Specifically, the spot fleet category contains all vessels that have contracts with initial duration of up to three years. The long-term fleet category contains all vessels that have charter party agreements with initial duration of more than three years. Both categories, exclude optional periods.</w:t>
      </w:r>
    </w:p>
    <w:p>
      <w:pPr>
        <w:spacing w:after="0" w:line="18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technical management service components of revenue from time charters (Revenues from long-term fleet and Revenues from spot fleet) during the years ended December 31, 2021, 2022 and 2023 were $176,087, $184,191 and $173,056. These figures are not readily quantifiable as the Group’s contracts (under time charter arrangements) do not separate these components. The service component amounts are estimated based on the amounts of the vessel operating expenses for each year, using the “cost plus margin” approach.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received include payments for the service components in these time charter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costs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3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 costs/premium</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discount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bonds and realized loss on CCSs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costs,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166,955</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184,675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287,068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6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F-44</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costs, net includes an amount of $15,718 for the year ended December 31, 2021, relating to fees (bank consent, legal fees, etc.) to obtain the third-party consents and waivers in connection with the de-listing of the Group’s shares from NYSE after the consummation of the 2021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Contingencies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Group had the following balances with related parties which have been included in the consolidated statements of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receivable and other amounts due from related parties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receivable from associate (Note 5)</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 management creditors</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Ship management creditors’ liability comprises cash collected from Egypt LNG Shipping Ltd. to cover the obligations of its vessel under the Group’s management.</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Amounts due to related parties of $196 as of December 31, 2023 (December 31, 2022: $26) are expenses paid by a related party on behalf of the Group and payables to other related parties for the office lease and other operating expenses.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GasLog has issued a letter of credit of EUR7,410 to GasLog Cyprus Investments Ltd., a wholly owned subsidiary of GasLog and a 20% shareholder in Gastrade, in connection with the development of an FSRU (Note 6).</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Group had the following transactions with related parties which have been included in the consolidated statements of profit or loss for the years ended December 31, 2021, 2022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3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3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3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income account</w:t>
            </w: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6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Egypt LNG Shipping Ltd.</w:t>
            </w:r>
          </w:p>
        </w:tc>
        <w:tc>
          <w:tcPr>
            <w:tcW w:w="2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Vessel management services</w:t>
            </w:r>
          </w:p>
        </w:tc>
        <w:tc>
          <w:tcPr>
            <w:tcW w:w="20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Nea Dimitra Property</w:t>
            </w:r>
          </w:p>
        </w:tc>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Office rent and utilities</w:t>
            </w: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70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Nea Dimitra Property</w:t>
            </w: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Office rent</w:t>
            </w: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costs/Depreciation</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Seres S.A.</w:t>
            </w:r>
          </w:p>
        </w:tc>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Catering services</w:t>
            </w: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70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Seres S.A.</w:t>
            </w: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Consultancy services</w:t>
            </w: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w:t>
            </w:r>
          </w:p>
        </w:tc>
        <w:tc>
          <w:tcPr>
            <w:tcW w:w="2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Unisea Maritime Ltd.</w:t>
            </w:r>
          </w:p>
        </w:tc>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270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Blenheim Holdings Ltd.</w:t>
            </w: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Gastrade (Note 5)</w:t>
            </w: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subordinated loan</w:t>
            </w: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568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4" w:lineRule="exact"/>
        <w:rPr>
          <w:sz w:val="20"/>
          <w:szCs w:val="20"/>
          <w:color w:val="auto"/>
        </w:rPr>
      </w:pPr>
    </w:p>
    <w:p>
      <w:pPr>
        <w:ind w:left="340" w:right="60" w:hanging="332"/>
        <w:spacing w:after="0" w:line="261" w:lineRule="auto"/>
        <w:tabs>
          <w:tab w:leader="none" w:pos="3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One of the Group’s subsidiaries, GasLog LNG Services Ltd. provides vessel management services to Egypt LNG Shipping Ltd., the LNG vessel owning company, in which another subsidiary, GasLog Shipping Company Ltd., holds a 25% ownership interest.</w:t>
      </w:r>
    </w:p>
    <w:p>
      <w:pPr>
        <w:spacing w:after="0" w:line="162" w:lineRule="exact"/>
        <w:rPr>
          <w:rFonts w:ascii="Times New Roman" w:cs="Times New Roman" w:eastAsia="Times New Roman" w:hAnsi="Times New Roman"/>
          <w:sz w:val="11"/>
          <w:szCs w:val="11"/>
          <w:color w:val="auto"/>
        </w:rPr>
      </w:pPr>
    </w:p>
    <w:p>
      <w:pPr>
        <w:ind w:left="340" w:right="280" w:hanging="332"/>
        <w:spacing w:after="0" w:line="261" w:lineRule="auto"/>
        <w:tabs>
          <w:tab w:leader="none" w:pos="3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Through its subsidiaries, GasLog LNG Services Ltd., GasLog Hellas-1 Special Maritime Enterprise and GasLog Hellas-2 Special Maritime Enterprise, the Group leases office space in Piraeus, Greece, from an entity controlled by Ceres Shipping, Nea Dimitra Ktimatikh kai Emporikh S.A. (“Nea Dimitra Property”).</w:t>
      </w:r>
    </w:p>
    <w:p>
      <w:pPr>
        <w:spacing w:after="0" w:line="162" w:lineRule="exact"/>
        <w:rPr>
          <w:rFonts w:ascii="Times New Roman" w:cs="Times New Roman" w:eastAsia="Times New Roman" w:hAnsi="Times New Roman"/>
          <w:sz w:val="11"/>
          <w:szCs w:val="11"/>
          <w:color w:val="auto"/>
        </w:rPr>
      </w:pPr>
    </w:p>
    <w:p>
      <w:pPr>
        <w:ind w:left="340" w:right="20" w:hanging="332"/>
        <w:spacing w:after="0" w:line="236" w:lineRule="auto"/>
        <w:tabs>
          <w:tab w:leader="none" w:pos="3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key management personnel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of directors and key management was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long-term employee benefits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 recognized in respect of share-based compensation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8,335</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Compensation Plan</w:t>
      </w:r>
    </w:p>
    <w:p>
      <w:pPr>
        <w:spacing w:after="0" w:line="22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GasLog had granted to executives, managers and certain employees of the Group, Restricted Stock Units (“RSUs”), Stock Appreciation Rights or Stock Options (collectively, the “SARs”) and Performance Stock Units (“PSUs”) in accordance with its 2013 Omnibus Incentive Compensation Plan (the “Plan”).</w:t>
      </w:r>
    </w:p>
    <w:p>
      <w:pPr>
        <w:spacing w:after="0" w:line="176" w:lineRule="exact"/>
        <w:rPr>
          <w:sz w:val="20"/>
          <w:szCs w:val="20"/>
          <w:color w:val="auto"/>
        </w:rPr>
      </w:pPr>
    </w:p>
    <w:p>
      <w:pPr>
        <w:ind w:right="220" w:firstLine="324"/>
        <w:spacing w:after="0" w:line="312" w:lineRule="auto"/>
        <w:rPr>
          <w:sz w:val="20"/>
          <w:szCs w:val="20"/>
          <w:color w:val="auto"/>
        </w:rPr>
      </w:pPr>
      <w:r>
        <w:rPr>
          <w:rFonts w:ascii="Times New Roman" w:cs="Times New Roman" w:eastAsia="Times New Roman" w:hAnsi="Times New Roman"/>
          <w:sz w:val="17"/>
          <w:szCs w:val="17"/>
          <w:color w:val="auto"/>
        </w:rPr>
        <w:t>Following the consummation of the 2021 Transaction, the previously unvested RSUs and PSUs vested; the PSUs vested assuming 100% achievement of performance conditions. In addition, all SARs have been cancelled and replaced by cash consideration.</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 Partners has granted to its executives RCUs and PCUs in accordance with the GasLog Partners’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the granted awards are presented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 at</w:t>
            </w: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14, 2021</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2021</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Transaction, the previously unvested RCUs and PCUs vested. The PCUs vested with performance goals deemed achieved based on actual achievement as of immediately prior to the Effective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4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RCUs and PCUs in accordance with the GasLog Partners’ Plan was determined by using the grant date closing price and was not further adjusted since the holders were entitled to cash distributions.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Movement in RCUs and PCUs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RCUs and PCUs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RCUs</w:t>
            </w: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247,085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PCUs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133,292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total expense recognized in respect of share-based compensation for the year ended December 31, 2023 was $1,357 (December 31, 2022: $760 and December 31, 2021: $3,032). The total accrued cash distribution as of December 31, 2023 is nil (December 31, 2022: $56).</w:t>
      </w:r>
    </w:p>
    <w:p>
      <w:pPr>
        <w:spacing w:after="0" w:line="172" w:lineRule="exact"/>
        <w:rPr>
          <w:sz w:val="20"/>
          <w:szCs w:val="20"/>
          <w:color w:val="auto"/>
        </w:rPr>
      </w:pPr>
    </w:p>
    <w:p>
      <w:pPr>
        <w:ind w:left="280" w:hanging="272"/>
        <w:spacing w:after="0"/>
        <w:tabs>
          <w:tab w:leader="none" w:pos="2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relating to the vessels under construction (Note 6) on December 31, 2023 payable to Hanwha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84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330,531</w:t>
            </w:r>
          </w:p>
        </w:tc>
      </w:tr>
      <w:tr>
        <w:trPr>
          <w:trHeight w:val="216"/>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246,196</w:t>
            </w:r>
          </w:p>
        </w:tc>
      </w:tr>
      <w:tr>
        <w:trPr>
          <w:trHeight w:val="210"/>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576,727</w:t>
            </w:r>
          </w:p>
        </w:tc>
      </w:tr>
      <w:tr>
        <w:trPr>
          <w:trHeight w:val="20"/>
        </w:trPr>
        <w:tc>
          <w:tcPr>
            <w:tcW w:w="84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All installments, including the delivery installment but excluding the part of the initial installments that were already paid by the Company to the shipyard, will be paid directly to Hanwha by CMBFL according to the terms of the 4xNB SLBs (Note 13). The delivery installment is subject to a fair market value test.</w:t>
      </w:r>
    </w:p>
    <w:p>
      <w:pPr>
        <w:spacing w:after="0" w:line="176" w:lineRule="exact"/>
        <w:rPr>
          <w:sz w:val="20"/>
          <w:szCs w:val="20"/>
          <w:color w:val="auto"/>
        </w:rPr>
      </w:pPr>
    </w:p>
    <w:p>
      <w:pPr>
        <w:ind w:right="140" w:firstLine="332"/>
        <w:spacing w:after="0" w:line="282" w:lineRule="auto"/>
        <w:tabs>
          <w:tab w:leader="none" w:pos="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relating to the vessels under construction (Note 6) on December 31, 2023 payable to Seatrium not later than one year were $12,224.</w:t>
      </w:r>
    </w:p>
    <w:p>
      <w:pPr>
        <w:spacing w:after="0" w:line="161" w:lineRule="exact"/>
        <w:rPr>
          <w:rFonts w:ascii="Times New Roman" w:cs="Times New Roman" w:eastAsia="Times New Roman" w:hAnsi="Times New Roman"/>
          <w:sz w:val="18"/>
          <w:szCs w:val="18"/>
          <w:color w:val="auto"/>
        </w:rPr>
      </w:pPr>
    </w:p>
    <w:p>
      <w:pPr>
        <w:ind w:right="260" w:firstLine="332"/>
        <w:spacing w:after="0" w:line="261" w:lineRule="auto"/>
        <w:tabs>
          <w:tab w:leader="none" w:pos="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minimum lease payments receivable in relation to non-cancellable time charter agreements for vessels in operation, including vessels under a lease (Note 7) as of December 31, 2023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180" w:type="dxa"/>
            <w:vAlign w:val="bottom"/>
          </w:tcPr>
          <w:p>
            <w:pPr>
              <w:spacing w:after="0"/>
              <w:rPr>
                <w:sz w:val="15"/>
                <w:szCs w:val="15"/>
                <w:color w:val="auto"/>
              </w:rPr>
            </w:pPr>
          </w:p>
        </w:tc>
        <w:tc>
          <w:tcPr>
            <w:tcW w:w="27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5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636,781</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505,618</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304,316</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203,687</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138,591</w:t>
            </w:r>
          </w:p>
        </w:tc>
      </w:tr>
      <w:tr>
        <w:trPr>
          <w:trHeight w:val="209"/>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2,168,593</w:t>
            </w:r>
          </w:p>
        </w:tc>
      </w:tr>
      <w:tr>
        <w:trPr>
          <w:trHeight w:val="20"/>
        </w:trPr>
        <w:tc>
          <w:tcPr>
            <w:tcW w:w="5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receivable disclosed in the above table exclude the lease payments of the vessels that are under construction as of December 31, 2023 (Note 6). For these vessels, the following charter party agreements have been signed:</w:t>
      </w:r>
    </w:p>
    <w:p>
      <w:pPr>
        <w:spacing w:after="0" w:line="162" w:lineRule="exact"/>
        <w:rPr>
          <w:sz w:val="20"/>
          <w:szCs w:val="20"/>
          <w:color w:val="auto"/>
        </w:rPr>
      </w:pPr>
    </w:p>
    <w:p>
      <w:pPr>
        <w:ind w:left="680" w:right="20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GAS-thirty nine Ltd. signed an agreement with Mitsui for its newbuilding Hull No. 2533 to be chartered to Mitsui upon delivery in 2024 for an initial term of nine years.</w:t>
      </w:r>
    </w:p>
    <w:p>
      <w:pPr>
        <w:spacing w:after="0" w:line="40"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GAS-forty Ltd. signed an agreement with Woodside Energy Shipping Singapore Pte Ltd. (“Woodside”) for its newbuilding Hull No. 2534 to be chartered to Woodside upon delivery in 2025 for an initial term of ten years.</w:t>
      </w:r>
    </w:p>
    <w:p>
      <w:pPr>
        <w:spacing w:after="0" w:line="26"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GAS-forty one Ltd. signed an agreement with Woodside for its newbuilding Hull No. 2535 to be chartered to Woodside upon delivery in 2025 for an initial term of ten years.</w:t>
      </w:r>
    </w:p>
    <w:p>
      <w:pPr>
        <w:spacing w:after="0" w:line="40"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GAS- thirty eight Ltd. signed an agreement with a multinational oil and gas company for its newbuilding Hull No. 2532 to be chartered to the multinational oil and gas company upon delivery in 2024 for an initial term of seven years.</w:t>
      </w:r>
    </w:p>
    <w:p>
      <w:pPr>
        <w:spacing w:after="0" w:line="162" w:lineRule="exact"/>
        <w:rPr>
          <w:sz w:val="20"/>
          <w:szCs w:val="20"/>
          <w:color w:val="auto"/>
        </w:rPr>
      </w:pPr>
    </w:p>
    <w:p>
      <w:pPr>
        <w:ind w:firstLine="332"/>
        <w:spacing w:after="0" w:line="266" w:lineRule="auto"/>
        <w:tabs>
          <w:tab w:leader="none" w:pos="6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GasLog LNG Services entered into long term service agreements with Hyundai Global Service Europe B.V. (“Hyundai”) in respect of six of GasLog’s vessels. The agreement covers the supply of spare parts and/or services to maintain the engines of these vessels for a period of five years.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GasLog LNG Services Ltd. has provided bank guarantees as follows:</w:t>
      </w:r>
    </w:p>
    <w:p>
      <w:pPr>
        <w:spacing w:after="0" w:line="225" w:lineRule="exact"/>
        <w:rPr>
          <w:sz w:val="20"/>
          <w:szCs w:val="20"/>
          <w:color w:val="auto"/>
        </w:rPr>
      </w:pPr>
    </w:p>
    <w:p>
      <w:pPr>
        <w:ind w:left="680" w:hanging="321"/>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$250 to third parties relating to the satisfactory performance of its ship management activities;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of $10 to the Greek Ministry of Finance relating to the satisfactory performance of the obligations arising under Greek laws 89/1967, 378/1968 as amended by law 814/1978.</w:t>
      </w:r>
    </w:p>
    <w:p>
      <w:pPr>
        <w:spacing w:after="0" w:line="161" w:lineRule="exact"/>
        <w:rPr>
          <w:rFonts w:ascii="Times New Roman" w:cs="Times New Roman" w:eastAsia="Times New Roman" w:hAnsi="Times New Roman"/>
          <w:sz w:val="18"/>
          <w:szCs w:val="18"/>
          <w:color w:val="auto"/>
        </w:rPr>
      </w:pPr>
    </w:p>
    <w:p>
      <w:pPr>
        <w:ind w:left="680" w:right="280" w:hanging="321"/>
        <w:spacing w:after="0" w:line="266"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of $338 relating to the United Kingdom Mutual Steamship Assurance Association Limited relating to the punctual payment in the event a supplementary call is levied for policy years in which GasLog vessels were entered with the club.</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of $20 to the seamen pension fund.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Financial Risk Management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The Group is subject to market risks relating to changes in interest rates because it has floating rate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Significant 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2023, the Group has not economically hedged its variable rate interest exposure relating to its existing credit facilities and bonds. As of December 31, 2022, the Group had economically hedged 30.7% of its variable rate interest exposure relating to its existing credit facilities and the bonds by swapping the variable rate to a fixed rate.</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our outstanding floating rate debt as of December 31, 2023 was $2,816,428. As an indication of the extent of our sensitivity to interest rate changes, an increase in SOFR of 10 basis points would increase the annual interest expense on the un-hedged portion of the Group’s loans by approximately $2,667 (December 31, 2022: $2,076 and December 31, 2021: $1,942).</w:t>
      </w:r>
    </w:p>
    <w:p>
      <w:pPr>
        <w:spacing w:after="0" w:line="172"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sensitivity analysis: </w:t>
      </w:r>
      <w:r>
        <w:rPr>
          <w:rFonts w:ascii="Times New Roman" w:cs="Times New Roman" w:eastAsia="Times New Roman" w:hAnsi="Times New Roman"/>
          <w:sz w:val="18"/>
          <w:szCs w:val="18"/>
          <w:color w:val="auto"/>
        </w:rPr>
        <w:t>The Group had no interest rate swaps as of December 31, 2023. The fair value of the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swaps as of December 31, 2022 was estimated as a net asset of $35,486.</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 swap agreements described below were subject to market risk as they were recorded at fair value in the statement of financial position at year end. The fair value of interest rate swap liabilities increases when interest rates decrease and decreases when interest rates increase. At December 31, 2022, if interest rates had increased or decreased by 10 basis points with all other variables held constant, the positive/(negative) impact, respectively, on the fair value of the interest rate swaps would have amounted to $1,937 (December 31, 2021: $3,187) affecting Gain on derivatives in the respective reporting dates.</w:t>
      </w:r>
    </w:p>
    <w:p>
      <w:pPr>
        <w:spacing w:after="0" w:line="17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price risk: </w:t>
      </w:r>
      <w:r>
        <w:rPr>
          <w:rFonts w:ascii="Times New Roman" w:cs="Times New Roman" w:eastAsia="Times New Roman" w:hAnsi="Times New Roman"/>
          <w:sz w:val="18"/>
          <w:szCs w:val="18"/>
          <w:color w:val="auto"/>
        </w:rPr>
        <w:t>The decrease in the fair value of Egypt LNG Shipping Ltd., in response to unfavorable market conditions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decrease in charter rates and vessel values, could negatively impact the value of the Group’s investment in associate. Therefore, management might conclude that impairment is necessary in the future.</w:t>
      </w:r>
    </w:p>
    <w:p>
      <w:pPr>
        <w:spacing w:after="0" w:line="17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risk: </w:t>
      </w:r>
      <w:r>
        <w:rPr>
          <w:rFonts w:ascii="Times New Roman" w:cs="Times New Roman" w:eastAsia="Times New Roman" w:hAnsi="Times New Roman"/>
          <w:sz w:val="18"/>
          <w:szCs w:val="18"/>
          <w:color w:val="auto"/>
        </w:rPr>
        <w:t>Currency risk is the risk that the value of financial instruments and/or the cost of commercial transactions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 due to changes in 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 Specifically, for the year ended December 31, 2023, $146,037 of the operating and administrative expenses were denominated in EUR (December 31, 2022: $134,883 and December 31, 2021: $126,988). As of December 31, 2023, $24,471 of the Group’s outstanding trade payables and accruals were denominated in EUR (December 31, 2022: $29,343). The Group is also exposed in currency risk in relation to our NOK 2024 Bonds (Note 13).</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Group has entered into CCSs (Note 26) to hedge its currency exposure from the NOK 2024 Bonds and forward foreign exchange contracts to hedge its currency exposure from payments in EUR and Singapore dollars (“SGD”). In addition, management monitors exchange rate fluctuations on a continuous basis. As an indication of the extent of the Group’s sensitivity to changes in exchange rate, a 10% increase in the average EUR/USD exchange rate would have decreased the Group’s profit and cash flows during the year ended December 31, 2023 by $14,604, based upon its expenses during the year (December 31, 2022: $13,488 and December 31, 2021: $12,699).</w:t>
      </w:r>
    </w:p>
    <w:p>
      <w:pPr>
        <w:spacing w:after="0" w:line="183"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on NOK 2024 Bonds (cash flow hedge): </w:t>
      </w:r>
      <w:r>
        <w:rPr>
          <w:rFonts w:ascii="Times New Roman" w:cs="Times New Roman" w:eastAsia="Times New Roman" w:hAnsi="Times New Roman"/>
          <w:sz w:val="18"/>
          <w:szCs w:val="18"/>
          <w:color w:val="auto"/>
        </w:rPr>
        <w:t>The Group uses approved instruments such as CCSs, in order to reduce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variability of the cash flows associated with the functional currency equivalent interest and principal of the NOK 2024 Bonds as well as changes in the cash flows associated with changes in the currency rates and is therefore exposed to the following interest rate benchmarks within its hedge accounting relationship.</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Group’s NOK 2024 Bonds agreement includes fall back provisions for a case of cessation of the referenced benchmark interest rate. Specifically, it states that in the case that the interest rate referenced IBOR is no longer available, the interest rate will be set by the bond trustee in consultation with the issuer to: (i) any relevant replacement reference rate generally accepted in the market; or (ii) such interest rate that best reflects the interest rate for deposits in the bond currency offered for the relevant interest period. In each case, if any such rate is below zero, the reference rate will be deemed to be zero.</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Group’s CCSs, the International Swaps and Derivatives Association’s (“ISDA”) fall back clauses were made available at the end of 2019. These clauses or similar language has been inserted into a number of ISDA agreements across the Group and all outstanding agreements will be considered on a case by case basis with each counterparty.</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May 2023, GasLog amended the ISDA agreements of its then outstanding swaps in order to transition away from LIBOR, incorporating ISDA standard provisions for three-month daily compounding SOFR which became effective upon LIBOR cessation.</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Below are details of the hedging instruments and hedged item in scope of the IFRS 9 amendments due to interest rate benchmark reform, by hedge type. The terms of the hedged item match those of the corresponding hedging instruments.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Hedge type</w:t>
            </w:r>
          </w:p>
        </w:tc>
        <w:tc>
          <w:tcPr>
            <w:tcW w:w="12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4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Maturing in</w:t>
            </w:r>
          </w:p>
        </w:tc>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Notional amount</w:t>
            </w:r>
          </w:p>
        </w:tc>
        <w:tc>
          <w:tcPr>
            <w:tcW w:w="140" w:type="dxa"/>
            <w:vAlign w:val="bottom"/>
          </w:tcPr>
          <w:p>
            <w:pPr>
              <w:spacing w:after="0"/>
              <w:rPr>
                <w:sz w:val="15"/>
                <w:szCs w:val="15"/>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Hedged item</w:t>
            </w:r>
          </w:p>
        </w:tc>
      </w:tr>
      <w:tr>
        <w:trPr>
          <w:trHeight w:val="191"/>
        </w:trPr>
        <w:tc>
          <w:tcPr>
            <w:tcW w:w="3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Receive 3-month</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NIBOR, pay 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month daily non-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compounded SOFR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3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floating CCS</w:t>
            </w:r>
          </w:p>
        </w:tc>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DNB</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6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Receive 3-month</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NIBOR, pay 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month non-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NOK 2024 Bonds of</w:t>
            </w:r>
          </w:p>
        </w:tc>
      </w:tr>
      <w:tr>
        <w:trPr>
          <w:trHeight w:val="216"/>
        </w:trPr>
        <w:tc>
          <w:tcPr>
            <w:tcW w:w="33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cumulative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same maturity</w:t>
            </w:r>
          </w:p>
        </w:tc>
      </w:tr>
      <w:tr>
        <w:trPr>
          <w:trHeight w:val="216"/>
        </w:trPr>
        <w:tc>
          <w:tcPr>
            <w:tcW w:w="33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compounded SOFR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notional of the</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floating CCS</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SEB</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CCSs.</w:t>
            </w:r>
          </w:p>
        </w:tc>
      </w:tr>
      <w:tr>
        <w:trPr>
          <w:trHeight w:val="198"/>
        </w:trPr>
        <w:tc>
          <w:tcPr>
            <w:tcW w:w="33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Receive 3-month</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NIBOR, pay 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month non-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compounded SOFR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3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floating CCS</w:t>
            </w:r>
          </w:p>
        </w:tc>
        <w:tc>
          <w:tcPr>
            <w:tcW w:w="11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Nordea</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98,550</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Group will continue to apply the amendments to IFRS 9 until the uncertainty arising from the interest rate benchmark reforms with respect to the timing and the amount of the underlying cash flows that the Group is exposed ends. The Group has assumed that this uncertainty will not end until the Group’s contracts that reference IBORs are amended to specify the date on which the interest rate benchmark will be replaced, the cash flows of the alternative benchmark rate and relevant spread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tables include both interest and principal cash flows. Variable future interest payments were determined based on an average LIBOR/SOFR plus the margins applicable to the Group’s credit facilities at the end of each year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8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$ 18,848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interest loans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929,869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3,668,956</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350,873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579,505</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409,256</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$ 97,413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1,432,648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4,774,948</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$ 22,496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83,585</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loans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3,130,006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3,766,753</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520,808</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453,944</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$ 61,967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74,778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376,538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3,456,091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880,597</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4,849,971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Non-financial liabilities are excluded.</w:t>
      </w:r>
    </w:p>
    <w:p>
      <w:pPr>
        <w:spacing w:after="0" w:line="2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detail the Group’s expected cash flows for its derivative financial instruments. The tables have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derivatives.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8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1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(5,964)</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31,656</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1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(11,162)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23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F-51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and arises from cash and cash equivalents, short-term cash deposits, favorable derivative financial instruments and deposits with banks and financial institutions, as well as credit exposures to customers, including trade and other receivables and dividends receivable and other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Short-term cash deposits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receivable and other amounts due from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30.2% of the Group’s revenue was earned from Shell plc (December 31, 2022 and December 31, 2021, 31.0% and 38.0%, respectively) and accounts receivable were not collateralized; however, management believes that the credit risk is partially offset by the creditworthiness of the Group’s counterparties. The Group did not experience significant credit losses on its accounts receivable portfolio during the three years ended December 31, 2023.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credit risk on liquid funds and derivative financial instruments is limited because the counterparties are banks with high credit ratings assigned by international credit-rating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Capital Risk Management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Group monitors capital using a gearing ratio, defined under certain of the Group’s credit facilities as total debt and derivative financial instruments divided by total equity plus total debt and derivative financial instruments (Note 13). The gearing ratio is calculated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1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current portion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107,917</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Borrowings, non-current portion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3,004,767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2,944,987</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current liability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liability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assets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Borders>
              <w:bottom w:val="single" w:sz="8" w:color="CCEEFF"/>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3,605,844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3,445,438</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1,721,778</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1,386,399</w:t>
            </w:r>
          </w:p>
        </w:tc>
        <w:tc>
          <w:tcPr>
            <w:tcW w:w="200" w:type="dxa"/>
            <w:vAlign w:val="bottom"/>
            <w:tcBorders>
              <w:bottom w:val="single" w:sz="8" w:color="CCEEFF"/>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and equity</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5,327,622</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4,831,837</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Gearing ratio</w:t>
            </w:r>
          </w:p>
        </w:tc>
        <w:tc>
          <w:tcPr>
            <w:tcW w:w="8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2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6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2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5"/>
        </w:trPr>
        <w:tc>
          <w:tcPr>
            <w:tcW w:w="1000" w:type="dxa"/>
            <w:vAlign w:val="bottom"/>
          </w:tcPr>
          <w:p>
            <w:pPr>
              <w:spacing w:after="0"/>
              <w:rPr>
                <w:sz w:val="24"/>
                <w:szCs w:val="24"/>
                <w:color w:val="auto"/>
              </w:rPr>
            </w:pPr>
          </w:p>
        </w:tc>
        <w:tc>
          <w:tcPr>
            <w:tcW w:w="58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F-52</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Derivative Financial Instruments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derivative assets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carried at fair value through profit or loss (FVTPL)</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50"/>
        </w:trPr>
        <w:tc>
          <w:tcPr>
            <w:tcW w:w="6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38,608</w:t>
            </w: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current assets</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25,383</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assets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38,608</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fair value of the derivative liabilities is as follows:</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carried at fair value through profit or loss (FVTPL)</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and effective as hedging instruments carried at</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8,332</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Derivative financial instruments, current liability</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gridSpan w:val="2"/>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2,834</w:t>
            </w: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liability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9"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SOFR/LIBOR, and the Group effects quarterly payments to the bank on the notional amount at the respective fixed rates.</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May 2023, GasLog amended the ISDA agreements of its then outstanding swaps in order to transition away from LIBOR, incorporating ISDA standard provisions for three-month daily compounding SOFR which became effective upon LIBOR cessation.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and June 2023, GAS-twenty seven Ltd. amended the ISDA agreements of its then outstanding swaps with DNB and ING in order to transition away from LIBOR, incorporating ISDA standard provisions for three-month daily compounding SOFR which became effective upon LIBOR cessation.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interest rate swaps held for trading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Original</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Notional Amount</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Trade</w:t>
            </w:r>
          </w:p>
        </w:tc>
        <w:tc>
          <w:tcPr>
            <w:tcW w:w="11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11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Termination</w:t>
            </w:r>
          </w:p>
        </w:tc>
        <w:tc>
          <w:tcPr>
            <w:tcW w:w="1140" w:type="dxa"/>
            <w:vAlign w:val="bottom"/>
            <w:gridSpan w:val="2"/>
          </w:tcPr>
          <w:p>
            <w:pPr>
              <w:jc w:val="right"/>
              <w:ind w:right="257"/>
              <w:spacing w:after="0" w:line="125" w:lineRule="exact"/>
              <w:rPr>
                <w:sz w:val="20"/>
                <w:szCs w:val="20"/>
                <w:color w:val="auto"/>
              </w:rPr>
            </w:pPr>
            <w:r>
              <w:rPr>
                <w:rFonts w:ascii="Times New Roman" w:cs="Times New Roman" w:eastAsia="Times New Roman" w:hAnsi="Times New Roman"/>
                <w:sz w:val="12"/>
                <w:szCs w:val="12"/>
                <w:b w:val="1"/>
                <w:bCs w:val="1"/>
                <w:color w:val="auto"/>
              </w:rPr>
              <w:t>Fixed Interest</w:t>
            </w:r>
          </w:p>
        </w:tc>
        <w:tc>
          <w:tcPr>
            <w:tcW w:w="940" w:type="dxa"/>
            <w:vAlign w:val="bottom"/>
          </w:tcPr>
          <w:p>
            <w:pPr>
              <w:jc w:val="right"/>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0" w:type="dxa"/>
            <w:vAlign w:val="bottom"/>
          </w:tcPr>
          <w:p>
            <w:pPr>
              <w:spacing w:after="0"/>
              <w:rPr>
                <w:sz w:val="1"/>
                <w:szCs w:val="1"/>
                <w:color w:val="auto"/>
              </w:rPr>
            </w:pPr>
          </w:p>
        </w:tc>
      </w:tr>
      <w:tr>
        <w:trPr>
          <w:trHeight w:val="156"/>
        </w:trPr>
        <w:tc>
          <w:tcPr>
            <w:tcW w:w="1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2320" w:type="dxa"/>
            <w:vAlign w:val="bottom"/>
            <w:gridSpan w:val="3"/>
          </w:tcPr>
          <w:p>
            <w:pPr>
              <w:ind w:left="720"/>
              <w:spacing w:after="0"/>
              <w:rPr>
                <w:sz w:val="20"/>
                <w:szCs w:val="20"/>
                <w:color w:val="auto"/>
              </w:rPr>
            </w:pPr>
            <w:r>
              <w:rPr>
                <w:rFonts w:ascii="Times New Roman" w:cs="Times New Roman" w:eastAsia="Times New Roman" w:hAnsi="Times New Roman"/>
                <w:sz w:val="12"/>
                <w:szCs w:val="12"/>
                <w:b w:val="1"/>
                <w:bCs w:val="1"/>
                <w:color w:val="auto"/>
              </w:rPr>
              <w:t>Counterparty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140" w:type="dxa"/>
            <w:vAlign w:val="bottom"/>
            <w:gridSpan w:val="2"/>
          </w:tcPr>
          <w:p>
            <w:pPr>
              <w:jc w:val="right"/>
              <w:ind w:right="477"/>
              <w:spacing w:after="0"/>
              <w:rPr>
                <w:sz w:val="20"/>
                <w:szCs w:val="20"/>
                <w:color w:val="auto"/>
              </w:rPr>
            </w:pPr>
            <w:r>
              <w:rPr>
                <w:rFonts w:ascii="Times New Roman" w:cs="Times New Roman" w:eastAsia="Times New Roman" w:hAnsi="Times New Roman"/>
                <w:sz w:val="12"/>
                <w:szCs w:val="12"/>
                <w:b w:val="1"/>
                <w:bCs w:val="1"/>
                <w:color w:val="auto"/>
              </w:rPr>
              <w:t>Rate</w:t>
            </w: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140" w:type="dxa"/>
            <w:vAlign w:val="bottom"/>
            <w:gridSpan w:val="2"/>
          </w:tcPr>
          <w:p>
            <w:pPr>
              <w:jc w:val="center"/>
              <w:ind w:right="137"/>
              <w:spacing w:after="0" w:line="156" w:lineRule="exact"/>
              <w:rPr>
                <w:sz w:val="20"/>
                <w:szCs w:val="20"/>
                <w:color w:val="auto"/>
              </w:rPr>
            </w:pPr>
            <w:r>
              <w:rPr>
                <w:rFonts w:ascii="Times New Roman" w:cs="Times New Roman" w:eastAsia="Times New Roman" w:hAnsi="Times New Roman"/>
                <w:sz w:val="18"/>
                <w:szCs w:val="18"/>
                <w:b w:val="1"/>
                <w:bCs w:val="1"/>
                <w:color w:val="auto"/>
                <w:vertAlign w:val="subscript"/>
              </w:rPr>
              <w:t>2023</w:t>
            </w:r>
            <w:r>
              <w:rPr>
                <w:rFonts w:ascii="Times New Roman" w:cs="Times New Roman" w:eastAsia="Times New Roman" w:hAnsi="Times New Roman"/>
                <w:sz w:val="8"/>
                <w:szCs w:val="8"/>
                <w:b w:val="1"/>
                <w:bCs w:val="1"/>
                <w:color w:val="auto"/>
              </w:rPr>
              <w:t xml:space="preserve"> (1), (2)</w:t>
            </w:r>
          </w:p>
        </w:tc>
        <w:tc>
          <w:tcPr>
            <w:tcW w:w="0" w:type="dxa"/>
            <w:vAlign w:val="bottom"/>
          </w:tcPr>
          <w:p>
            <w:pPr>
              <w:spacing w:after="0"/>
              <w:rPr>
                <w:sz w:val="1"/>
                <w:szCs w:val="1"/>
                <w:color w:val="auto"/>
              </w:rPr>
            </w:pPr>
          </w:p>
        </w:tc>
      </w:tr>
      <w:tr>
        <w:trPr>
          <w:trHeight w:val="128"/>
        </w:trPr>
        <w:tc>
          <w:tcPr>
            <w:tcW w:w="8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GasLog</w:t>
            </w:r>
          </w:p>
        </w:tc>
        <w:tc>
          <w:tcPr>
            <w:tcW w:w="20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Nordea Bank Finland (“Nordea”)</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May 2018</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July 2020</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July 2026</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3.070</w:t>
            </w:r>
          </w:p>
        </w:tc>
        <w:tc>
          <w:tcPr>
            <w:tcW w:w="1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680"/>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Nordea</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May 2018</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2026</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2.562 %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3.025 %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3.146 %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48,889</w:t>
            </w:r>
          </w:p>
        </w:tc>
        <w:tc>
          <w:tcPr>
            <w:tcW w:w="200" w:type="dxa"/>
            <w:vAlign w:val="bottom"/>
          </w:tcPr>
          <w:p>
            <w:pPr>
              <w:spacing w:after="0"/>
              <w:rPr>
                <w:sz w:val="13"/>
                <w:szCs w:val="13"/>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7"/>
        </w:trPr>
        <w:tc>
          <w:tcPr>
            <w:tcW w:w="10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24,444</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2018</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2.472 %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HSBC</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2"/>
              </w:rPr>
              <w:t>Apr 2018</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2.475 %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ABN</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June 2021</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2"/>
              </w:rPr>
              <w:t>Apr 2021</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2.550 %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Citibank Europe Plc. (“CITI”)</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3.082 %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CITI</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2021</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3.095 %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October 2018</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2026</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2.745 %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Nordea</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October 2018</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2028</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2.793 %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January 2019</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2.685 %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2.958 %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tcPr>
          <w:p>
            <w:pPr>
              <w:spacing w:after="0"/>
              <w:rPr>
                <w:sz w:val="11"/>
                <w:szCs w:val="11"/>
                <w:color w:val="auto"/>
              </w:rPr>
            </w:pPr>
          </w:p>
        </w:tc>
        <w:tc>
          <w:tcPr>
            <w:tcW w:w="94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2020</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3.127 %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April 2020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2025</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3.069 %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00" w:type="dxa"/>
            <w:vAlign w:val="bottom"/>
          </w:tcPr>
          <w:p>
            <w:pPr>
              <w:spacing w:after="0"/>
              <w:rPr>
                <w:sz w:val="13"/>
                <w:szCs w:val="13"/>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7"/>
        </w:trPr>
        <w:tc>
          <w:tcPr>
            <w:tcW w:w="10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2025</w:t>
            </w:r>
          </w:p>
        </w:tc>
        <w:tc>
          <w:tcPr>
            <w:tcW w:w="1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3.176 %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GAS-fifteen</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NBG</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September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October 2020</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1.795 %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79,790</w:t>
            </w:r>
          </w:p>
        </w:tc>
        <w:tc>
          <w:tcPr>
            <w:tcW w:w="200" w:type="dxa"/>
            <w:vAlign w:val="bottom"/>
          </w:tcPr>
          <w:p>
            <w:pPr>
              <w:spacing w:after="0"/>
              <w:rPr>
                <w:sz w:val="13"/>
                <w:szCs w:val="13"/>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28"/>
        </w:trPr>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936,456</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ind w:left="680"/>
              <w:spacing w:after="0" w:line="129"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440" w:hanging="332"/>
        <w:spacing w:after="0" w:line="261" w:lineRule="auto"/>
        <w:tabs>
          <w:tab w:leader="none" w:pos="3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August 2023, the Group terminated all interest rate swaps held for trading originally maturing between 2024 and 2028 with an aggregate notional amount of $856,666, receiving an amount of $32,083.</w:t>
      </w:r>
    </w:p>
    <w:p>
      <w:pPr>
        <w:spacing w:after="0" w:line="95" w:lineRule="exact"/>
        <w:rPr>
          <w:rFonts w:ascii="Times New Roman" w:cs="Times New Roman" w:eastAsia="Times New Roman" w:hAnsi="Times New Roman"/>
          <w:sz w:val="11"/>
          <w:szCs w:val="11"/>
          <w:color w:val="auto"/>
        </w:rPr>
      </w:pPr>
    </w:p>
    <w:p>
      <w:pPr>
        <w:ind w:left="340" w:right="460" w:hanging="332"/>
        <w:spacing w:after="0" w:line="261" w:lineRule="auto"/>
        <w:tabs>
          <w:tab w:leader="none" w:pos="3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January 2023, GAS-fifteen Ltd. terminated the interest rate swap with NBG originally maturing in July 2025, with GAS-fifteen Ltd. receiving an amount of $3,706.</w:t>
      </w:r>
    </w:p>
    <w:p>
      <w:pPr>
        <w:spacing w:after="0" w:line="16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listed above were not designated as cash flow hedging instruments. The change in the fair value of these contracts for the year ended December 31, 2023 amounted to a net gain of $303 (December 31, 2022: $88,678 net gain, December 31, 2021: $60,663 net gain), which was recognized against profit or loss in the period incurred and is included in Gain on derivatives. During the year ended December 31, 2023, the net gain of $303 derived from changes in the SOFR/LIBOR curve.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 agreements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 entered into CCSs which converted the floating interest rate exposure and the variability of the USD functional currency equivalent cash flows into a fixed interest rate and principal on maturity with respect to the NOK 2024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CCSs are designated as cash flow hedging instruments for accounting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CCSs designated as cash flow hedging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8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117"/>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14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GasLog</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DNB</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Nov 2019</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Nov 2019</w:t>
            </w: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Nov 2024</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floating</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SEB</w:t>
            </w:r>
          </w:p>
        </w:tc>
        <w:tc>
          <w:tcPr>
            <w:tcW w:w="11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2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Nov 2024</w:t>
            </w: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floating</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1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Nordea</w:t>
            </w:r>
          </w:p>
        </w:tc>
        <w:tc>
          <w:tcPr>
            <w:tcW w:w="11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1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2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Nov 2024</w:t>
            </w:r>
          </w:p>
        </w:tc>
        <w:tc>
          <w:tcPr>
            <w:tcW w:w="11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floating</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98,550</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98,550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effective portion of changes in the fair value of CCSs amounting to a loss of $5,878 has been recognized in Other comprehensive (loss)/income (December 31, 2022: $11,711 loss, December 31, 2021: $3,086 loss). For the year ended December 31, 2023, a loss of $3,049 was recycled to profit or loss representing the realized loss on CCSs in relation to the interest expenses component of the hedge (December 31, 2022: $883 loss, December 31, 2021: $259 gain). Additionally, for the year ended December 31, 2023, a gain of $2,624 was recognized in Other comprehensive (loss)/income in relation to the retranslation of the NOK Bonds in USD as of December 31, 2023 (December 31, 2022: $11,212 gain, December 31, 2021: $3,184 gain).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Group uses forward foreign exchange contracts to mitigate foreign exchange transaction exposures in EUR and SGD. Under these forward foreign exchange contracts, the bank counterparty will effect fixed payments in EUR or SGD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principal terms of the forward foreign exchange contracts held for trading which remain open and unsettled as of December 31, 2023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Fixed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Total Exchange</w:t>
            </w: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 Rate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r>
      <w:tr>
        <w:trPr>
          <w:trHeight w:val="155"/>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Counterparty</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Trade Date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contracts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6"/>
              </w:rPr>
              <w:t>Settlement Dates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(EUR/USD)</w:t>
            </w: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28"/>
        </w:trPr>
        <w:tc>
          <w:tcPr>
            <w:tcW w:w="23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GasLog</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ind w:right="137"/>
              <w:spacing w:after="0" w:line="129" w:lineRule="exact"/>
              <w:rPr>
                <w:sz w:val="20"/>
                <w:szCs w:val="20"/>
                <w:color w:val="auto"/>
              </w:rPr>
            </w:pPr>
            <w:r>
              <w:rPr>
                <w:rFonts w:ascii="Times New Roman" w:cs="Times New Roman" w:eastAsia="Times New Roman" w:hAnsi="Times New Roman"/>
                <w:sz w:val="13"/>
                <w:szCs w:val="13"/>
                <w:color w:val="auto"/>
                <w:w w:val="94"/>
              </w:rPr>
              <w:t>ABN</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gridSpan w:val="3"/>
            <w:shd w:val="clear" w:color="auto" w:fill="CCEEFF"/>
          </w:tcPr>
          <w:p>
            <w:pPr>
              <w:jc w:val="center"/>
              <w:ind w:left="37"/>
              <w:spacing w:after="0" w:line="129" w:lineRule="exact"/>
              <w:rPr>
                <w:sz w:val="20"/>
                <w:szCs w:val="20"/>
                <w:color w:val="auto"/>
              </w:rPr>
            </w:pPr>
            <w:r>
              <w:rPr>
                <w:rFonts w:ascii="Times New Roman" w:cs="Times New Roman" w:eastAsia="Times New Roman" w:hAnsi="Times New Roman"/>
                <w:sz w:val="13"/>
                <w:szCs w:val="13"/>
                <w:color w:val="auto"/>
                <w:w w:val="97"/>
              </w:rPr>
              <w:t>May 2023</w:t>
            </w:r>
          </w:p>
        </w:tc>
        <w:tc>
          <w:tcPr>
            <w:tcW w:w="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gridSpan w:val="5"/>
            <w:shd w:val="clear" w:color="auto" w:fill="CCEEFF"/>
          </w:tcPr>
          <w:p>
            <w:pPr>
              <w:jc w:val="center"/>
              <w:ind w:right="520"/>
              <w:spacing w:after="0" w:line="129" w:lineRule="exact"/>
              <w:rPr>
                <w:sz w:val="20"/>
                <w:szCs w:val="20"/>
                <w:color w:val="auto"/>
              </w:rPr>
            </w:pPr>
            <w:r>
              <w:rPr>
                <w:rFonts w:ascii="Times New Roman" w:cs="Times New Roman" w:eastAsia="Times New Roman" w:hAnsi="Times New Roman"/>
                <w:sz w:val="13"/>
                <w:szCs w:val="13"/>
                <w:color w:val="auto"/>
                <w:w w:val="97"/>
              </w:rPr>
              <w:t>January - March 2024</w:t>
            </w: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1.0945 - 1.0965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3,000</w:t>
            </w: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4"/>
              </w:rPr>
              <w:t>DNB</w:t>
            </w:r>
          </w:p>
        </w:tc>
        <w:tc>
          <w:tcPr>
            <w:tcW w:w="740" w:type="dxa"/>
            <w:vAlign w:val="bottom"/>
            <w:gridSpan w:val="3"/>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May 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jc w:val="center"/>
              <w:ind w:right="580"/>
              <w:spacing w:after="0" w:line="135" w:lineRule="exact"/>
              <w:rPr>
                <w:sz w:val="20"/>
                <w:szCs w:val="20"/>
                <w:color w:val="auto"/>
              </w:rPr>
            </w:pPr>
            <w:r>
              <w:rPr>
                <w:rFonts w:ascii="Times New Roman" w:cs="Times New Roman" w:eastAsia="Times New Roman" w:hAnsi="Times New Roman"/>
                <w:sz w:val="13"/>
                <w:szCs w:val="13"/>
                <w:color w:val="auto"/>
                <w:w w:val="97"/>
              </w:rPr>
              <w:t>January - June 2024</w:t>
            </w:r>
          </w:p>
        </w:tc>
        <w:tc>
          <w:tcPr>
            <w:tcW w:w="1200" w:type="dxa"/>
            <w:vAlign w:val="bottom"/>
            <w:gridSpan w:val="5"/>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1.0995</w:t>
            </w:r>
          </w:p>
        </w:tc>
        <w:tc>
          <w:tcPr>
            <w:tcW w:w="1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740" w:type="dxa"/>
            <w:vAlign w:val="bottom"/>
            <w:gridSpan w:val="3"/>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7"/>
              </w:rPr>
              <w:t>May 2023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40" w:type="dxa"/>
            <w:vAlign w:val="bottom"/>
            <w:gridSpan w:val="4"/>
            <w:shd w:val="clear" w:color="auto" w:fill="CCEEFF"/>
          </w:tcPr>
          <w:p>
            <w:pPr>
              <w:jc w:val="center"/>
              <w:ind w:right="700"/>
              <w:spacing w:after="0"/>
              <w:rPr>
                <w:sz w:val="20"/>
                <w:szCs w:val="20"/>
                <w:color w:val="auto"/>
              </w:rPr>
            </w:pPr>
            <w:r>
              <w:rPr>
                <w:rFonts w:ascii="Times New Roman" w:cs="Times New Roman" w:eastAsia="Times New Roman" w:hAnsi="Times New Roman"/>
                <w:sz w:val="13"/>
                <w:szCs w:val="13"/>
                <w:color w:val="auto"/>
                <w:w w:val="96"/>
              </w:rPr>
              <w:t>April - May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1.0985 -1.0992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3"/>
              </w:rPr>
              <w:t>Societe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color w:val="auto"/>
                <w:w w:val="96"/>
              </w:rPr>
              <w:t>Generale/Paris</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color w:val="auto"/>
                <w:w w:val="97"/>
              </w:rPr>
              <w:t>May 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w w:val="96"/>
              </w:rPr>
              <w:t>January - March, June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1.1001 - 1.1017</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740" w:type="dxa"/>
            <w:vAlign w:val="bottom"/>
            <w:gridSpan w:val="3"/>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7"/>
              </w:rPr>
              <w:t>June 2023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3"/>
                <w:szCs w:val="13"/>
                <w:color w:val="auto"/>
                <w:w w:val="96"/>
              </w:rPr>
              <w:t>January - March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1.0820 - 1.0845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4"/>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5"/>
              </w:rPr>
              <w:t>Nordea Bank</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8"/>
              </w:rPr>
              <w:t>Abp</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color w:val="auto"/>
                <w:w w:val="97"/>
              </w:rPr>
              <w:t>June 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7"/>
              </w:rPr>
              <w:t>January - June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1.0884</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740" w:type="dxa"/>
            <w:vAlign w:val="bottom"/>
            <w:gridSpan w:val="3"/>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July 2023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3"/>
                <w:szCs w:val="13"/>
                <w:color w:val="auto"/>
                <w:w w:val="96"/>
              </w:rPr>
              <w:t>January - March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1.1078 - 1.1215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35"/>
        </w:trPr>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4"/>
              </w:rPr>
              <w:t>ABN</w:t>
            </w:r>
          </w:p>
        </w:tc>
        <w:tc>
          <w:tcPr>
            <w:tcW w:w="740" w:type="dxa"/>
            <w:vAlign w:val="bottom"/>
            <w:gridSpan w:val="3"/>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August 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jc w:val="center"/>
              <w:ind w:right="520"/>
              <w:spacing w:after="0" w:line="135" w:lineRule="exact"/>
              <w:rPr>
                <w:sz w:val="20"/>
                <w:szCs w:val="20"/>
                <w:color w:val="auto"/>
              </w:rPr>
            </w:pPr>
            <w:r>
              <w:rPr>
                <w:rFonts w:ascii="Times New Roman" w:cs="Times New Roman" w:eastAsia="Times New Roman" w:hAnsi="Times New Roman"/>
                <w:sz w:val="13"/>
                <w:szCs w:val="13"/>
                <w:color w:val="auto"/>
                <w:w w:val="97"/>
              </w:rPr>
              <w:t>October - December 2024</w:t>
            </w:r>
          </w:p>
        </w:tc>
        <w:tc>
          <w:tcPr>
            <w:tcW w:w="1200" w:type="dxa"/>
            <w:vAlign w:val="bottom"/>
            <w:gridSpan w:val="5"/>
          </w:tcPr>
          <w:p>
            <w:pPr>
              <w:jc w:val="right"/>
              <w:spacing w:after="0" w:line="135" w:lineRule="exact"/>
              <w:rPr>
                <w:sz w:val="20"/>
                <w:szCs w:val="20"/>
                <w:color w:val="auto"/>
              </w:rPr>
            </w:pPr>
            <w:r>
              <w:rPr>
                <w:rFonts w:ascii="Times New Roman" w:cs="Times New Roman" w:eastAsia="Times New Roman" w:hAnsi="Times New Roman"/>
                <w:sz w:val="13"/>
                <w:szCs w:val="13"/>
                <w:color w:val="auto"/>
              </w:rPr>
              <w:t>1.1011 - 1.1043</w:t>
            </w:r>
          </w:p>
        </w:tc>
        <w:tc>
          <w:tcPr>
            <w:tcW w:w="1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8"/>
              </w:rPr>
              <w:t>Citibank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Europe PLC</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3"/>
                <w:szCs w:val="13"/>
                <w:color w:val="auto"/>
                <w:w w:val="95"/>
              </w:rPr>
              <w:t>UK</w:t>
            </w:r>
          </w:p>
        </w:tc>
        <w:tc>
          <w:tcPr>
            <w:tcW w:w="740" w:type="dxa"/>
            <w:vAlign w:val="bottom"/>
            <w:gridSpan w:val="3"/>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5"/>
              </w:rPr>
              <w:t>August 2023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3"/>
                <w:szCs w:val="13"/>
                <w:color w:val="auto"/>
                <w:w w:val="95"/>
              </w:rPr>
              <w:t>January - September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1.0949 - 1.1073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3"/>
              </w:rPr>
              <w:t>Societe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color w:val="auto"/>
                <w:w w:val="96"/>
              </w:rPr>
              <w:t>Generale/Paris</w:t>
            </w:r>
          </w:p>
        </w:tc>
        <w:tc>
          <w:tcPr>
            <w:tcW w:w="74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color w:val="auto"/>
                <w:w w:val="95"/>
              </w:rPr>
              <w:t>August 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7"/>
              </w:rPr>
              <w:t>January - June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1.1017 - 1.1096</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98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September 2023</w:t>
            </w: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3"/>
                <w:szCs w:val="13"/>
                <w:color w:val="auto"/>
                <w:w w:val="95"/>
              </w:rPr>
              <w:t>July - December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1.0710 - 1.0789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9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w w:val="95"/>
              </w:rPr>
              <w:t>November 2023</w:t>
            </w: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7"/>
              </w:rPr>
              <w:t>February - March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1.0890 - 1.0904</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3"/>
              </w:rPr>
              <w:t>Societe</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90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Generale/Paris</w:t>
            </w:r>
          </w:p>
        </w:tc>
        <w:tc>
          <w:tcPr>
            <w:tcW w:w="9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5"/>
              </w:rPr>
              <w:t>November 2023</w:t>
            </w: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20" w:type="dxa"/>
            <w:vAlign w:val="bottom"/>
            <w:gridSpan w:val="5"/>
            <w:shd w:val="clear" w:color="auto" w:fill="CCEEFF"/>
          </w:tcPr>
          <w:p>
            <w:pPr>
              <w:jc w:val="center"/>
              <w:ind w:right="580"/>
              <w:spacing w:after="0"/>
              <w:rPr>
                <w:sz w:val="20"/>
                <w:szCs w:val="20"/>
                <w:color w:val="auto"/>
              </w:rPr>
            </w:pPr>
            <w:r>
              <w:rPr>
                <w:rFonts w:ascii="Times New Roman" w:cs="Times New Roman" w:eastAsia="Times New Roman" w:hAnsi="Times New Roman"/>
                <w:sz w:val="13"/>
                <w:szCs w:val="13"/>
                <w:color w:val="auto"/>
                <w:w w:val="96"/>
              </w:rPr>
              <w:t>January, April - May 2024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1.0878 - 1.0935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8"/>
              </w:rPr>
              <w:t>Citibank</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Europe PLC</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UK</w:t>
            </w:r>
          </w:p>
        </w:tc>
        <w:tc>
          <w:tcPr>
            <w:tcW w:w="9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w w:val="96"/>
              </w:rPr>
              <w:t>December 2023</w:t>
            </w: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6"/>
              </w:rPr>
              <w:t>June - August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1.0866 - 1.0902</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w:t>
            </w:r>
          </w:p>
        </w:tc>
      </w:tr>
      <w:tr>
        <w:trPr>
          <w:trHeight w:val="135"/>
        </w:trPr>
        <w:tc>
          <w:tcPr>
            <w:tcW w:w="2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4"/>
              </w:rPr>
              <w:t>DNB</w:t>
            </w:r>
          </w:p>
        </w:tc>
        <w:tc>
          <w:tcPr>
            <w:tcW w:w="980" w:type="dxa"/>
            <w:vAlign w:val="bottom"/>
            <w:gridSpan w:val="5"/>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December 2023</w:t>
            </w:r>
          </w:p>
        </w:tc>
        <w:tc>
          <w:tcPr>
            <w:tcW w:w="560" w:type="dxa"/>
            <w:vAlign w:val="bottom"/>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20" w:type="dxa"/>
            <w:vAlign w:val="bottom"/>
            <w:gridSpan w:val="5"/>
            <w:shd w:val="clear" w:color="auto" w:fill="CCEEFF"/>
          </w:tcPr>
          <w:p>
            <w:pPr>
              <w:jc w:val="center"/>
              <w:ind w:right="580"/>
              <w:spacing w:after="0" w:line="135" w:lineRule="exact"/>
              <w:rPr>
                <w:sz w:val="20"/>
                <w:szCs w:val="20"/>
                <w:color w:val="auto"/>
              </w:rPr>
            </w:pPr>
            <w:r>
              <w:rPr>
                <w:rFonts w:ascii="Times New Roman" w:cs="Times New Roman" w:eastAsia="Times New Roman" w:hAnsi="Times New Roman"/>
                <w:sz w:val="13"/>
                <w:szCs w:val="13"/>
                <w:color w:val="auto"/>
                <w:w w:val="97"/>
              </w:rPr>
              <w:t>July - September 2024</w:t>
            </w:r>
          </w:p>
        </w:tc>
        <w:tc>
          <w:tcPr>
            <w:tcW w:w="1200" w:type="dxa"/>
            <w:vAlign w:val="bottom"/>
            <w:gridSpan w:val="5"/>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1.0885 - 1.0898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6"/>
              </w:rPr>
              <w:t>ING Bank</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color w:val="auto"/>
                <w:w w:val="90"/>
              </w:rPr>
              <w:t>N.V.,</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5"/>
              </w:rPr>
              <w:t>Amsterdam</w:t>
            </w:r>
          </w:p>
        </w:tc>
        <w:tc>
          <w:tcPr>
            <w:tcW w:w="9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w w:val="96"/>
              </w:rPr>
              <w:t>December 2023</w:t>
            </w: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11"/>
          </w:tcPr>
          <w:p>
            <w:pPr>
              <w:jc w:val="right"/>
              <w:spacing w:after="0"/>
              <w:rPr>
                <w:sz w:val="20"/>
                <w:szCs w:val="20"/>
                <w:color w:val="auto"/>
              </w:rPr>
            </w:pPr>
            <w:r>
              <w:rPr>
                <w:rFonts w:ascii="Times New Roman" w:cs="Times New Roman" w:eastAsia="Times New Roman" w:hAnsi="Times New Roman"/>
                <w:sz w:val="13"/>
                <w:szCs w:val="13"/>
                <w:color w:val="auto"/>
                <w:w w:val="99"/>
              </w:rPr>
              <w:t>March, July, September 2024 and January - March 2025   1.0791 - 1.0999</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4"/>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5"/>
              </w:rPr>
              <w:t>Nordea Bank</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3"/>
                <w:szCs w:val="13"/>
                <w:color w:val="auto"/>
                <w:w w:val="98"/>
              </w:rPr>
              <w:t>Abp</w:t>
            </w:r>
          </w:p>
        </w:tc>
        <w:tc>
          <w:tcPr>
            <w:tcW w:w="9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6"/>
              </w:rPr>
              <w:t>December 2023</w:t>
            </w:r>
          </w:p>
        </w:tc>
        <w:tc>
          <w:tcPr>
            <w:tcW w:w="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700" w:type="dxa"/>
            <w:vAlign w:val="bottom"/>
            <w:gridSpan w:val="6"/>
            <w:shd w:val="clear" w:color="auto" w:fill="CCEEFF"/>
          </w:tcPr>
          <w:p>
            <w:pPr>
              <w:jc w:val="center"/>
              <w:ind w:left="137"/>
              <w:spacing w:after="0"/>
              <w:rPr>
                <w:sz w:val="20"/>
                <w:szCs w:val="20"/>
                <w:color w:val="auto"/>
              </w:rPr>
            </w:pPr>
            <w:r>
              <w:rPr>
                <w:rFonts w:ascii="Times New Roman" w:cs="Times New Roman" w:eastAsia="Times New Roman" w:hAnsi="Times New Roman"/>
                <w:sz w:val="13"/>
                <w:szCs w:val="13"/>
                <w:color w:val="auto"/>
                <w:w w:val="96"/>
              </w:rPr>
              <w:t>March - May 2024 and January - February 2025</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1.0816 - 1.1004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color w:val="auto"/>
                <w:w w:val="93"/>
              </w:rPr>
              <w:t>Societe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color w:val="auto"/>
                <w:w w:val="96"/>
              </w:rPr>
              <w:t>Generale/Paris</w:t>
            </w:r>
          </w:p>
        </w:tc>
        <w:tc>
          <w:tcPr>
            <w:tcW w:w="9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w w:val="96"/>
              </w:rPr>
              <w:t>December 2023</w:t>
            </w: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6"/>
          </w:tcPr>
          <w:p>
            <w:pPr>
              <w:jc w:val="center"/>
              <w:ind w:left="137"/>
              <w:spacing w:after="0"/>
              <w:rPr>
                <w:sz w:val="20"/>
                <w:szCs w:val="20"/>
                <w:color w:val="auto"/>
              </w:rPr>
            </w:pPr>
            <w:r>
              <w:rPr>
                <w:rFonts w:ascii="Times New Roman" w:cs="Times New Roman" w:eastAsia="Times New Roman" w:hAnsi="Times New Roman"/>
                <w:sz w:val="13"/>
                <w:szCs w:val="13"/>
                <w:color w:val="auto"/>
                <w:w w:val="97"/>
              </w:rPr>
              <w:t>September 2024 and January - March 2025</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1.0887 - 1.1004</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r>
      <w:tr>
        <w:trPr>
          <w:trHeight w:val="129"/>
        </w:trPr>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111,500</w:t>
            </w: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r>
      <w:tr>
        <w:trPr>
          <w:trHeight w:val="325"/>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Fixed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Total Exchange</w:t>
            </w:r>
          </w:p>
        </w:tc>
      </w:tr>
      <w:tr>
        <w:trPr>
          <w:trHeight w:val="135"/>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 Rate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55"/>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5"/>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Counterparty</w:t>
            </w:r>
          </w:p>
        </w:tc>
        <w:tc>
          <w:tcPr>
            <w:tcW w:w="960" w:type="dxa"/>
            <w:vAlign w:val="bottom"/>
            <w:gridSpan w:val="6"/>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Trade Date</w:t>
            </w:r>
          </w:p>
        </w:tc>
        <w:tc>
          <w:tcPr>
            <w:tcW w:w="78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contracts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Settlement Dates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(USD/SGD)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r>
      <w:tr>
        <w:trPr>
          <w:trHeight w:val="110"/>
        </w:trPr>
        <w:tc>
          <w:tcPr>
            <w:tcW w:w="2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gridSpan w:val="3"/>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ING Bank N.V.,</w:t>
            </w: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5"/>
            <w:shd w:val="clear" w:color="auto" w:fill="CCEEFF"/>
          </w:tcPr>
          <w:p>
            <w:pPr>
              <w:jc w:val="center"/>
              <w:ind w:right="257"/>
              <w:spacing w:after="0"/>
              <w:rPr>
                <w:sz w:val="20"/>
                <w:szCs w:val="20"/>
                <w:color w:val="auto"/>
              </w:rPr>
            </w:pPr>
            <w:r>
              <w:rPr>
                <w:rFonts w:ascii="Times New Roman" w:cs="Times New Roman" w:eastAsia="Times New Roman" w:hAnsi="Times New Roman"/>
                <w:sz w:val="13"/>
                <w:szCs w:val="13"/>
                <w:color w:val="auto"/>
                <w:w w:val="95"/>
              </w:rPr>
              <w:t>Amsterdam</w:t>
            </w:r>
          </w:p>
        </w:tc>
        <w:tc>
          <w:tcPr>
            <w:tcW w:w="960" w:type="dxa"/>
            <w:vAlign w:val="bottom"/>
            <w:gridSpan w:val="6"/>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June 2023</w:t>
            </w:r>
          </w:p>
        </w:tc>
        <w:tc>
          <w:tcPr>
            <w:tcW w:w="78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1"/>
              </w:rPr>
              <w:t>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7"/>
              </w:rPr>
              <w:t>January 2024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5"/>
          </w:tcPr>
          <w:p>
            <w:pPr>
              <w:jc w:val="center"/>
              <w:ind w:right="257"/>
              <w:spacing w:after="0" w:line="117" w:lineRule="exact"/>
              <w:rPr>
                <w:sz w:val="20"/>
                <w:szCs w:val="20"/>
                <w:color w:val="auto"/>
              </w:rPr>
            </w:pPr>
            <w:r>
              <w:rPr>
                <w:rFonts w:ascii="Times New Roman" w:cs="Times New Roman" w:eastAsia="Times New Roman" w:hAnsi="Times New Roman"/>
                <w:sz w:val="13"/>
                <w:szCs w:val="13"/>
                <w:color w:val="auto"/>
                <w:w w:val="99"/>
              </w:rPr>
              <w:t>Societe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5"/>
          </w:tcPr>
          <w:p>
            <w:pPr>
              <w:jc w:val="center"/>
              <w:ind w:right="257"/>
              <w:spacing w:after="0"/>
              <w:rPr>
                <w:sz w:val="20"/>
                <w:szCs w:val="20"/>
                <w:color w:val="auto"/>
              </w:rPr>
            </w:pPr>
            <w:r>
              <w:rPr>
                <w:rFonts w:ascii="Times New Roman" w:cs="Times New Roman" w:eastAsia="Times New Roman" w:hAnsi="Times New Roman"/>
                <w:sz w:val="13"/>
                <w:szCs w:val="13"/>
                <w:color w:val="auto"/>
                <w:w w:val="96"/>
              </w:rPr>
              <w:t>Generale/Paris</w:t>
            </w:r>
          </w:p>
        </w:tc>
        <w:tc>
          <w:tcPr>
            <w:tcW w:w="960" w:type="dxa"/>
            <w:vAlign w:val="bottom"/>
            <w:gridSpan w:val="6"/>
          </w:tcPr>
          <w:p>
            <w:pPr>
              <w:jc w:val="right"/>
              <w:ind w:right="400"/>
              <w:spacing w:after="0"/>
              <w:rPr>
                <w:sz w:val="20"/>
                <w:szCs w:val="20"/>
                <w:color w:val="auto"/>
              </w:rPr>
            </w:pPr>
            <w:r>
              <w:rPr>
                <w:rFonts w:ascii="Times New Roman" w:cs="Times New Roman" w:eastAsia="Times New Roman" w:hAnsi="Times New Roman"/>
                <w:sz w:val="13"/>
                <w:szCs w:val="13"/>
                <w:color w:val="auto"/>
              </w:rPr>
              <w:t>June 2023</w:t>
            </w:r>
          </w:p>
        </w:tc>
        <w:tc>
          <w:tcPr>
            <w:tcW w:w="78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1"/>
              </w:rPr>
              <w:t>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7"/>
              </w:rPr>
              <w:t>January 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gridSpan w:val="5"/>
            <w:shd w:val="clear" w:color="auto" w:fill="CCEEFF"/>
          </w:tcPr>
          <w:p>
            <w:pPr>
              <w:jc w:val="center"/>
              <w:ind w:right="257"/>
              <w:spacing w:after="0" w:line="117" w:lineRule="exact"/>
              <w:rPr>
                <w:sz w:val="20"/>
                <w:szCs w:val="20"/>
                <w:color w:val="auto"/>
              </w:rPr>
            </w:pPr>
            <w:r>
              <w:rPr>
                <w:rFonts w:ascii="Times New Roman" w:cs="Times New Roman" w:eastAsia="Times New Roman" w:hAnsi="Times New Roman"/>
                <w:sz w:val="13"/>
                <w:szCs w:val="13"/>
                <w:color w:val="auto"/>
                <w:w w:val="97"/>
              </w:rPr>
              <w:t>Citibank Europe PLC</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3"/>
                <w:szCs w:val="13"/>
                <w:color w:val="auto"/>
                <w:w w:val="95"/>
              </w:rPr>
              <w:t>UK</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6"/>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June 2023</w:t>
            </w:r>
          </w:p>
        </w:tc>
        <w:tc>
          <w:tcPr>
            <w:tcW w:w="78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1"/>
              </w:rPr>
              <w:t>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7"/>
              </w:rPr>
              <w:t>January 2024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17"/>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5"/>
          </w:tcPr>
          <w:p>
            <w:pPr>
              <w:jc w:val="center"/>
              <w:ind w:right="257"/>
              <w:spacing w:after="0" w:line="117" w:lineRule="exact"/>
              <w:rPr>
                <w:sz w:val="20"/>
                <w:szCs w:val="20"/>
                <w:color w:val="auto"/>
              </w:rPr>
            </w:pPr>
            <w:r>
              <w:rPr>
                <w:rFonts w:ascii="Times New Roman" w:cs="Times New Roman" w:eastAsia="Times New Roman" w:hAnsi="Times New Roman"/>
                <w:sz w:val="13"/>
                <w:szCs w:val="13"/>
                <w:color w:val="auto"/>
                <w:w w:val="97"/>
              </w:rPr>
              <w:t>Citibank Europe PLC</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GasLog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left="357"/>
              <w:spacing w:after="0"/>
              <w:rPr>
                <w:sz w:val="20"/>
                <w:szCs w:val="20"/>
                <w:color w:val="auto"/>
              </w:rPr>
            </w:pPr>
            <w:r>
              <w:rPr>
                <w:rFonts w:ascii="Times New Roman" w:cs="Times New Roman" w:eastAsia="Times New Roman" w:hAnsi="Times New Roman"/>
                <w:sz w:val="13"/>
                <w:szCs w:val="13"/>
                <w:color w:val="auto"/>
                <w:w w:val="95"/>
              </w:rPr>
              <w:t>UK</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color w:val="auto"/>
                <w:w w:val="98"/>
              </w:rPr>
              <w:t>August 2023</w:t>
            </w:r>
          </w:p>
        </w:tc>
        <w:tc>
          <w:tcPr>
            <w:tcW w:w="78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7"/>
              </w:rPr>
              <w:t>February – November 2024</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1.3178 - 1.3351   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28"/>
        </w:trPr>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2"/>
              </w:rPr>
              <w:t>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10,500</w:t>
            </w: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Apart from the abovementioned contracts the Group did not enter any other forward foreign exchange contracts, while 146 contracts expired with staggered maturities from January to December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listed above were not designated as cash flow hedging instruments as of December 31, 2023. The change in the fair value of these contracts for the year ended December 31, 2023 amounted to a net loss of $829 (for the year ended December 31, 2022: $3,731 net gain, December 31, 2021: $1,256 net loss), which was recognized against profit or loss in the year incurred and is included in Gain on derivatives.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Gain on derivatives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on derivative financial instruments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(loss)/gain on interest rate swaps held for trading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(loss)/gain on forward foreign exchange contracts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Ineffective portion of cash flow hedges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22,680</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74,807</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13,011</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swaps and CCSs. The interest rate swaps, the forward foreign exchange contracts and the CCSs meet Level 2 classification, according to the fair value hierarchy as defined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cash and cash equivalents meet Level 1 classification. There were no financial instruments in Level 3 and no transfers between Levels 1, 2 or 3 during the periods presented. The definitions of the levels provided by IFRS 13 are based on the degree to which the fair value is observable:</w:t>
      </w:r>
    </w:p>
    <w:p>
      <w:pPr>
        <w:spacing w:after="0" w:line="194" w:lineRule="exact"/>
        <w:rPr>
          <w:sz w:val="20"/>
          <w:szCs w:val="20"/>
          <w:color w:val="auto"/>
        </w:rPr>
      </w:pPr>
    </w:p>
    <w:p>
      <w:pPr>
        <w:ind w:left="680" w:hanging="321"/>
        <w:spacing w:after="0"/>
        <w:tabs>
          <w:tab w:leader="none" w:pos="6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Reconciliations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reconciliation of the Group’s financing activities for the three years ended December 31, 2023 are presented in the tables below:</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Non-cash</w:t>
            </w:r>
          </w:p>
        </w:tc>
        <w:tc>
          <w:tcPr>
            <w:tcW w:w="14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78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costs, assets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3,773,221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(592,463)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(592,463)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(13,437)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loan fees received</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costs/premium and discount (Note 19)</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20,286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3,658,220</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and bonds, net of discount</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(729,849)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(729,849)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costs/premium and discount (Note 19)</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15,936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(11,212)</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3,299,744</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2,431,355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(2,676,420)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(2,676,420)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costs/premium and discount (Note 19)</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42,418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3,052,904</w:t>
            </w:r>
          </w:p>
        </w:tc>
        <w:tc>
          <w:tcPr>
            <w:tcW w:w="0" w:type="dxa"/>
            <w:vAlign w:val="bottom"/>
          </w:tcPr>
          <w:p>
            <w:pPr>
              <w:spacing w:after="0"/>
              <w:rPr>
                <w:sz w:val="1"/>
                <w:szCs w:val="1"/>
                <w:color w:val="auto"/>
              </w:rPr>
            </w:pPr>
          </w:p>
        </w:tc>
      </w:tr>
      <w:tr>
        <w:trPr>
          <w:trHeight w:val="20"/>
        </w:trPr>
        <w:tc>
          <w:tcPr>
            <w:tcW w:w="6460" w:type="dxa"/>
            <w:vAlign w:val="bottom"/>
            <w:gridSpan w:val="6"/>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derivatives arising from financing activities is as follows:</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Non-cash</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w w:val="96"/>
              </w:rPr>
              <w:t>flows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(liabilities)/assets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(107,760)</w:t>
            </w:r>
          </w:p>
        </w:tc>
        <w:tc>
          <w:tcPr>
            <w:tcW w:w="0" w:type="dxa"/>
            <w:vAlign w:val="bottom"/>
          </w:tcPr>
          <w:p>
            <w:pPr>
              <w:spacing w:after="0"/>
              <w:rPr>
                <w:sz w:val="1"/>
                <w:szCs w:val="1"/>
                <w:color w:val="auto"/>
              </w:rPr>
            </w:pPr>
          </w:p>
        </w:tc>
      </w:tr>
      <w:tr>
        <w:trPr>
          <w:trHeight w:val="216"/>
        </w:trPr>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Unrealized gain on derivative financial instruments held for trading (Note 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64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7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(3,345)</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(51,703)</w:t>
            </w:r>
          </w:p>
        </w:tc>
        <w:tc>
          <w:tcPr>
            <w:tcW w:w="0" w:type="dxa"/>
            <w:vAlign w:val="bottom"/>
          </w:tcPr>
          <w:p>
            <w:pPr>
              <w:spacing w:after="0"/>
              <w:rPr>
                <w:sz w:val="1"/>
                <w:szCs w:val="1"/>
                <w:color w:val="auto"/>
              </w:rPr>
            </w:pPr>
          </w:p>
        </w:tc>
      </w:tr>
      <w:tr>
        <w:trPr>
          <w:trHeight w:val="210"/>
        </w:trPr>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Unrealized gain on derivative financial instruments held for trading (Note 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92,409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98"/>
        </w:trPr>
        <w:tc>
          <w:tcPr>
            <w:tcW w:w="64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7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(10,828)</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30,276</w:t>
            </w:r>
          </w:p>
        </w:tc>
        <w:tc>
          <w:tcPr>
            <w:tcW w:w="0" w:type="dxa"/>
            <w:vAlign w:val="bottom"/>
          </w:tcPr>
          <w:p>
            <w:pPr>
              <w:spacing w:after="0"/>
              <w:rPr>
                <w:sz w:val="1"/>
                <w:szCs w:val="1"/>
                <w:color w:val="auto"/>
              </w:rPr>
            </w:pPr>
          </w:p>
        </w:tc>
      </w:tr>
      <w:tr>
        <w:trPr>
          <w:trHeight w:val="210"/>
        </w:trPr>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 held for trading (Note 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interest rate swaps termination</w:t>
            </w:r>
          </w:p>
        </w:tc>
        <w:tc>
          <w:tcPr>
            <w:tcW w:w="234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color w:val="auto"/>
              </w:rPr>
              <w:t>(35,789)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0" w:type="dxa"/>
            <w:vAlign w:val="bottom"/>
          </w:tcPr>
          <w:p>
            <w:pPr>
              <w:spacing w:after="0"/>
              <w:rPr>
                <w:sz w:val="1"/>
                <w:szCs w:val="1"/>
                <w:color w:val="auto"/>
              </w:rPr>
            </w:pPr>
          </w:p>
        </w:tc>
      </w:tr>
      <w:tr>
        <w:trPr>
          <w:trHeight w:val="198"/>
        </w:trPr>
        <w:tc>
          <w:tcPr>
            <w:tcW w:w="64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(2,829)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(9,109)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8"/>
                <w:szCs w:val="18"/>
                <w:color w:val="auto"/>
              </w:rPr>
              <w:t>F-58</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00" w:type="dxa"/>
            <w:vAlign w:val="bottom"/>
          </w:tcPr>
          <w:p>
            <w:pPr>
              <w:spacing w:after="0"/>
              <w:rPr>
                <w:sz w:val="24"/>
                <w:szCs w:val="24"/>
                <w:color w:val="auto"/>
              </w:rPr>
            </w:pPr>
          </w:p>
        </w:tc>
        <w:tc>
          <w:tcPr>
            <w:tcW w:w="19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lease liabilities arising from financing activities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liabilities</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196,170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(10,269)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r>
      <w:tr>
        <w:trPr>
          <w:trHeight w:val="209"/>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302,850</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75,788</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1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(42,262)</w:t>
            </w:r>
          </w:p>
        </w:tc>
        <w:tc>
          <w:tcPr>
            <w:tcW w:w="112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(42,262)</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(62,858)</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(62,858)</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383,425</w:t>
            </w:r>
          </w:p>
        </w:tc>
      </w:tr>
      <w:tr>
        <w:trPr>
          <w:trHeight w:val="20"/>
        </w:trPr>
        <w:tc>
          <w:tcPr>
            <w:tcW w:w="6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Taxation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GasLog Partners did not qualify for this exemption for the three years ended December 31, 2023. During the year ended December 31, 2023, the estimated U.S. source gross transportation tax was $1,420 (December 31, 2022: $1,529 and December 31, 2021: $1,357) included in Other payables and accruals and Voyage expenses and commissions.</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GasLog expects to qualify for the statutory tax exemption for the year ended December 31, 2023. GasLog has qualified for the statutory tax exemption for the years of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Subsequent Events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Total prepayments of $114,500 under the Sustainability Facility have been made in 2024 to date, increasing its availability to $611,681.</w:t>
      </w:r>
    </w:p>
    <w:p>
      <w:pPr>
        <w:spacing w:after="0" w:line="9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February 14, 2024, the board of directors declared a quarterly cash dividend of $0.25 per common share, paid on February 16, 2024, to shareholders of record as of February 15, 2024.</w:t>
      </w:r>
    </w:p>
    <w:p>
      <w:pPr>
        <w:spacing w:after="0" w:line="8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March 6, 2024, the board of directors declared a dividend on the Preference Shares of $0.546875 per share, payable on April 1, 2024, to holders of record as of March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Dated 2 November 2023</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OVERSEA-CHINESE BANKING CORPORATION LIMITED</w:t>
      </w:r>
    </w:p>
    <w:p>
      <w:pPr>
        <w:spacing w:after="0" w:line="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mandated lead arrangers and bookrunners</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mandated lead arrangers</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Security Agent</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Sustainability Co-ordinator</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Global Co-ordinators</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guaranteed by</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THE ENTITIES LISTED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74295</wp:posOffset>
            </wp:positionV>
            <wp:extent cx="31546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FACILITY AGREEMENT</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US$2,800,000,000 Reducing Revolving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1377315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100330</wp:posOffset>
            </wp:positionV>
            <wp:extent cx="31546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288290</wp:posOffset>
            </wp:positionV>
            <wp:extent cx="1988820" cy="2228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1988820" cy="22288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708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00" w:type="dxa"/>
            <w:vAlign w:val="bottom"/>
          </w:tcPr>
          <w:p>
            <w:pPr>
              <w:spacing w:after="0"/>
              <w:rPr>
                <w:sz w:val="20"/>
                <w:szCs w:val="20"/>
                <w:color w:val="auto"/>
              </w:rPr>
            </w:pPr>
          </w:p>
        </w:tc>
      </w:tr>
      <w:tr>
        <w:trPr>
          <w:trHeight w:val="44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 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 The Facility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Facility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 Utilisation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 Repayment, Prepayment and Cancellation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Illegality, prepayment and cancellation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 Costs of Utilisation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Periods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 Additional Payment Obligations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gross-up and indemnities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indemnities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and 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 Guarantee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Guarantee and indemnity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 Representations, Undertakings and Events of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undertakings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covenants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undertakings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Dealings with Ship</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 and operation of Ship</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Minimum security value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Chartering undertakings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accounts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restrictions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Hedging Contracts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Position of Hedging Provider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370"/>
        </w:trPr>
        <w:tc>
          <w:tcPr>
            <w:tcW w:w="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708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00" w:type="dxa"/>
            <w:vAlign w:val="bottom"/>
          </w:tcPr>
          <w:p>
            <w:pPr>
              <w:spacing w:after="0"/>
              <w:rPr>
                <w:sz w:val="20"/>
                <w:szCs w:val="20"/>
                <w:color w:val="auto"/>
              </w:rPr>
            </w:pPr>
          </w:p>
        </w:tc>
      </w:tr>
      <w:tr>
        <w:trPr>
          <w:trHeight w:val="44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 Changes to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to the Lenders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to the Obligors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 The Finance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Roles of Agent, Security Agent and Arranger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and security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Enforcement of Transaction Security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proceeds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by the Finance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 Administration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mechanics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Set-off</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Partial invalidity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and waivers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and waivers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Contractual recognition of bail-in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 Governing Law and Enforcement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Enforcement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The original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 Ship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 Conditions precedent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 Utilisation Request</w:t>
            </w:r>
          </w:p>
        </w:tc>
        <w:tc>
          <w:tcPr>
            <w:tcW w:w="2500" w:type="dxa"/>
            <w:vAlign w:val="bottom"/>
          </w:tcPr>
          <w:p>
            <w:pPr>
              <w:spacing w:after="0"/>
              <w:rPr>
                <w:sz w:val="24"/>
                <w:szCs w:val="24"/>
                <w:color w:val="auto"/>
              </w:rPr>
            </w:pPr>
          </w:p>
        </w:tc>
      </w:tr>
      <w:tr>
        <w:trPr>
          <w:trHeight w:val="311"/>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 Form of Hedging Provider Accession Letter</w:t>
            </w:r>
          </w:p>
        </w:tc>
        <w:tc>
          <w:tcPr>
            <w:tcW w:w="2500" w:type="dxa"/>
            <w:vAlign w:val="bottom"/>
          </w:tcPr>
          <w:p>
            <w:pPr>
              <w:spacing w:after="0"/>
              <w:rPr>
                <w:sz w:val="24"/>
                <w:szCs w:val="24"/>
                <w:color w:val="auto"/>
              </w:rPr>
            </w:pP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6 Form of Transfer Certificate</w:t>
            </w:r>
          </w:p>
        </w:tc>
        <w:tc>
          <w:tcPr>
            <w:tcW w:w="2500" w:type="dxa"/>
            <w:vAlign w:val="bottom"/>
          </w:tcPr>
          <w:p>
            <w:pPr>
              <w:spacing w:after="0"/>
              <w:rPr>
                <w:sz w:val="24"/>
                <w:szCs w:val="24"/>
                <w:color w:val="auto"/>
              </w:rPr>
            </w:pP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 Form of Compliance Certificate</w:t>
            </w:r>
          </w:p>
        </w:tc>
        <w:tc>
          <w:tcPr>
            <w:tcW w:w="2500" w:type="dxa"/>
            <w:vAlign w:val="bottom"/>
          </w:tcPr>
          <w:p>
            <w:pPr>
              <w:spacing w:after="0"/>
              <w:rPr>
                <w:sz w:val="24"/>
                <w:szCs w:val="24"/>
                <w:color w:val="auto"/>
              </w:rPr>
            </w:pP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 Forms of Notifiable Debt Purchase Transaction Notice</w:t>
            </w:r>
          </w:p>
        </w:tc>
        <w:tc>
          <w:tcPr>
            <w:tcW w:w="2500" w:type="dxa"/>
            <w:vAlign w:val="bottom"/>
          </w:tcPr>
          <w:p>
            <w:pPr>
              <w:spacing w:after="0"/>
              <w:rPr>
                <w:sz w:val="24"/>
                <w:szCs w:val="24"/>
                <w:color w:val="auto"/>
              </w:rPr>
            </w:pP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9 Reference Rate Terms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 Daily Non-Cumulative Compounded RFR Rate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11 Sustainability Margin Adjustment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3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12 Form of Sustainability Certificate</w:t>
            </w:r>
          </w:p>
        </w:tc>
        <w:tc>
          <w:tcPr>
            <w:tcW w:w="2500" w:type="dxa"/>
            <w:vAlign w:val="bottom"/>
          </w:tcPr>
          <w:p>
            <w:pPr>
              <w:spacing w:after="0"/>
              <w:rPr>
                <w:sz w:val="24"/>
                <w:szCs w:val="24"/>
                <w:color w:val="auto"/>
              </w:rPr>
            </w:pPr>
          </w:p>
        </w:tc>
      </w:tr>
      <w:tr>
        <w:trPr>
          <w:trHeight w:val="1209"/>
        </w:trPr>
        <w:tc>
          <w:tcPr>
            <w:tcW w:w="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2 November 2023 and made between:</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LTD. </w:t>
      </w:r>
      <w:r>
        <w:rPr>
          <w:rFonts w:ascii="Times New Roman" w:cs="Times New Roman" w:eastAsia="Times New Roman" w:hAnsi="Times New Roman"/>
          <w:sz w:val="18"/>
          <w:szCs w:val="18"/>
          <w:color w:val="auto"/>
        </w:rPr>
        <w:t>details of which are specified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as borrower (the</w:t>
      </w:r>
      <w:r>
        <w:rPr>
          <w:rFonts w:ascii="Times New Roman" w:cs="Times New Roman" w:eastAsia="Times New Roman" w:hAnsi="Times New Roman"/>
          <w:sz w:val="18"/>
          <w:szCs w:val="18"/>
          <w:b w:val="1"/>
          <w:bCs w:val="1"/>
          <w:color w:val="auto"/>
        </w:rPr>
        <w:t xml:space="preserve"> Borrower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ENTITIES LISTED IN SCHEDULE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as owners and guarantors (the</w:t>
      </w:r>
      <w:r>
        <w:rPr>
          <w:rFonts w:ascii="Times New Roman" w:cs="Times New Roman" w:eastAsia="Times New Roman" w:hAnsi="Times New Roman"/>
          <w:sz w:val="18"/>
          <w:szCs w:val="18"/>
          <w:b w:val="1"/>
          <w:bCs w:val="1"/>
          <w:color w:val="auto"/>
        </w:rPr>
        <w:t xml:space="preserve"> Owners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CARRIERS LTD. </w:t>
      </w:r>
      <w:r>
        <w:rPr>
          <w:rFonts w:ascii="Times New Roman" w:cs="Times New Roman" w:eastAsia="Times New Roman" w:hAnsi="Times New Roman"/>
          <w:sz w:val="18"/>
          <w:szCs w:val="18"/>
          <w:color w:val="auto"/>
        </w:rPr>
        <w:t>as guarantor (</w:t>
      </w:r>
      <w:r>
        <w:rPr>
          <w:rFonts w:ascii="Times New Roman" w:cs="Times New Roman" w:eastAsia="Times New Roman" w:hAnsi="Times New Roman"/>
          <w:sz w:val="18"/>
          <w:szCs w:val="18"/>
          <w:b w:val="1"/>
          <w:bCs w:val="1"/>
          <w:color w:val="auto"/>
        </w:rPr>
        <w:t>GasLog Carriers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PARTNERS LP </w:t>
      </w:r>
      <w:r>
        <w:rPr>
          <w:rFonts w:ascii="Times New Roman" w:cs="Times New Roman" w:eastAsia="Times New Roman" w:hAnsi="Times New Roman"/>
          <w:sz w:val="18"/>
          <w:szCs w:val="18"/>
          <w:color w:val="auto"/>
        </w:rPr>
        <w:t>as guarantor (</w:t>
      </w:r>
      <w:r>
        <w:rPr>
          <w:rFonts w:ascii="Times New Roman" w:cs="Times New Roman" w:eastAsia="Times New Roman" w:hAnsi="Times New Roman"/>
          <w:sz w:val="18"/>
          <w:szCs w:val="18"/>
          <w:b w:val="1"/>
          <w:bCs w:val="1"/>
          <w:color w:val="auto"/>
        </w:rPr>
        <w:t>MLP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PARTNERS HOLDINGS LLC </w:t>
      </w:r>
      <w:r>
        <w:rPr>
          <w:rFonts w:ascii="Times New Roman" w:cs="Times New Roman" w:eastAsia="Times New Roman" w:hAnsi="Times New Roman"/>
          <w:sz w:val="18"/>
          <w:szCs w:val="18"/>
          <w:color w:val="auto"/>
        </w:rPr>
        <w:t>as guarantor (</w:t>
      </w:r>
      <w:r>
        <w:rPr>
          <w:rFonts w:ascii="Times New Roman" w:cs="Times New Roman" w:eastAsia="Times New Roman" w:hAnsi="Times New Roman"/>
          <w:sz w:val="18"/>
          <w:szCs w:val="18"/>
          <w:b w:val="1"/>
          <w:bCs w:val="1"/>
          <w:color w:val="auto"/>
        </w:rPr>
        <w:t xml:space="preserve">GPHL </w:t>
      </w:r>
      <w:r>
        <w:rPr>
          <w:rFonts w:ascii="Times New Roman" w:cs="Times New Roman" w:eastAsia="Times New Roman" w:hAnsi="Times New Roman"/>
          <w:sz w:val="18"/>
          <w:szCs w:val="18"/>
          <w:color w:val="auto"/>
        </w:rPr>
        <w:t>and, together with the Owners, GasLog Carriers and MLP, the</w:t>
      </w:r>
      <w:r>
        <w:rPr>
          <w:rFonts w:ascii="Times New Roman" w:cs="Times New Roman" w:eastAsia="Times New Roman" w:hAnsi="Times New Roman"/>
          <w:sz w:val="18"/>
          <w:szCs w:val="18"/>
          <w:b w:val="1"/>
          <w:bCs w:val="1"/>
          <w:color w:val="auto"/>
        </w:rPr>
        <w:t xml:space="preserve"> Guarantors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ALPHA BANK 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ABN AMRO BANK N.V.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BNP PARIBAS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CITIBANK, N.A., LONDON BRANCH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CREDIT SUISSE AG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DANISH SHIP FINANCE 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DNB (UK) LIMITED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ING BANK N.V., LONDON BRANCH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NATIONAL BANK OF GREECE 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NORDEA BANK ABP, FILIAL I NORGE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OVERSEA-CHINESE BANKING CORPORATION LIMITED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STANDARD CHARTERED BANK (SINGAPORE) LIMITED </w:t>
      </w:r>
      <w:r>
        <w:rPr>
          <w:rFonts w:ascii="Times New Roman" w:cs="Times New Roman" w:eastAsia="Times New Roman" w:hAnsi="Times New Roman"/>
          <w:sz w:val="18"/>
          <w:szCs w:val="18"/>
          <w:color w:val="auto"/>
        </w:rPr>
        <w:t>as mandated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arrangers and bookrunners, </w:t>
      </w:r>
      <w:r>
        <w:rPr>
          <w:rFonts w:ascii="Times New Roman" w:cs="Times New Roman" w:eastAsia="Times New Roman" w:hAnsi="Times New Roman"/>
          <w:sz w:val="18"/>
          <w:szCs w:val="18"/>
          <w:b w:val="1"/>
          <w:bCs w:val="1"/>
          <w:color w:val="auto"/>
        </w:rPr>
        <w:t>NATIONAL AUSTRALIA BANK LIMITED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SKANDINAVISKA ENSKILDA BANKEN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AB (PUBL) </w:t>
      </w:r>
      <w:r>
        <w:rPr>
          <w:rFonts w:ascii="Times New Roman" w:cs="Times New Roman" w:eastAsia="Times New Roman" w:hAnsi="Times New Roman"/>
          <w:sz w:val="18"/>
          <w:szCs w:val="18"/>
          <w:color w:val="auto"/>
        </w:rPr>
        <w:t>as mandated lead arrangers, (together, whether acting individually or together, the</w:t>
      </w:r>
      <w:r>
        <w:rPr>
          <w:rFonts w:ascii="Times New Roman" w:cs="Times New Roman" w:eastAsia="Times New Roman" w:hAnsi="Times New Roman"/>
          <w:sz w:val="18"/>
          <w:szCs w:val="18"/>
          <w:b w:val="1"/>
          <w:bCs w:val="1"/>
          <w:color w:val="auto"/>
        </w:rPr>
        <w:t xml:space="preserve"> Arrangers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ABN AMRO BANK N.V. </w:t>
      </w:r>
      <w:r>
        <w:rPr>
          <w:rFonts w:ascii="Times New Roman" w:cs="Times New Roman" w:eastAsia="Times New Roman" w:hAnsi="Times New Roman"/>
          <w:sz w:val="18"/>
          <w:szCs w:val="18"/>
          <w:color w:val="auto"/>
        </w:rPr>
        <w:t>as sustainability co-ordinator (the</w:t>
      </w:r>
      <w:r>
        <w:rPr>
          <w:rFonts w:ascii="Times New Roman" w:cs="Times New Roman" w:eastAsia="Times New Roman" w:hAnsi="Times New Roman"/>
          <w:sz w:val="18"/>
          <w:szCs w:val="18"/>
          <w:b w:val="1"/>
          <w:bCs w:val="1"/>
          <w:color w:val="auto"/>
        </w:rPr>
        <w:t xml:space="preserve"> Sustainability Co-ordinator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BNP PARIBAS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CITIBANK, N.A., LONDON BRANCH </w:t>
      </w:r>
      <w:r>
        <w:rPr>
          <w:rFonts w:ascii="Times New Roman" w:cs="Times New Roman" w:eastAsia="Times New Roman" w:hAnsi="Times New Roman"/>
          <w:sz w:val="18"/>
          <w:szCs w:val="18"/>
          <w:color w:val="auto"/>
        </w:rPr>
        <w:t>as global co-ordinators of the Finance Parties (whether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individually or together, the </w:t>
      </w:r>
      <w:r>
        <w:rPr>
          <w:rFonts w:ascii="Times New Roman" w:cs="Times New Roman" w:eastAsia="Times New Roman" w:hAnsi="Times New Roman"/>
          <w:sz w:val="18"/>
          <w:szCs w:val="18"/>
          <w:b w:val="1"/>
          <w:bCs w:val="1"/>
          <w:color w:val="auto"/>
        </w:rPr>
        <w:t>Global Co-ordinator</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listed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as lenders (the</w:t>
      </w:r>
      <w:r>
        <w:rPr>
          <w:rFonts w:ascii="Times New Roman" w:cs="Times New Roman" w:eastAsia="Times New Roman" w:hAnsi="Times New Roman"/>
          <w:sz w:val="18"/>
          <w:szCs w:val="18"/>
          <w:b w:val="1"/>
          <w:bCs w:val="1"/>
          <w:color w:val="auto"/>
        </w:rPr>
        <w:t xml:space="preserve"> Original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listed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as hedging providers (the</w:t>
      </w:r>
      <w:r>
        <w:rPr>
          <w:rFonts w:ascii="Times New Roman" w:cs="Times New Roman" w:eastAsia="Times New Roman" w:hAnsi="Times New Roman"/>
          <w:sz w:val="18"/>
          <w:szCs w:val="18"/>
          <w:b w:val="1"/>
          <w:bCs w:val="1"/>
          <w:color w:val="auto"/>
        </w:rPr>
        <w:t xml:space="preserve"> Original Hedging Providers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DNB BANK ASA, LONDON BRANCH </w:t>
      </w:r>
      <w:r>
        <w:rPr>
          <w:rFonts w:ascii="Times New Roman" w:cs="Times New Roman" w:eastAsia="Times New Roman" w:hAnsi="Times New Roman"/>
          <w:sz w:val="18"/>
          <w:szCs w:val="18"/>
          <w:color w:val="auto"/>
        </w:rPr>
        <w:t>as security trustee for and on behalf of the Finance Parties (the</w:t>
      </w:r>
      <w:r>
        <w:rPr>
          <w:rFonts w:ascii="Times New Roman" w:cs="Times New Roman" w:eastAsia="Times New Roman" w:hAnsi="Times New Roman"/>
          <w:sz w:val="18"/>
          <w:szCs w:val="18"/>
          <w:b w:val="1"/>
          <w:bCs w:val="1"/>
          <w:color w:val="auto"/>
        </w:rPr>
        <w:t xml:space="preserve"> Security Agent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900" w:hanging="652"/>
        <w:spacing w:after="0" w:line="500"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DNB BANK ASA, LONDON BRANCH </w:t>
      </w:r>
      <w:r>
        <w:rPr>
          <w:rFonts w:ascii="Times New Roman" w:cs="Times New Roman" w:eastAsia="Times New Roman" w:hAnsi="Times New Roman"/>
          <w:sz w:val="18"/>
          <w:szCs w:val="18"/>
          <w:color w:val="auto"/>
        </w:rPr>
        <w:t>as agent of certain of the other Finance Parties (the</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IT IS AGREED </w:t>
      </w:r>
      <w:r>
        <w:rPr>
          <w:rFonts w:ascii="Times New Roman" w:cs="Times New Roman" w:eastAsia="Times New Roman" w:hAnsi="Times New Roman"/>
          <w:sz w:val="18"/>
          <w:szCs w:val="18"/>
          <w:color w:val="auto"/>
        </w:rPr>
        <w:t>as follows:</w:t>
      </w:r>
    </w:p>
    <w:p>
      <w:pPr>
        <w:spacing w:after="0" w:line="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Section 1 - Interpretation</w:t>
      </w:r>
    </w:p>
    <w:p>
      <w:pPr>
        <w:spacing w:after="0" w:line="225"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and (unless otherwise defined in the relevant Finance Document) the other Finance Documents: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Acceptable Bank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1300" w:hanging="644"/>
        <w:spacing w:after="0" w:line="265"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bank or financial institution which has a rating for its long-term unsecured and non-credit- enhanced debt obligations of </w:t>
      </w:r>
      <w:r>
        <w:rPr>
          <w:rFonts w:ascii="Arial" w:cs="Arial" w:eastAsia="Arial" w:hAnsi="Arial"/>
          <w:sz w:val="18"/>
          <w:szCs w:val="18"/>
          <w:color w:val="auto"/>
        </w:rPr>
        <w:t>“</w:t>
      </w:r>
      <w:r>
        <w:rPr>
          <w:rFonts w:ascii="Times New Roman" w:cs="Times New Roman" w:eastAsia="Times New Roman" w:hAnsi="Times New Roman"/>
          <w:sz w:val="18"/>
          <w:szCs w:val="18"/>
          <w:color w:val="auto"/>
        </w:rPr>
        <w:t>A-</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higher by Standard &amp; Poor's Rating Services or Fitch Ratings Ltd or </w:t>
      </w:r>
      <w:r>
        <w:rPr>
          <w:rFonts w:ascii="Arial" w:cs="Arial" w:eastAsia="Arial" w:hAnsi="Arial"/>
          <w:sz w:val="18"/>
          <w:szCs w:val="18"/>
          <w:color w:val="auto"/>
        </w:rPr>
        <w:t>“</w:t>
      </w:r>
      <w:r>
        <w:rPr>
          <w:rFonts w:ascii="Times New Roman" w:cs="Times New Roman" w:eastAsia="Times New Roman" w:hAnsi="Times New Roman"/>
          <w:sz w:val="18"/>
          <w:szCs w:val="18"/>
          <w:color w:val="auto"/>
        </w:rPr>
        <w:t>A3</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higher by Moody's Investors Service Limited or a comparable rating from another internationally recognised credit rating agency; or</w:t>
      </w:r>
    </w:p>
    <w:p>
      <w:pPr>
        <w:spacing w:after="0" w:line="1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bank or financial institution approved by the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8" w:name="page179"/>
    <w:bookmarkEnd w:id="178"/>
    <w:p>
      <w:pPr>
        <w:ind w:left="200"/>
        <w:spacing w:after="0"/>
        <w:rPr>
          <w:sz w:val="20"/>
          <w:szCs w:val="20"/>
          <w:color w:val="auto"/>
        </w:rPr>
      </w:pPr>
      <w:r>
        <w:rPr>
          <w:rFonts w:ascii="Times New Roman" w:cs="Times New Roman" w:eastAsia="Times New Roman" w:hAnsi="Times New Roman"/>
          <w:sz w:val="18"/>
          <w:szCs w:val="18"/>
          <w:color w:val="auto"/>
        </w:rPr>
        <w:t>and which is approved by the Borrower.</w:t>
      </w:r>
    </w:p>
    <w:p>
      <w:pPr>
        <w:spacing w:after="0" w:line="221"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 </w:t>
      </w:r>
      <w:r>
        <w:rPr>
          <w:rFonts w:ascii="Times New Roman" w:cs="Times New Roman" w:eastAsia="Times New Roman" w:hAnsi="Times New Roman"/>
          <w:sz w:val="18"/>
          <w:szCs w:val="18"/>
          <w:color w:val="auto"/>
        </w:rPr>
        <w:t>means any bank account, deposit or certificate of deposit opened, made or established in accordance with clause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(Bank accounts)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 Bank </w:t>
      </w:r>
      <w:r>
        <w:rPr>
          <w:rFonts w:ascii="Times New Roman" w:cs="Times New Roman" w:eastAsia="Times New Roman" w:hAnsi="Times New Roman"/>
          <w:sz w:val="18"/>
          <w:szCs w:val="18"/>
          <w:color w:val="auto"/>
        </w:rPr>
        <w:t>means, in relation to any Account, the bank or financial institution specified as such in Schedule 1 (</w:t>
      </w:r>
      <w:r>
        <w:rPr>
          <w:rFonts w:ascii="Times New Roman" w:cs="Times New Roman" w:eastAsia="Times New Roman" w:hAnsi="Times New Roman"/>
          <w:sz w:val="18"/>
          <w:szCs w:val="18"/>
          <w:i w:val="1"/>
          <w:iCs w:val="1"/>
          <w:color w:val="auto"/>
        </w:rPr>
        <w:t>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or another bank or financial institution approved by the Majority Lenders at the request of the Borrower.</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Account Holder(s) </w:t>
      </w:r>
      <w:r>
        <w:rPr>
          <w:rFonts w:ascii="Times New Roman" w:cs="Times New Roman" w:eastAsia="Times New Roman" w:hAnsi="Times New Roman"/>
          <w:sz w:val="18"/>
          <w:szCs w:val="18"/>
          <w:color w:val="auto"/>
        </w:rPr>
        <w:t>means, in relation to any Account, each Obligor in whose name that Account is held.</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 Security </w:t>
      </w:r>
      <w:r>
        <w:rPr>
          <w:rFonts w:ascii="Times New Roman" w:cs="Times New Roman" w:eastAsia="Times New Roman" w:hAnsi="Times New Roman"/>
          <w:sz w:val="18"/>
          <w:szCs w:val="18"/>
          <w:color w:val="auto"/>
        </w:rPr>
        <w:t>means, in relation to an Account, a deed or other instrument executed by the relevant Account 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favour of the Security Agent and/or any other Finance Parties in an agreed form conferring a Security Interest over that Account.</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Accounting Reference Date </w:t>
      </w:r>
      <w:r>
        <w:rPr>
          <w:rFonts w:ascii="Times New Roman" w:cs="Times New Roman" w:eastAsia="Times New Roman" w:hAnsi="Times New Roman"/>
          <w:sz w:val="18"/>
          <w:szCs w:val="18"/>
          <w:color w:val="auto"/>
        </w:rPr>
        <w:t>means 31 December or such other date as may be approved by the Majority Lenders.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Additional Business Day </w:t>
      </w:r>
      <w:r>
        <w:rPr>
          <w:rFonts w:ascii="Times New Roman" w:cs="Times New Roman" w:eastAsia="Times New Roman" w:hAnsi="Times New Roman"/>
          <w:sz w:val="18"/>
          <w:szCs w:val="18"/>
          <w:color w:val="auto"/>
        </w:rPr>
        <w:t>means any day specified as such in the Reference Rate Terms.</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relation to any person, a Subsidiary of that person or a Holding Company of that person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that Holding Company.</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Agent </w:t>
      </w:r>
      <w:r>
        <w:rPr>
          <w:rFonts w:ascii="Times New Roman" w:cs="Times New Roman" w:eastAsia="Times New Roman" w:hAnsi="Times New Roman"/>
          <w:sz w:val="18"/>
          <w:szCs w:val="18"/>
          <w:color w:val="auto"/>
        </w:rPr>
        <w:t>includes any person who may be appointed as such under the Finance Documents.</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Annex VI </w:t>
      </w:r>
      <w:r>
        <w:rPr>
          <w:rFonts w:ascii="Times New Roman" w:cs="Times New Roman" w:eastAsia="Times New Roman" w:hAnsi="Times New Roman"/>
          <w:sz w:val="18"/>
          <w:szCs w:val="18"/>
          <w:color w:val="auto"/>
        </w:rPr>
        <w:t>means Annex VI of the Protocol of 1997 (as subsequently amended from time to time) to amend the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Convention for the Prevention of Pollution from Ships 1973 (Marpol), as modified by the Protocol of 1978 relating thereto.</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Annual Financial Statements </w:t>
      </w:r>
      <w:r>
        <w:rPr>
          <w:rFonts w:ascii="Times New Roman" w:cs="Times New Roman" w:eastAsia="Times New Roman" w:hAnsi="Times New Roman"/>
          <w:sz w:val="18"/>
          <w:szCs w:val="18"/>
          <w:color w:val="auto"/>
        </w:rPr>
        <w:t>has the meaning given to it in clause 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Applicable Fraction </w:t>
      </w:r>
      <w:r>
        <w:rPr>
          <w:rFonts w:ascii="Times New Roman" w:cs="Times New Roman" w:eastAsia="Times New Roman" w:hAnsi="Times New Roman"/>
          <w:sz w:val="18"/>
          <w:szCs w:val="18"/>
          <w:color w:val="auto"/>
        </w:rPr>
        <w:t>means, in relation to a Ship (</w:t>
      </w:r>
      <w:r>
        <w:rPr>
          <w:rFonts w:ascii="Times New Roman" w:cs="Times New Roman" w:eastAsia="Times New Roman" w:hAnsi="Times New Roman"/>
          <w:sz w:val="18"/>
          <w:szCs w:val="18"/>
          <w:b w:val="1"/>
          <w:bCs w:val="1"/>
          <w:color w:val="auto"/>
        </w:rPr>
        <w:t>Affected Ship</w:t>
      </w:r>
      <w:r>
        <w:rPr>
          <w:rFonts w:ascii="Times New Roman" w:cs="Times New Roman" w:eastAsia="Times New Roman" w:hAnsi="Times New Roman"/>
          <w:sz w:val="18"/>
          <w:szCs w:val="18"/>
          <w:color w:val="auto"/>
        </w:rPr>
        <w:t>) or its Owner and in connection with any of clauses 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7.8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 or 7.11 (</w:t>
      </w:r>
      <w:r>
        <w:rPr>
          <w:rFonts w:ascii="Times New Roman" w:cs="Times New Roman" w:eastAsia="Times New Roman" w:hAnsi="Times New Roman"/>
          <w:sz w:val="18"/>
          <w:szCs w:val="18"/>
          <w:i w:val="1"/>
          <w:iCs w:val="1"/>
          <w:color w:val="auto"/>
        </w:rPr>
        <w:t>Mandatory prepayment and cancellation following Charter or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 termination</w:t>
      </w:r>
      <w:r>
        <w:rPr>
          <w:rFonts w:ascii="Times New Roman" w:cs="Times New Roman" w:eastAsia="Times New Roman" w:hAnsi="Times New Roman"/>
          <w:sz w:val="18"/>
          <w:szCs w:val="18"/>
          <w:color w:val="auto"/>
        </w:rPr>
        <w:t>), a fraction having a numerator equal to the market value of the relevant Affected Ship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denominator equal to the aggregate of the market values of all of the Ships (including such Affected Ship) at the relevant time, in each case, as such market values are most recently determined in accordance with this Agreement.</w:t>
      </w:r>
    </w:p>
    <w:p>
      <w:pPr>
        <w:spacing w:after="0" w:line="179"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Approved Brokers </w:t>
      </w:r>
      <w:r>
        <w:rPr>
          <w:rFonts w:ascii="Times New Roman" w:cs="Times New Roman" w:eastAsia="Times New Roman" w:hAnsi="Times New Roman"/>
          <w:sz w:val="18"/>
          <w:szCs w:val="18"/>
          <w:color w:val="auto"/>
        </w:rPr>
        <w:t>means each of Affinity LNG LLP, Clarksons Platou Group, Braemar ACM Shipbroking, Fearnleys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Simpson, Spence &amp; Young Ltd, Howe Robinson and Poten &amp; Partners (London) or any other independent firm of shipbrokers agreed in writing from time to time between the Borrower and the Agent (acting on the instructions of the Majority Lenders).</w:t>
      </w:r>
    </w:p>
    <w:p>
      <w:pPr>
        <w:spacing w:after="0" w:line="17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Approved Flag State </w:t>
      </w:r>
      <w:r>
        <w:rPr>
          <w:rFonts w:ascii="Times New Roman" w:cs="Times New Roman" w:eastAsia="Times New Roman" w:hAnsi="Times New Roman"/>
          <w:sz w:val="18"/>
          <w:szCs w:val="18"/>
          <w:color w:val="auto"/>
        </w:rPr>
        <w:t>means each of Bermuda, Cayman Islands, Cyprus, Greece, Hong Kong, Malta, Marshall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Liberia, Bahamas or the United Kingdom and any other flag state approved by the Agent (acting on the instructions of all the Lenders) at the request of the Borrower.</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55 BRRD </w:t>
      </w:r>
      <w:r>
        <w:rPr>
          <w:rFonts w:ascii="Times New Roman" w:cs="Times New Roman" w:eastAsia="Times New Roman" w:hAnsi="Times New Roman"/>
          <w:sz w:val="18"/>
          <w:szCs w:val="18"/>
          <w:color w:val="auto"/>
        </w:rPr>
        <w:t>means Article 55 of Directive 2014/59/EU establishing a framework for the recovery and resolution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and investment firms.</w:t>
      </w:r>
    </w:p>
    <w:p>
      <w:pPr>
        <w:spacing w:after="0" w:line="155"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PricewaterhouseCoopers, EY, KPMG or Deloitte &amp; Touche or another firm proposed by the Borrower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79" w:name="page180"/>
    <w:bookmarkEnd w:id="179"/>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Authorisation </w:t>
      </w:r>
      <w:r>
        <w:rPr>
          <w:rFonts w:ascii="Times New Roman" w:cs="Times New Roman" w:eastAsia="Times New Roman" w:hAnsi="Times New Roman"/>
          <w:sz w:val="18"/>
          <w:szCs w:val="18"/>
          <w:color w:val="auto"/>
        </w:rPr>
        <w:t>means any authorisation, consent, concession, approval, resolution, licence, exemption, filing, notarisation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Available Commitment </w:t>
      </w:r>
      <w:r>
        <w:rPr>
          <w:rFonts w:ascii="Times New Roman" w:cs="Times New Roman" w:eastAsia="Times New Roman" w:hAnsi="Times New Roman"/>
          <w:sz w:val="18"/>
          <w:szCs w:val="18"/>
          <w:color w:val="auto"/>
        </w:rPr>
        <w:t>means a Lender's Commitment minus the amount of its participation in any outstanding Loans.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Available Facility </w:t>
      </w:r>
      <w:r>
        <w:rPr>
          <w:rFonts w:ascii="Times New Roman" w:cs="Times New Roman" w:eastAsia="Times New Roman" w:hAnsi="Times New Roman"/>
          <w:sz w:val="18"/>
          <w:szCs w:val="18"/>
          <w:color w:val="auto"/>
        </w:rPr>
        <w:t>means the aggregate for the time being of all the Lenders' Available Commitments.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Bail-In Action </w:t>
      </w:r>
      <w:r>
        <w:rPr>
          <w:rFonts w:ascii="Times New Roman" w:cs="Times New Roman" w:eastAsia="Times New Roman" w:hAnsi="Times New Roman"/>
          <w:sz w:val="18"/>
          <w:szCs w:val="18"/>
          <w:color w:val="auto"/>
        </w:rPr>
        <w:t>means the exercise of any Write-down and Conversion Powers.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Bail-In Legislation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line="282" w:lineRule="auto"/>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state other than such an EEA Member Country and the United Kingdom, any analogous law or regulation from time to time which requires contractual recognition of any Write-down and Conversion Powers contained in that law or regulation; and</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Basel Accords </w:t>
      </w:r>
      <w:r>
        <w:rPr>
          <w:rFonts w:ascii="Times New Roman" w:cs="Times New Roman" w:eastAsia="Times New Roman" w:hAnsi="Times New Roman"/>
          <w:sz w:val="18"/>
          <w:szCs w:val="18"/>
          <w:color w:val="auto"/>
        </w:rPr>
        <w:t>means the Basel II Accord, Basel III Accord and Reformed Basel III.</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Basel Regulation </w:t>
      </w:r>
      <w:r>
        <w:rPr>
          <w:rFonts w:ascii="Times New Roman" w:cs="Times New Roman" w:eastAsia="Times New Roman" w:hAnsi="Times New Roman"/>
          <w:sz w:val="18"/>
          <w:szCs w:val="18"/>
          <w:color w:val="auto"/>
        </w:rPr>
        <w:t>means either a Basel II Regulation or a Basel III Regulation.</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 Accord </w:t>
      </w:r>
      <w:r>
        <w:rPr>
          <w:rFonts w:ascii="Times New Roman" w:cs="Times New Roman" w:eastAsia="Times New Roman" w:hAnsi="Times New Roman"/>
          <w:sz w:val="18"/>
          <w:szCs w:val="18"/>
          <w:color w:val="auto"/>
        </w:rPr>
        <w:t>means the "International Convergence of Capital Measurement and Capital Standards, a Revised Framework"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published by the Basel Committee on Banking Supervision in June 2004 as updated prior to, and in the form existing on, the date of this Agreement, excluding any amendment thereto arising out of the Basel III Accord or Reformed Basel III.</w:t>
      </w:r>
    </w:p>
    <w:p>
      <w:pPr>
        <w:spacing w:after="0" w:line="17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 Approach </w:t>
      </w:r>
      <w:r>
        <w:rPr>
          <w:rFonts w:ascii="Times New Roman" w:cs="Times New Roman" w:eastAsia="Times New Roman" w:hAnsi="Times New Roman"/>
          <w:sz w:val="18"/>
          <w:szCs w:val="18"/>
          <w:color w:val="auto"/>
        </w:rPr>
        <w:t>means, in relation to any Finance Party, either the Standardised Approach or the relevant Internal Ratings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Approach (each as defined in the Basel II Regulations applicable to such Finance Party) adopted by that Finance Party (or any of its Affiliates) for the purposes of implementing or complying with the Basel Accords.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Basel II Regulation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840" w:hanging="644"/>
        <w:spacing w:after="0" w:line="261" w:lineRule="auto"/>
        <w:tabs>
          <w:tab w:leader="none" w:pos="8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in force as at the date hereof implementing the Basel II Accord, (including the relevant provisions of CRR) to the extent only that such law or regulation re- enacts and/or implements the requirements of the Basel II Accord but excluding any provision of such law or regulation implementing the Basel III Accord or Reformed Basel III; and</w:t>
      </w:r>
    </w:p>
    <w:p>
      <w:pPr>
        <w:spacing w:after="0" w:line="179"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Basel II Approach adopted by a Finance Party or any of its Affiliates.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Basel III Accord </w:t>
      </w:r>
      <w:r>
        <w:rPr>
          <w:rFonts w:ascii="Times New Roman" w:cs="Times New Roman" w:eastAsia="Times New Roman" w:hAnsi="Times New Roman"/>
          <w:sz w:val="18"/>
          <w:szCs w:val="18"/>
          <w:color w:val="auto"/>
        </w:rPr>
        <w:t>means, together:</w:t>
      </w:r>
    </w:p>
    <w:p>
      <w:pPr>
        <w:spacing w:after="0" w:line="228" w:lineRule="exact"/>
        <w:rPr>
          <w:sz w:val="20"/>
          <w:szCs w:val="20"/>
          <w:color w:val="auto"/>
        </w:rPr>
      </w:pPr>
    </w:p>
    <w:p>
      <w:pPr>
        <w:ind w:left="840" w:hanging="64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on capital requirements, a leverage ratio and liquidity standards contained in </w:t>
      </w:r>
      <w:r>
        <w:rPr>
          <w:rFonts w:ascii="Arial" w:cs="Arial" w:eastAsia="Arial" w:hAnsi="Arial"/>
          <w:sz w:val="18"/>
          <w:szCs w:val="18"/>
          <w:color w:val="auto"/>
        </w:rPr>
        <w:t>“</w:t>
      </w:r>
      <w:r>
        <w:rPr>
          <w:rFonts w:ascii="Times New Roman" w:cs="Times New Roman" w:eastAsia="Times New Roman" w:hAnsi="Times New Roman"/>
          <w:sz w:val="18"/>
          <w:szCs w:val="18"/>
          <w:color w:val="auto"/>
        </w:rPr>
        <w:t>Basel III: A global</w:t>
      </w:r>
    </w:p>
    <w:p>
      <w:pPr>
        <w:spacing w:after="0" w:line="28" w:lineRule="exact"/>
        <w:rPr>
          <w:rFonts w:ascii="Times New Roman" w:cs="Times New Roman" w:eastAsia="Times New Roman" w:hAnsi="Times New Roman"/>
          <w:sz w:val="18"/>
          <w:szCs w:val="18"/>
          <w:color w:val="auto"/>
        </w:rPr>
      </w:pPr>
    </w:p>
    <w:p>
      <w:pPr>
        <w:jc w:val="both"/>
        <w:ind w:left="8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framework for more resilient banks and banking systems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Basel III: International framework for liquidity risk measurement, standards and monitoring</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w:t>
      </w:r>
      <w:r>
        <w:rPr>
          <w:rFonts w:ascii="Arial" w:cs="Arial" w:eastAsia="Arial" w:hAnsi="Arial"/>
          <w:sz w:val="18"/>
          <w:szCs w:val="18"/>
          <w:color w:val="auto"/>
        </w:rPr>
        <w:t>“</w:t>
      </w:r>
      <w:r>
        <w:rPr>
          <w:rFonts w:ascii="Times New Roman" w:cs="Times New Roman" w:eastAsia="Times New Roman" w:hAnsi="Times New Roman"/>
          <w:sz w:val="18"/>
          <w:szCs w:val="18"/>
          <w:color w:val="auto"/>
        </w:rPr>
        <w:t>Guidance for national authorities operating the countercyclical capital buffer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published by the Basel Committee on Banking Supervision in December 2010, each as amended, supplemented or restated;</w:t>
      </w:r>
    </w:p>
    <w:p>
      <w:pPr>
        <w:spacing w:after="0" w:line="187" w:lineRule="exact"/>
        <w:rPr>
          <w:rFonts w:ascii="Times New Roman" w:cs="Times New Roman" w:eastAsia="Times New Roman" w:hAnsi="Times New Roman"/>
          <w:sz w:val="18"/>
          <w:szCs w:val="18"/>
          <w:color w:val="auto"/>
        </w:rPr>
      </w:pPr>
    </w:p>
    <w:p>
      <w:pPr>
        <w:ind w:left="840" w:right="20" w:hanging="644"/>
        <w:spacing w:after="0" w:line="281" w:lineRule="auto"/>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rules for global systemically important banks contained in </w:t>
      </w:r>
      <w:r>
        <w:rPr>
          <w:rFonts w:ascii="Arial" w:cs="Arial" w:eastAsia="Arial" w:hAnsi="Arial"/>
          <w:sz w:val="18"/>
          <w:szCs w:val="18"/>
          <w:color w:val="auto"/>
        </w:rPr>
        <w:t>“</w:t>
      </w:r>
      <w:r>
        <w:rPr>
          <w:rFonts w:ascii="Times New Roman" w:cs="Times New Roman" w:eastAsia="Times New Roman" w:hAnsi="Times New Roman"/>
          <w:sz w:val="18"/>
          <w:szCs w:val="18"/>
          <w:color w:val="auto"/>
        </w:rPr>
        <w:t>Global systemically important banks: assessment methodology and the additional loss absorbency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80" w:name="page181"/>
    <w:bookmarkEnd w:id="180"/>
    <w:p>
      <w:pPr>
        <w:ind w:left="840" w:firstLine="4"/>
        <w:spacing w:after="0" w:line="281" w:lineRule="auto"/>
        <w:tabs>
          <w:tab w:leader="none" w:pos="94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text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published by the Basel Committee on Banking Supervision in November 2011, as amended, supplemented or restated; and</w:t>
      </w:r>
    </w:p>
    <w:p>
      <w:pPr>
        <w:spacing w:after="0" w:line="162" w:lineRule="exact"/>
        <w:rPr>
          <w:rFonts w:ascii="Times New Roman" w:cs="Times New Roman" w:eastAsia="Times New Roman" w:hAnsi="Times New Roman"/>
          <w:sz w:val="18"/>
          <w:szCs w:val="18"/>
          <w:color w:val="auto"/>
        </w:rPr>
      </w:pPr>
    </w:p>
    <w:p>
      <w:pPr>
        <w:ind w:left="200" w:right="280" w:hanging="4"/>
        <w:spacing w:after="0" w:line="496" w:lineRule="auto"/>
        <w:tabs>
          <w:tab w:leader="none" w:pos="8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further guidance or standards published by the Basel Committee on Banking Supervision relating to </w:t>
      </w:r>
      <w:r>
        <w:rPr>
          <w:rFonts w:ascii="Arial" w:cs="Arial" w:eastAsia="Arial" w:hAnsi="Arial"/>
          <w:sz w:val="18"/>
          <w:szCs w:val="18"/>
          <w:color w:val="auto"/>
        </w:rPr>
        <w:t>“</w:t>
      </w:r>
      <w:r>
        <w:rPr>
          <w:rFonts w:ascii="Times New Roman" w:cs="Times New Roman" w:eastAsia="Times New Roman" w:hAnsi="Times New Roman"/>
          <w:sz w:val="18"/>
          <w:szCs w:val="18"/>
          <w:color w:val="auto"/>
        </w:rPr>
        <w:t>Basel III</w:t>
      </w:r>
      <w:r>
        <w:rPr>
          <w:rFonts w:ascii="Arial" w:cs="Arial" w:eastAsia="Arial" w:hAnsi="Arial"/>
          <w:sz w:val="18"/>
          <w:szCs w:val="18"/>
          <w:color w:val="auto"/>
        </w:rPr>
        <w:t>”</w:t>
      </w:r>
      <w:r>
        <w:rPr>
          <w:rFonts w:ascii="Times New Roman" w:cs="Times New Roman" w:eastAsia="Times New Roman" w:hAnsi="Times New Roman"/>
          <w:sz w:val="18"/>
          <w:szCs w:val="18"/>
          <w:color w:val="auto"/>
        </w:rPr>
        <w:t>, including Reformed Basel III.</w:t>
      </w:r>
    </w:p>
    <w:p>
      <w:pPr>
        <w:spacing w:after="0" w:line="2"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III Increased Cost </w:t>
      </w:r>
      <w:r>
        <w:rPr>
          <w:rFonts w:ascii="Times New Roman" w:cs="Times New Roman" w:eastAsia="Times New Roman" w:hAnsi="Times New Roman"/>
          <w:sz w:val="18"/>
          <w:szCs w:val="18"/>
          <w:color w:val="auto"/>
        </w:rPr>
        <w:t>means an Increased Cost which is attributable to the implementation or application of or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Basel III Regulation (whether such implementation, application or compliance is by a government, regulator, Finance Party or any of its Affiliates) and includes a CRR Increased Cost.</w:t>
      </w:r>
    </w:p>
    <w:p>
      <w:pPr>
        <w:spacing w:after="0" w:line="171"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Basel III Regulation </w:t>
      </w:r>
      <w:r>
        <w:rPr>
          <w:rFonts w:ascii="Times New Roman" w:cs="Times New Roman" w:eastAsia="Times New Roman" w:hAnsi="Times New Roman"/>
          <w:sz w:val="18"/>
          <w:szCs w:val="18"/>
          <w:color w:val="auto"/>
        </w:rPr>
        <w:t>means any law or regulation implementing the Basel III Accord (including the relevant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CRR) save to the extent that such law or regulation re-enacts a Basel II Regulation.</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Borrower Affiliate </w:t>
      </w:r>
      <w:r>
        <w:rPr>
          <w:rFonts w:ascii="Times New Roman" w:cs="Times New Roman" w:eastAsia="Times New Roman" w:hAnsi="Times New Roman"/>
          <w:sz w:val="18"/>
          <w:szCs w:val="18"/>
          <w:color w:val="auto"/>
        </w:rPr>
        <w:t>means the Borrower, each of its Affiliates, any trust of which the Borrower or any of its Affiliates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any partnership of which the Borrower or any of its Affiliates is a partner and any trust, fund or other entity which is managed by, or is under the control of, the Borrower or any of its Affiliates.</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banks are open for general business in London, Athens,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Paris, Singapore, Oslo and New York and, in relation to:</w:t>
      </w:r>
    </w:p>
    <w:p>
      <w:pPr>
        <w:spacing w:after="0" w:line="159" w:lineRule="exact"/>
        <w:rPr>
          <w:sz w:val="20"/>
          <w:szCs w:val="20"/>
          <w:color w:val="auto"/>
        </w:rPr>
      </w:pPr>
    </w:p>
    <w:p>
      <w:pPr>
        <w:ind w:left="840" w:hanging="644"/>
        <w:spacing w:after="0"/>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for payment or purchase of an amount relating to any Loan or any Unpaid Sum; or</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first day or the last day of an Interest Period for any Loan (or any relevant part of it) or any Unpaid Sum, or otherwise in relation to the determination of the length of such an Interest Period; or</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any Utilisation Date,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which is an Additional Business Day relating to any Loan (or any relevant part of it) or the relevant Unpaid Sum.</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Central Bank Rate </w:t>
      </w:r>
      <w:r>
        <w:rPr>
          <w:rFonts w:ascii="Times New Roman" w:cs="Times New Roman" w:eastAsia="Times New Roman" w:hAnsi="Times New Roman"/>
          <w:sz w:val="18"/>
          <w:szCs w:val="18"/>
          <w:color w:val="auto"/>
        </w:rPr>
        <w:t>has the meaning given to that term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Central Bank Rate Adjustment </w:t>
      </w:r>
      <w:r>
        <w:rPr>
          <w:rFonts w:ascii="Times New Roman" w:cs="Times New Roman" w:eastAsia="Times New Roman" w:hAnsi="Times New Roman"/>
          <w:sz w:val="18"/>
          <w:szCs w:val="18"/>
          <w:color w:val="auto"/>
        </w:rPr>
        <w:t>has the meaning given to that term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Central Bank Rate Spread </w:t>
      </w:r>
      <w:r>
        <w:rPr>
          <w:rFonts w:ascii="Times New Roman" w:cs="Times New Roman" w:eastAsia="Times New Roman" w:hAnsi="Times New Roman"/>
          <w:sz w:val="18"/>
          <w:szCs w:val="18"/>
          <w:color w:val="auto"/>
        </w:rPr>
        <w:t>has the meaning given to that term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occurs if:</w:t>
      </w:r>
    </w:p>
    <w:p>
      <w:pPr>
        <w:spacing w:after="0" w:line="229" w:lineRule="exact"/>
        <w:rPr>
          <w:sz w:val="20"/>
          <w:szCs w:val="20"/>
          <w:color w:val="auto"/>
        </w:rPr>
      </w:pPr>
    </w:p>
    <w:p>
      <w:pPr>
        <w:jc w:val="both"/>
        <w:ind w:left="840" w:hanging="644"/>
        <w:spacing w:after="0" w:line="266"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persons, acting in concert (other than the Permitted Holder) have or acquire the right or the ability to control, either directly or indirectly, the affairs, or composition of the majority, of the board of directors (or equivalent) of the Borrower; or</w:t>
      </w:r>
    </w:p>
    <w:p>
      <w:pPr>
        <w:spacing w:after="0" w:line="17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ceases to control, directly or indirectly, the affairs or the composition of the board of directors (or equivalent) of any of the Guarantors; or</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58" w:lineRule="auto"/>
        <w:tabs>
          <w:tab w:leader="none" w:pos="8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ceases to legally and beneficially directly or indirectly own all of the common partnership units of MLP and/or to control MLP, unless all such common units are legally and beneficially directly owned by, and MLP is controlled by, any other legal entity that is a direct wholly owned subsidiary of the Borrower and is a Guarantor or has become a guarantor under this Agreement on the same terms as the other Guarantors and on a joint and several basis with the other Guarantors;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1" w:name="page182"/>
    <w:bookmarkEnd w:id="181"/>
    <w:p>
      <w:pPr>
        <w:jc w:val="both"/>
        <w:ind w:left="840" w:hanging="644"/>
        <w:spacing w:after="0" w:line="261"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Carriers ceases to be a direct wholly-owned Subsidiary of, and/or to be controlled by, the Borrower, unless it is directly wholly-owned and controlled by any other legal entity that is a direct wholly owned subsidiary of the Borrower and is a Guarantor or has become a guarantor under this Agreement on the same terms as the other Guarantors and on a joint and several basis with the other Guarantors; or</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GPHL ceases to be a direct wholly-owned Subsidiary of, and/or to be controlled by, MLP, unless it is directly wholly-owned and controlled by the Borrower or by any other legal entity that is a wholly owned direct subsidiary of the Borrower and is a Guarantor or has become a guarantor under this Agreement on the same terms as the other Guarantors and on a joint and several basis with the other Guarantors; or</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58" w:lineRule="auto"/>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 ceases to be a direct wholly-owned Subsidiary of either GPHL or GasLog Carriers, and/or to be controlled by either GPHL or GasLog Carriers, unless it is directly wholly-owned and controlled by the Borrower or by any other legal entity that is a wholly owned direct subsidiary of the Borrower and is a Guarantor or has become a guarantor under this Agreement (in an approved manner) on the same terms as the other Guarantors and on a joint and several basis with the other Guarantors; or</w:t>
      </w:r>
    </w:p>
    <w:p>
      <w:pPr>
        <w:spacing w:after="0" w:line="183"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GP LLC ceases to be a direct wholly-owned Subsidiary of the Borrower;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GP LLC ceases to be the general partner of MLP,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any case without the prior written consent of the Agent (acting with the authorisation of the Majority Lenders).</w:t>
      </w:r>
    </w:p>
    <w:p>
      <w:pPr>
        <w:spacing w:after="0" w:line="221"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Charged Property </w:t>
      </w:r>
      <w:r>
        <w:rPr>
          <w:rFonts w:ascii="Times New Roman" w:cs="Times New Roman" w:eastAsia="Times New Roman" w:hAnsi="Times New Roman"/>
          <w:sz w:val="18"/>
          <w:szCs w:val="18"/>
          <w:color w:val="auto"/>
        </w:rPr>
        <w:t>means all of the assets of the Obligors which from time to time are, or are expressed or intended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of the Transaction Security.</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Charter </w:t>
      </w:r>
      <w:r>
        <w:rPr>
          <w:rFonts w:ascii="Times New Roman" w:cs="Times New Roman" w:eastAsia="Times New Roman" w:hAnsi="Times New Roman"/>
          <w:sz w:val="18"/>
          <w:szCs w:val="18"/>
          <w:color w:val="auto"/>
        </w:rPr>
        <w:t>means, in relation to a Ship, any charter commitment for that Ship which has an original fixed term in excess of 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months (without taking into account any option to extend or renew contained therein), as the same may be amended from time to time (and it includes in any event any Key Charter for that Ship).</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Charter Assignment </w:t>
      </w:r>
      <w:r>
        <w:rPr>
          <w:rFonts w:ascii="Times New Roman" w:cs="Times New Roman" w:eastAsia="Times New Roman" w:hAnsi="Times New Roman"/>
          <w:sz w:val="18"/>
          <w:szCs w:val="18"/>
          <w:color w:val="auto"/>
        </w:rPr>
        <w:t>means, in relation to a Ship and the Charter Documents for any Charter for that Ship, an assignment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Owner of its interest in such Charter Documents in favour of the Security Agent in the agreed form.</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Charter Documents </w:t>
      </w:r>
      <w:r>
        <w:rPr>
          <w:rFonts w:ascii="Times New Roman" w:cs="Times New Roman" w:eastAsia="Times New Roman" w:hAnsi="Times New Roman"/>
          <w:sz w:val="18"/>
          <w:szCs w:val="18"/>
          <w:color w:val="auto"/>
        </w:rPr>
        <w:t>means, in relation to a Ship and any Charter of that Ship, any documents supplementing it,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or security given by any person to the relevant Owner for the relevant Charterer's obligations under it (including any Charter Guarantee).</w:t>
      </w:r>
    </w:p>
    <w:p>
      <w:pPr>
        <w:spacing w:after="0" w:line="17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Charter Guarantee </w:t>
      </w:r>
      <w:r>
        <w:rPr>
          <w:rFonts w:ascii="Times New Roman" w:cs="Times New Roman" w:eastAsia="Times New Roman" w:hAnsi="Times New Roman"/>
          <w:sz w:val="18"/>
          <w:szCs w:val="18"/>
          <w:color w:val="auto"/>
        </w:rPr>
        <w:t>means, in relation to a Ship and a Charter for that Ship, any guarantee issued by any person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for the relevant Charterer</w:t>
      </w:r>
      <w:r>
        <w:rPr>
          <w:rFonts w:ascii="Arial" w:cs="Arial" w:eastAsia="Arial" w:hAnsi="Arial"/>
          <w:sz w:val="18"/>
          <w:szCs w:val="18"/>
          <w:color w:val="auto"/>
        </w:rPr>
        <w:t>’</w:t>
      </w:r>
      <w:r>
        <w:rPr>
          <w:rFonts w:ascii="Times New Roman" w:cs="Times New Roman" w:eastAsia="Times New Roman" w:hAnsi="Times New Roman"/>
          <w:sz w:val="18"/>
          <w:szCs w:val="18"/>
          <w:color w:val="auto"/>
        </w:rPr>
        <w:t>s obligations under the relevant Charter for that Ship (and in relation to any Initial Charter, any guarantee the details of which are provided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xml:space="preserve"> in respect of the same).</w:t>
      </w:r>
    </w:p>
    <w:p>
      <w:pPr>
        <w:spacing w:after="0" w:line="170"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Charter Guarantor </w:t>
      </w:r>
      <w:r>
        <w:rPr>
          <w:rFonts w:ascii="Times New Roman" w:cs="Times New Roman" w:eastAsia="Times New Roman" w:hAnsi="Times New Roman"/>
          <w:sz w:val="18"/>
          <w:szCs w:val="18"/>
          <w:color w:val="auto"/>
        </w:rPr>
        <w:t>means, in relation to a Ship and a Charter Guarantee relevant to it, the person giving such guarantee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relation to any Charter Guarantee in respect of an Initial Charter, the charter guarantor named in Schedule 2 (</w:t>
      </w:r>
      <w:r>
        <w:rPr>
          <w:rFonts w:ascii="Times New Roman" w:cs="Times New Roman" w:eastAsia="Times New Roman" w:hAnsi="Times New Roman"/>
          <w:sz w:val="18"/>
          <w:szCs w:val="18"/>
          <w:i w:val="1"/>
          <w:iCs w:val="1"/>
          <w:color w:val="auto"/>
        </w:rPr>
        <w:t>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as such for that Ship).</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Charterer </w:t>
      </w:r>
      <w:r>
        <w:rPr>
          <w:rFonts w:ascii="Times New Roman" w:cs="Times New Roman" w:eastAsia="Times New Roman" w:hAnsi="Times New Roman"/>
          <w:sz w:val="18"/>
          <w:szCs w:val="18"/>
          <w:color w:val="auto"/>
        </w:rPr>
        <w:t>means, in relation to a Ship and a Charter for that Ship, the person chartering the Ship under such Charter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 to any Initial Charter, the charterer named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as charterer of that Ship thereunder).</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Classification </w:t>
      </w:r>
      <w:r>
        <w:rPr>
          <w:rFonts w:ascii="Times New Roman" w:cs="Times New Roman" w:eastAsia="Times New Roman" w:hAnsi="Times New Roman"/>
          <w:sz w:val="18"/>
          <w:szCs w:val="18"/>
          <w:color w:val="auto"/>
        </w:rPr>
        <w:t>means, in relation to a Ship, the classification specified in respect of such Ship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relevant Classification Society or another classification approved by the Majority Lenders as its classification (such approval not to be unreasonably withheld), at the request of the relevant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2" w:name="page183"/>
    <w:bookmarkEnd w:id="182"/>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Classification Society </w:t>
      </w:r>
      <w:r>
        <w:rPr>
          <w:rFonts w:ascii="Times New Roman" w:cs="Times New Roman" w:eastAsia="Times New Roman" w:hAnsi="Times New Roman"/>
          <w:sz w:val="18"/>
          <w:szCs w:val="18"/>
          <w:color w:val="auto"/>
        </w:rPr>
        <w:t>means, in relation to a Ship, the classification society specified in respect of such Ship in 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or another classification society (being a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Borrower.</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US Internal Revenue Code of 1986, as amended.</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line="282" w:lineRule="auto"/>
        <w:tabs>
          <w:tab w:leader="none" w:pos="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an Original Lender, the amount set opposite its name under the heading "Commitment" in Schedule 1 </w:t>
      </w:r>
      <w:r>
        <w:rPr>
          <w:rFonts w:ascii="Times New Roman" w:cs="Times New Roman" w:eastAsia="Times New Roman" w:hAnsi="Times New Roman"/>
          <w:sz w:val="18"/>
          <w:szCs w:val="18"/>
          <w:i w:val="1"/>
          <w:iCs w:val="1"/>
          <w:color w:val="auto"/>
        </w:rPr>
        <w:t xml:space="preserve">(The original parties) </w:t>
      </w:r>
      <w:r>
        <w:rPr>
          <w:rFonts w:ascii="Times New Roman" w:cs="Times New Roman" w:eastAsia="Times New Roman" w:hAnsi="Times New Roman"/>
          <w:sz w:val="18"/>
          <w:szCs w:val="18"/>
          <w:color w:val="auto"/>
        </w:rPr>
        <w:t>and the amount of any other Commitment assigned to it under this Agreement; and</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Commitment assigned to it under this Agreement,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extent not cancelled, reduced or assigned by it under this Agreement.</w:t>
      </w:r>
    </w:p>
    <w:p>
      <w:pPr>
        <w:spacing w:after="0" w:line="22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Compliance Certificate </w:t>
      </w:r>
      <w:r>
        <w:rPr>
          <w:rFonts w:ascii="Times New Roman" w:cs="Times New Roman" w:eastAsia="Times New Roman" w:hAnsi="Times New Roman"/>
          <w:sz w:val="18"/>
          <w:szCs w:val="18"/>
          <w:color w:val="auto"/>
        </w:rPr>
        <w:t>means a certificate substantially in the form set out in Schedule 7 (</w:t>
      </w:r>
      <w:r>
        <w:rPr>
          <w:rFonts w:ascii="Times New Roman" w:cs="Times New Roman" w:eastAsia="Times New Roman" w:hAnsi="Times New Roman"/>
          <w:sz w:val="18"/>
          <w:szCs w:val="18"/>
          <w:i w:val="1"/>
          <w:iCs w:val="1"/>
          <w:color w:val="auto"/>
        </w:rPr>
        <w:t>Form of Compliance Certificate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approved.</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Compounded Reference Rate </w:t>
      </w:r>
      <w:r>
        <w:rPr>
          <w:rFonts w:ascii="Times New Roman" w:cs="Times New Roman" w:eastAsia="Times New Roman" w:hAnsi="Times New Roman"/>
          <w:sz w:val="18"/>
          <w:szCs w:val="18"/>
          <w:color w:val="auto"/>
        </w:rPr>
        <w:t>means, in relation to any RFR Banking Day during the Interest Period of any Loan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part of it) or any Unpaid Sum, the percentage rate per annum which is the Daily Non-Cumulative Compounded RFR Rate for that RFR Banking Day.</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Compounding Methodology Supplement </w:t>
      </w:r>
      <w:r>
        <w:rPr>
          <w:rFonts w:ascii="Times New Roman" w:cs="Times New Roman" w:eastAsia="Times New Roman" w:hAnsi="Times New Roman"/>
          <w:sz w:val="18"/>
          <w:szCs w:val="18"/>
          <w:color w:val="auto"/>
        </w:rPr>
        <w:t>means, in relation to the Daily Non-Cumulative Compounded RFR Rate,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which:</w:t>
      </w:r>
    </w:p>
    <w:p>
      <w:pPr>
        <w:spacing w:after="0" w:line="159" w:lineRule="exact"/>
        <w:rPr>
          <w:sz w:val="20"/>
          <w:szCs w:val="20"/>
          <w:color w:val="auto"/>
        </w:rPr>
      </w:pPr>
    </w:p>
    <w:p>
      <w:pPr>
        <w:ind w:left="840" w:right="20" w:hanging="644"/>
        <w:spacing w:after="0" w:line="282" w:lineRule="auto"/>
        <w:tabs>
          <w:tab w:leader="none" w:pos="8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agreed in writing by the Borrower, the Agent (in its own capacity) and the Agent (acting on the instructions of the Lenders);</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a calculation methodology for that rate;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made available to the Borrower and each Finance Party.</w:t>
      </w:r>
    </w:p>
    <w:p>
      <w:pPr>
        <w:spacing w:after="0" w:line="22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Confirmation </w:t>
      </w:r>
      <w:r>
        <w:rPr>
          <w:rFonts w:ascii="Times New Roman" w:cs="Times New Roman" w:eastAsia="Times New Roman" w:hAnsi="Times New Roman"/>
          <w:sz w:val="18"/>
          <w:szCs w:val="18"/>
          <w:color w:val="auto"/>
        </w:rPr>
        <w:t>shall have, in relation to any Hedging Transaction, the meaning given to that term in the relevant Hedging Master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all information relating to an Obligor, the Group, a Prohibited Person,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Charter Documents for each Ship or any other charter commitments (to the extent such information is confidential as a matter of law or contract) for each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83" w:lineRule="exact"/>
        <w:rPr>
          <w:sz w:val="20"/>
          <w:szCs w:val="20"/>
          <w:color w:val="auto"/>
        </w:rPr>
      </w:pPr>
    </w:p>
    <w:p>
      <w:pPr>
        <w:ind w:left="840" w:hanging="644"/>
        <w:spacing w:after="0"/>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or any of its advisers; or</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Group Member or any of its advisers,</w:t>
      </w:r>
    </w:p>
    <w:p>
      <w:pPr>
        <w:spacing w:after="0" w:line="162"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62" w:lineRule="exact"/>
        <w:rPr>
          <w:sz w:val="20"/>
          <w:szCs w:val="20"/>
          <w:color w:val="auto"/>
        </w:rPr>
      </w:pPr>
    </w:p>
    <w:p>
      <w:pPr>
        <w:ind w:left="1500" w:right="20" w:hanging="656"/>
        <w:spacing w:after="0" w:line="282"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47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83" w:name="page184"/>
    <w:bookmarkEnd w:id="183"/>
    <w:p>
      <w:pPr>
        <w:ind w:left="1500" w:hanging="656"/>
        <w:spacing w:after="0" w:line="282" w:lineRule="auto"/>
        <w:tabs>
          <w:tab w:leader="none" w:pos="1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Group Member or any of its advisers; or</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w:t>
      </w:r>
    </w:p>
    <w:p>
      <w:pPr>
        <w:spacing w:after="0" w:line="27" w:lineRule="exact"/>
        <w:rPr>
          <w:rFonts w:ascii="Times New Roman" w:cs="Times New Roman" w:eastAsia="Times New Roman" w:hAnsi="Times New Roman"/>
          <w:sz w:val="18"/>
          <w:szCs w:val="18"/>
          <w:color w:val="auto"/>
        </w:rPr>
      </w:pPr>
    </w:p>
    <w:p>
      <w:pPr>
        <w:jc w:val="both"/>
        <w:ind w:left="1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82"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Confidentiality Undertaking </w:t>
      </w:r>
      <w:r>
        <w:rPr>
          <w:rFonts w:ascii="Times New Roman" w:cs="Times New Roman" w:eastAsia="Times New Roman" w:hAnsi="Times New Roman"/>
          <w:sz w:val="18"/>
          <w:szCs w:val="18"/>
          <w:color w:val="auto"/>
        </w:rPr>
        <w:t>means a confidentiality undertaking substantially in a recommended form of the Loan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or in any other form agreed between the Borrower and the Agent.</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Constitutional Documents </w:t>
      </w:r>
      <w:r>
        <w:rPr>
          <w:rFonts w:ascii="Times New Roman" w:cs="Times New Roman" w:eastAsia="Times New Roman" w:hAnsi="Times New Roman"/>
          <w:sz w:val="18"/>
          <w:szCs w:val="18"/>
          <w:color w:val="auto"/>
        </w:rPr>
        <w:t>means, in respect of an Obligor, such Obligor's memorandum of association, bye-laws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constitutional documents including as referred to in any certificate relating to an Obligor delivered pursuant to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CRR </w:t>
      </w:r>
      <w:r>
        <w:rPr>
          <w:rFonts w:ascii="Times New Roman" w:cs="Times New Roman" w:eastAsia="Times New Roman" w:hAnsi="Times New Roman"/>
          <w:sz w:val="18"/>
          <w:szCs w:val="18"/>
          <w:color w:val="auto"/>
        </w:rPr>
        <w:t>means either CRR-EU or, as the context may require, CRR-UK.</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CRR-EU </w:t>
      </w:r>
      <w:r>
        <w:rPr>
          <w:rFonts w:ascii="Times New Roman" w:cs="Times New Roman" w:eastAsia="Times New Roman" w:hAnsi="Times New Roman"/>
          <w:sz w:val="18"/>
          <w:szCs w:val="18"/>
          <w:color w:val="auto"/>
        </w:rPr>
        <w:t>means regulation 575/2013 of the European Union on prudential requirements for credit institutions and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firms and regulation 2019/876 of the European Union amending Regulation (EU) No 575/2013 and all delegated and implementing regulations supplementing that Regulation.</w:t>
      </w:r>
    </w:p>
    <w:p>
      <w:pPr>
        <w:spacing w:after="0" w:line="17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CRR Increased Cost </w:t>
      </w:r>
      <w:r>
        <w:rPr>
          <w:rFonts w:ascii="Times New Roman" w:cs="Times New Roman" w:eastAsia="Times New Roman" w:hAnsi="Times New Roman"/>
          <w:sz w:val="18"/>
          <w:szCs w:val="18"/>
          <w:color w:val="auto"/>
        </w:rPr>
        <w:t>means an Increased Cost which is attributable to the implementation or application of or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CRR (whether such implementation, application or compliance is by a government, regulator, Finance Party or any of its Affiliates).</w:t>
      </w:r>
    </w:p>
    <w:p>
      <w:pPr>
        <w:spacing w:after="0" w:line="17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CRR-UK </w:t>
      </w:r>
      <w:r>
        <w:rPr>
          <w:rFonts w:ascii="Times New Roman" w:cs="Times New Roman" w:eastAsia="Times New Roman" w:hAnsi="Times New Roman"/>
          <w:sz w:val="18"/>
          <w:szCs w:val="18"/>
          <w:color w:val="auto"/>
        </w:rPr>
        <w:t>means CRR-EU as amended and transposed into the laws of the United Kingdom by the 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 Act 2018 and the European Union (Withdrawal Agreement) Act 2020 and as amended by the Capital Requirements (Amendment) (EU Exit) Regulations 2019.</w:t>
      </w:r>
    </w:p>
    <w:p>
      <w:pPr>
        <w:spacing w:after="0" w:line="171"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Daily Non-Cumulative Compounded RFR Rate </w:t>
      </w:r>
      <w:r>
        <w:rPr>
          <w:rFonts w:ascii="Times New Roman" w:cs="Times New Roman" w:eastAsia="Times New Roman" w:hAnsi="Times New Roman"/>
          <w:sz w:val="18"/>
          <w:szCs w:val="18"/>
          <w:color w:val="auto"/>
        </w:rPr>
        <w:t>means, in relation to any RFR Banking Day during an Interest Period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or any relevant part of it, or any Unpaid Sum, the percentage rate per annum determined by the Agent (or by any other Finance Party which agrees to determine that rate in place of the Agent) in accordance with the methodology set out in Schedule 10 (</w:t>
      </w:r>
      <w:r>
        <w:rPr>
          <w:rFonts w:ascii="Times New Roman" w:cs="Times New Roman" w:eastAsia="Times New Roman" w:hAnsi="Times New Roman"/>
          <w:sz w:val="18"/>
          <w:szCs w:val="18"/>
          <w:i w:val="1"/>
          <w:iCs w:val="1"/>
          <w:color w:val="auto"/>
        </w:rPr>
        <w:t>Daily Non-Cumulative Compounded RFR Rate</w:t>
      </w:r>
      <w:r>
        <w:rPr>
          <w:rFonts w:ascii="Times New Roman" w:cs="Times New Roman" w:eastAsia="Times New Roman" w:hAnsi="Times New Roman"/>
          <w:sz w:val="18"/>
          <w:szCs w:val="18"/>
          <w:color w:val="auto"/>
        </w:rPr>
        <w:t>) or in any relevant Compounding Methodology Supplement.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Daily Rate </w:t>
      </w:r>
      <w:r>
        <w:rPr>
          <w:rFonts w:ascii="Times New Roman" w:cs="Times New Roman" w:eastAsia="Times New Roman" w:hAnsi="Times New Roman"/>
          <w:sz w:val="18"/>
          <w:szCs w:val="18"/>
          <w:color w:val="auto"/>
        </w:rPr>
        <w:t>means the rate specified as such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Debt Purchase Transaction </w:t>
      </w:r>
      <w:r>
        <w:rPr>
          <w:rFonts w:ascii="Times New Roman" w:cs="Times New Roman" w:eastAsia="Times New Roman" w:hAnsi="Times New Roman"/>
          <w:sz w:val="18"/>
          <w:szCs w:val="18"/>
          <w:color w:val="auto"/>
        </w:rPr>
        <w:t>means, in relation to a person, a transaction where such person:</w:t>
      </w:r>
    </w:p>
    <w:p>
      <w:pPr>
        <w:spacing w:after="0" w:line="229" w:lineRule="exact"/>
        <w:rPr>
          <w:sz w:val="20"/>
          <w:szCs w:val="20"/>
          <w:color w:val="auto"/>
        </w:rPr>
      </w:pPr>
    </w:p>
    <w:p>
      <w:pPr>
        <w:ind w:left="840" w:hanging="644"/>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way of assignment or transfer;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any Commitment or amount outstanding under this Agreement.</w:t>
      </w:r>
    </w:p>
    <w:p>
      <w:pPr>
        <w:spacing w:after="0" w:line="221"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Deed of Covenant </w:t>
      </w:r>
      <w:r>
        <w:rPr>
          <w:rFonts w:ascii="Times New Roman" w:cs="Times New Roman" w:eastAsia="Times New Roman" w:hAnsi="Times New Roman"/>
          <w:sz w:val="18"/>
          <w:szCs w:val="18"/>
          <w:color w:val="auto"/>
        </w:rPr>
        <w:t>means, in relation to a Ship in respect of which the Mortgage is in account current form, a first deed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in respect of such Ship granted by the relevant Owner (including (unless the Ship is registered in Cyprus) a first assignment of its interest in the Ship's Insurances, Earnings and Requisition Compensation) in favour of the Security Agent in the agreed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4" w:name="page185"/>
    <w:bookmarkEnd w:id="184"/>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an Event of Default or any event or circumstance specified in clause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would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Defaulting Lender </w:t>
      </w:r>
      <w:r>
        <w:rPr>
          <w:rFonts w:ascii="Times New Roman" w:cs="Times New Roman" w:eastAsia="Times New Roman" w:hAnsi="Times New Roman"/>
          <w:sz w:val="18"/>
          <w:szCs w:val="18"/>
          <w:color w:val="auto"/>
        </w:rPr>
        <w:t>means any Lender (other than a Lender which is a Borrower Affiliate):</w:t>
      </w:r>
    </w:p>
    <w:p>
      <w:pPr>
        <w:spacing w:after="0" w:line="229" w:lineRule="exact"/>
        <w:rPr>
          <w:sz w:val="20"/>
          <w:szCs w:val="20"/>
          <w:color w:val="auto"/>
        </w:rPr>
      </w:pPr>
    </w:p>
    <w:p>
      <w:pPr>
        <w:jc w:val="both"/>
        <w:ind w:left="840" w:hanging="644"/>
        <w:spacing w:after="0" w:line="266" w:lineRule="auto"/>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has failed to make its participation in a Loan available (or has notified the Agent or the Borrower (which has notified the Agent)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225" w:lineRule="exact"/>
        <w:rPr>
          <w:sz w:val="20"/>
          <w:szCs w:val="20"/>
          <w:color w:val="auto"/>
        </w:rPr>
      </w:pPr>
    </w:p>
    <w:p>
      <w:pPr>
        <w:ind w:left="1500" w:hanging="656"/>
        <w:spacing w:after="0"/>
        <w:tabs>
          <w:tab w:leader="none" w:pos="15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payment is made within three Business Days of its due date; or</w:t>
      </w:r>
    </w:p>
    <w:p>
      <w:pPr>
        <w:spacing w:after="0" w:line="225" w:lineRule="exact"/>
        <w:rPr>
          <w:sz w:val="20"/>
          <w:szCs w:val="20"/>
          <w:color w:val="auto"/>
        </w:rPr>
      </w:pPr>
    </w:p>
    <w:p>
      <w:pPr>
        <w:ind w:left="1500" w:hanging="656"/>
        <w:spacing w:after="0"/>
        <w:tabs>
          <w:tab w:leader="none" w:pos="15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Delegate </w:t>
      </w:r>
      <w:r>
        <w:rPr>
          <w:rFonts w:ascii="Times New Roman" w:cs="Times New Roman" w:eastAsia="Times New Roman" w:hAnsi="Times New Roman"/>
          <w:sz w:val="18"/>
          <w:szCs w:val="18"/>
          <w:color w:val="auto"/>
        </w:rPr>
        <w:t>means any delegate, agent, attorney, additional trustee or co-trustee appointed by the Security Agent.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Disposal Reduction Date </w:t>
      </w:r>
      <w:r>
        <w:rPr>
          <w:rFonts w:ascii="Times New Roman" w:cs="Times New Roman" w:eastAsia="Times New Roman" w:hAnsi="Times New Roman"/>
          <w:sz w:val="18"/>
          <w:szCs w:val="18"/>
          <w:color w:val="auto"/>
        </w:rPr>
        <w:t>means in relation to:</w:t>
      </w:r>
    </w:p>
    <w:p>
      <w:pPr>
        <w:spacing w:after="0" w:line="229" w:lineRule="exact"/>
        <w:rPr>
          <w:sz w:val="20"/>
          <w:szCs w:val="20"/>
          <w:color w:val="auto"/>
        </w:rPr>
      </w:pPr>
    </w:p>
    <w:p>
      <w:pPr>
        <w:ind w:left="840" w:hanging="644"/>
        <w:spacing w:after="0"/>
        <w:tabs>
          <w:tab w:leader="none" w:pos="8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Loss of a Mortgaged Ship, the applicable Total Loss Reduction Date; or</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 Mortgaged Ship by the relevant Owner, the date upon which such sale is completed by the transfer of title to the purchaser in exchange for payment of all or the balance of the relevant purchase price (and upon or immediately prior to such completion).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Disruption Event </w:t>
      </w:r>
      <w:r>
        <w:rPr>
          <w:rFonts w:ascii="Times New Roman" w:cs="Times New Roman" w:eastAsia="Times New Roman" w:hAnsi="Times New Roman"/>
          <w:sz w:val="18"/>
          <w:szCs w:val="18"/>
          <w:color w:val="auto"/>
        </w:rPr>
        <w:t>means either or both of:</w:t>
      </w:r>
    </w:p>
    <w:p>
      <w:pPr>
        <w:spacing w:after="0" w:line="229" w:lineRule="exact"/>
        <w:rPr>
          <w:sz w:val="20"/>
          <w:szCs w:val="20"/>
          <w:color w:val="auto"/>
        </w:rPr>
      </w:pPr>
    </w:p>
    <w:p>
      <w:pPr>
        <w:jc w:val="both"/>
        <w:ind w:left="840" w:hanging="644"/>
        <w:spacing w:after="0" w:line="261" w:lineRule="auto"/>
        <w:tabs>
          <w:tab w:leader="none" w:pos="8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79"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 related nature) to the treasury or payments operations of a Party preventing that, or any other Party:</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85" w:name="page186"/>
    <w:bookmarkEnd w:id="185"/>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w:t>
      </w:r>
      <w:r>
        <w:rPr>
          <w:rFonts w:ascii="Times New Roman" w:cs="Times New Roman" w:eastAsia="Times New Roman" w:hAnsi="Times New Roman"/>
          <w:sz w:val="18"/>
          <w:szCs w:val="18"/>
          <w:color w:val="auto"/>
        </w:rPr>
        <w:t>means, in relation to a Ship and a person, all money at any time payable to that person for or in relation to the 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79"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Earnings Account </w:t>
      </w:r>
      <w:r>
        <w:rPr>
          <w:rFonts w:ascii="Times New Roman" w:cs="Times New Roman" w:eastAsia="Times New Roman" w:hAnsi="Times New Roman"/>
          <w:sz w:val="18"/>
          <w:szCs w:val="18"/>
          <w:color w:val="auto"/>
        </w:rPr>
        <w:t>means any account with an Account Bank which is defined as such in any Account Security or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an "</w:t>
      </w:r>
      <w:r>
        <w:rPr>
          <w:rFonts w:ascii="Times New Roman" w:cs="Times New Roman" w:eastAsia="Times New Roman" w:hAnsi="Times New Roman"/>
          <w:sz w:val="18"/>
          <w:szCs w:val="18"/>
          <w:b w:val="1"/>
          <w:bCs w:val="1"/>
          <w:color w:val="auto"/>
        </w:rPr>
        <w:t>Earnings Account</w:t>
      </w:r>
      <w:r>
        <w:rPr>
          <w:rFonts w:ascii="Times New Roman" w:cs="Times New Roman" w:eastAsia="Times New Roman" w:hAnsi="Times New Roman"/>
          <w:sz w:val="18"/>
          <w:szCs w:val="18"/>
          <w:color w:val="auto"/>
        </w:rPr>
        <w:t xml:space="preserve">" under clause 27 </w:t>
      </w:r>
      <w:r>
        <w:rPr>
          <w:rFonts w:ascii="Times New Roman" w:cs="Times New Roman" w:eastAsia="Times New Roman" w:hAnsi="Times New Roman"/>
          <w:sz w:val="18"/>
          <w:szCs w:val="18"/>
          <w:i w:val="1"/>
          <w:iCs w:val="1"/>
          <w:color w:val="auto"/>
        </w:rPr>
        <w:t>(Bank accounts)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EEA Member Country </w:t>
      </w:r>
      <w:r>
        <w:rPr>
          <w:rFonts w:ascii="Times New Roman" w:cs="Times New Roman" w:eastAsia="Times New Roman" w:hAnsi="Times New Roman"/>
          <w:sz w:val="18"/>
          <w:szCs w:val="18"/>
          <w:color w:val="auto"/>
        </w:rPr>
        <w:t>means any member state of the European Union, Iceland, Liechtenstein and Norway.</w:t>
      </w:r>
    </w:p>
    <w:p>
      <w:pPr>
        <w:spacing w:after="0" w:line="225"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Eligible Institution </w:t>
      </w:r>
      <w:r>
        <w:rPr>
          <w:rFonts w:ascii="Times New Roman" w:cs="Times New Roman" w:eastAsia="Times New Roman" w:hAnsi="Times New Roman"/>
          <w:sz w:val="18"/>
          <w:szCs w:val="18"/>
          <w:color w:val="auto"/>
        </w:rPr>
        <w:t>means any Lender or other bank, financial institution, trust, fund or other entity selected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which, in each case, is not a Borrower Affiliate or a Group Member.</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Environmental Claims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line="282" w:lineRule="auto"/>
        <w:tabs>
          <w:tab w:leader="none" w:pos="8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clean-up, removal or other governmental or regulatory action or orders or claims instituted or made pursuant to any Environmental Laws or resulting from a Spill; or</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made by any other person relating to a Spill.</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Environmental Incident </w:t>
      </w:r>
      <w:r>
        <w:rPr>
          <w:rFonts w:ascii="Times New Roman" w:cs="Times New Roman" w:eastAsia="Times New Roman" w:hAnsi="Times New Roman"/>
          <w:sz w:val="18"/>
          <w:szCs w:val="18"/>
          <w:color w:val="auto"/>
        </w:rPr>
        <w:t>means any Spill from a vessel in circumstances where:</w:t>
      </w:r>
    </w:p>
    <w:p>
      <w:pPr>
        <w:spacing w:after="0" w:line="229" w:lineRule="exact"/>
        <w:rPr>
          <w:sz w:val="20"/>
          <w:szCs w:val="20"/>
          <w:color w:val="auto"/>
        </w:rPr>
      </w:pPr>
    </w:p>
    <w:p>
      <w:pPr>
        <w:ind w:left="840" w:right="20" w:hanging="644"/>
        <w:spacing w:after="0" w:line="282" w:lineRule="auto"/>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Fleet Vessel or its owner, operator or manager is actually or potentially liable for Environmental Claims arising from the Spill (other than Environmental Claims arising and fully satisfied before the date of this Agreement); and/or</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Fleet Vessel is actually or potentially liable to be arrested or attached in connection with any such Environmental Claim.</w:t>
      </w:r>
    </w:p>
    <w:p>
      <w:pPr>
        <w:spacing w:after="0" w:line="158"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Environmental Laws </w:t>
      </w:r>
      <w:r>
        <w:rPr>
          <w:rFonts w:ascii="Times New Roman" w:cs="Times New Roman" w:eastAsia="Times New Roman" w:hAnsi="Times New Roman"/>
          <w:sz w:val="18"/>
          <w:szCs w:val="18"/>
          <w:color w:val="auto"/>
        </w:rPr>
        <w:t>means all present or future laws, regulations and conventions concerning pollution or protection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health or the environment.</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Erroneous Payment </w:t>
      </w:r>
      <w:r>
        <w:rPr>
          <w:rFonts w:ascii="Times New Roman" w:cs="Times New Roman" w:eastAsia="Times New Roman" w:hAnsi="Times New Roman"/>
          <w:sz w:val="18"/>
          <w:szCs w:val="18"/>
          <w:color w:val="auto"/>
        </w:rPr>
        <w:t>means a payment of an amount by the Agent to another Party which the Agent determines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was made in error.</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 Bail-In Legislation Schedule </w:t>
      </w:r>
      <w:r>
        <w:rPr>
          <w:rFonts w:ascii="Times New Roman" w:cs="Times New Roman" w:eastAsia="Times New Roman" w:hAnsi="Times New Roman"/>
          <w:sz w:val="18"/>
          <w:szCs w:val="18"/>
          <w:color w:val="auto"/>
        </w:rPr>
        <w:t>means the document described as such and published by the Loan Market Association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person) from time to time.</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EU Ship Recycling Regulation </w:t>
      </w:r>
      <w:r>
        <w:rPr>
          <w:rFonts w:ascii="Times New Roman" w:cs="Times New Roman" w:eastAsia="Times New Roman" w:hAnsi="Times New Roman"/>
          <w:sz w:val="18"/>
          <w:szCs w:val="18"/>
          <w:color w:val="auto"/>
        </w:rPr>
        <w:t>means Regulation (EU) No 1257/2013 of the European Parliament and of the Council of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2013 on ship recycling and amending Regulation (EC) No 1013/2006 and Directive 2009/16/EC (Text with EEA relevance).</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means any event or circumstance specified as such in clause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Existing Indebtedness </w:t>
      </w:r>
      <w:r>
        <w:rPr>
          <w:rFonts w:ascii="Times New Roman" w:cs="Times New Roman" w:eastAsia="Times New Roman" w:hAnsi="Times New Roman"/>
          <w:sz w:val="18"/>
          <w:szCs w:val="18"/>
          <w:color w:val="auto"/>
        </w:rPr>
        <w:t>means the aggregate amount of principal outstanding and owing by the relevant Owners and secured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Ships under the following credit facilities, together with interest thereon and any other amounts owing thereunder or in connection therewith:</w:t>
      </w:r>
    </w:p>
    <w:p>
      <w:pPr>
        <w:spacing w:after="0" w:line="175" w:lineRule="exact"/>
        <w:rPr>
          <w:sz w:val="20"/>
          <w:szCs w:val="20"/>
          <w:color w:val="auto"/>
        </w:rPr>
      </w:pPr>
    </w:p>
    <w:p>
      <w:pPr>
        <w:jc w:val="both"/>
        <w:ind w:left="840" w:hanging="644"/>
        <w:spacing w:after="0" w:line="261" w:lineRule="auto"/>
        <w:tabs>
          <w:tab w:leader="none" w:pos="8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$1,311,356,340 facility agreement dated 16 October 2015 (as amended, supplemented and/or restated from time to time) made between (inter alios) GAS-eleven Ltd., GAS-twelve Ltd., GAS-thirteen Ltd., GAS-fourteen Ltd., GAS-twenty two Ltd. and GAS-thirty three Ltd. as joint and several borrowers, GasLog Ltd. as guarantor, Nordea Bank Abp, Filial I Norge as agent and the financial institutions listed in Schedule 1 thereto as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186" w:name="page187"/>
    <w:bookmarkEnd w:id="186"/>
    <w:p>
      <w:pPr>
        <w:jc w:val="both"/>
        <w:ind w:left="840" w:right="20" w:hanging="644"/>
        <w:spacing w:after="0" w:line="261"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$450,000,000 facility agreement dated 20 February 2019 (as amended, supplemented and/or restated from time to time) made between (inter alios) GAS-four Ltd., GAS-five Ltd., GAS-sixteen Ltd. and GAS-seventeen Ltd. as joint and several borrowers, GasLog Ltd. as guarantor, Nordea Bank Abp, Filial I Norge as agent and the financial institutions listed in Schedule 1 thereto as lenders;</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$130,000,000 facility agreement dated 25 June 2019 (as amended, supplemented and/or restated from time to time) made between (inter alios) GasLog Hellas-1 Special Maritime Enterprise as borrower, GasLog Ltd. as guarantor, ABN AMRO Bank N.V. as agent and the financial institutions listed in Schedule 1 thereto as lenders;</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$1,052,791,260 facility agreement dated 12 December 2019 (as amended, supplemented and/or restated from time to time) made between (inter alios) GAS-twenty eight Ltd., GAS- thirty Ltd., GAS-thirty one Ltd., GAS- thirty two Ltd., GAS-thirty three Ltd., GAS-thirty four Ltd. and GAS-thirty five Ltd. as joint and several borrowers, GasLog Ltd. as guarantor, DNB Bank ASA as agent and the financial institutions listed in Schedule 1 thereto as lenders;</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$200,000,000 facility agreement dated 16 July 2020 (as amended, supplemented and/or restated from time to time) made between (inter alios) GAS-twenty seven Ltd., GAS- twenty one Ltd. and GAS-nineteen Ltd. as joint and several borrowers, GasLog Ltd. as guarantor, DNB Bank ASA as agent and the financial institutions listed in Schedule 1 thereto as lenders;</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$260,000,000 facility agreement dated 16 July 2020 (as amended, supplemented and/or restated from time to time) made between (inter alios) GAS- seven Ltd., GAS-eight Ltd. and GAS-twenty Ltd. as joint and several borrowers, GasLog Partners LP and GasLog Partners Holdings LLC as guarantors, BNP Paribas as agent and the financial institutions listed in Schedule 1 thereto as lenders; and</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$576,887,500 facility agreement dated 16 July 2020 (as amended, supplemented and/or restated from time to time) made between (inter alios) GAS- one Ltd., GAS-two Ltd., GAS-six Ltd., GAS-nine Ltd., GAS-ten Ltd. and GAS-eighteen Ltd. as joint and several borrowers, GasLog Ltd. as guarantor, ABN AMRO Bank N.V. as agent and the financial institutions listed in Schedule 1 thereto as lenders.</w:t>
      </w:r>
    </w:p>
    <w:p>
      <w:pPr>
        <w:spacing w:after="0" w:line="176"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Extension Options </w:t>
      </w:r>
      <w:r>
        <w:rPr>
          <w:rFonts w:ascii="Times New Roman" w:cs="Times New Roman" w:eastAsia="Times New Roman" w:hAnsi="Times New Roman"/>
          <w:sz w:val="18"/>
          <w:szCs w:val="18"/>
          <w:color w:val="auto"/>
        </w:rPr>
        <w:t>means, together, the First Extension Option and the Second Extension Option and</w:t>
      </w:r>
      <w:r>
        <w:rPr>
          <w:rFonts w:ascii="Times New Roman" w:cs="Times New Roman" w:eastAsia="Times New Roman" w:hAnsi="Times New Roman"/>
          <w:sz w:val="18"/>
          <w:szCs w:val="18"/>
          <w:b w:val="1"/>
          <w:bCs w:val="1"/>
          <w:color w:val="auto"/>
        </w:rPr>
        <w:t xml:space="preserve"> Extension Option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of them.</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18"/>
          <w:szCs w:val="18"/>
          <w:color w:val="auto"/>
        </w:rPr>
        <w:t>means the reducing revolving loan facility made available under this Agreement as described in clause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Facility Office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840" w:hanging="644"/>
        <w:spacing w:after="0" w:line="265" w:lineRule="auto"/>
        <w:tabs>
          <w:tab w:leader="none" w:pos="8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Lender, the office or offices notified by that Lender to the Agent in writing on or before the date it becomes a Lender (or, following that date, by not less than five (5) Business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written notice) as the office or offices through which it will perform its obligations under this Agreement; or</w:t>
      </w:r>
    </w:p>
    <w:p>
      <w:pPr>
        <w:spacing w:after="0" w:line="177"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other Finance Party, the office in the jurisdiction in which it is resident for Tax purposes.</w:t>
      </w:r>
    </w:p>
    <w:p>
      <w:pPr>
        <w:spacing w:after="0" w:line="22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Facility Period </w:t>
      </w:r>
      <w:r>
        <w:rPr>
          <w:rFonts w:ascii="Times New Roman" w:cs="Times New Roman" w:eastAsia="Times New Roman" w:hAnsi="Times New Roman"/>
          <w:sz w:val="18"/>
          <w:szCs w:val="18"/>
          <w:color w:val="auto"/>
        </w:rPr>
        <w:t>means the period from and including the date of this Agreement to and including the date on which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have reduced to zero and all indebtedness of the Obligors under the Finance Documents has been irrevocably and unconditionally paid and discharged in full.</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FATCA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7" w:name="page188"/>
    <w:bookmarkEnd w:id="187"/>
    <w:p>
      <w:pPr>
        <w:jc w:val="both"/>
        <w:ind w:left="840" w:right="20" w:hanging="644"/>
        <w:spacing w:after="0" w:line="266" w:lineRule="auto"/>
        <w:tabs>
          <w:tab w:leader="none" w:pos="8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FATCA Application Date </w:t>
      </w:r>
      <w:r>
        <w:rPr>
          <w:rFonts w:ascii="Times New Roman" w:cs="Times New Roman" w:eastAsia="Times New Roman" w:hAnsi="Times New Roman"/>
          <w:sz w:val="18"/>
          <w:szCs w:val="18"/>
          <w:color w:val="auto"/>
        </w:rPr>
        <w:t>means:</w:t>
      </w:r>
    </w:p>
    <w:p>
      <w:pPr>
        <w:spacing w:after="0" w:line="228" w:lineRule="exact"/>
        <w:rPr>
          <w:sz w:val="20"/>
          <w:szCs w:val="20"/>
          <w:color w:val="auto"/>
        </w:rPr>
      </w:pPr>
    </w:p>
    <w:p>
      <w:pPr>
        <w:ind w:left="840" w:hanging="644"/>
        <w:spacing w:after="0" w:line="281" w:lineRule="auto"/>
        <w:tabs>
          <w:tab w:leader="none" w:pos="8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 </w:t>
      </w:r>
      <w:r>
        <w:rPr>
          <w:rFonts w:ascii="Arial" w:cs="Arial" w:eastAsia="Arial" w:hAnsi="Arial"/>
          <w:sz w:val="18"/>
          <w:szCs w:val="18"/>
          <w:color w:val="auto"/>
        </w:rPr>
        <w:t>“</w:t>
      </w:r>
      <w:r>
        <w:rPr>
          <w:rFonts w:ascii="Times New Roman" w:cs="Times New Roman" w:eastAsia="Times New Roman" w:hAnsi="Times New Roman"/>
          <w:sz w:val="18"/>
          <w:szCs w:val="18"/>
          <w:color w:val="auto"/>
        </w:rPr>
        <w:t>withholdable payment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described in section 1473(1)(A)(i) of the Code (which relates to payments of interest and certain other payments from sources within the US), 1 July 2014; or</w:t>
      </w:r>
    </w:p>
    <w:p>
      <w:pPr>
        <w:spacing w:after="0" w:line="162" w:lineRule="exact"/>
        <w:rPr>
          <w:rFonts w:ascii="Times New Roman" w:cs="Times New Roman" w:eastAsia="Times New Roman" w:hAnsi="Times New Roman"/>
          <w:sz w:val="18"/>
          <w:szCs w:val="18"/>
          <w:color w:val="auto"/>
        </w:rPr>
      </w:pPr>
    </w:p>
    <w:p>
      <w:pPr>
        <w:ind w:left="840" w:right="20" w:hanging="644"/>
        <w:spacing w:after="0" w:line="281" w:lineRule="auto"/>
        <w:tabs>
          <w:tab w:leader="none" w:pos="8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 </w:t>
      </w:r>
      <w:r>
        <w:rPr>
          <w:rFonts w:ascii="Arial" w:cs="Arial" w:eastAsia="Arial" w:hAnsi="Arial"/>
          <w:sz w:val="18"/>
          <w:szCs w:val="18"/>
          <w:color w:val="auto"/>
        </w:rPr>
        <w:t>“</w:t>
      </w:r>
      <w:r>
        <w:rPr>
          <w:rFonts w:ascii="Times New Roman" w:cs="Times New Roman" w:eastAsia="Times New Roman" w:hAnsi="Times New Roman"/>
          <w:sz w:val="18"/>
          <w:szCs w:val="18"/>
          <w:color w:val="auto"/>
        </w:rPr>
        <w:t>passthru payment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described in section 1471(d)(7) of the Code not falling within paragraph (a) above, the first date from which such payment may become subject to a deduction or withholding required by FATCA.</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FATCA Deduction </w:t>
      </w:r>
      <w:r>
        <w:rPr>
          <w:rFonts w:ascii="Times New Roman" w:cs="Times New Roman" w:eastAsia="Times New Roman" w:hAnsi="Times New Roman"/>
          <w:sz w:val="18"/>
          <w:szCs w:val="18"/>
          <w:color w:val="auto"/>
        </w:rPr>
        <w:t>means a deduction or withholding from a payment under a Finance Document required by FATCA.</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FATCA Exempt Party </w:t>
      </w:r>
      <w:r>
        <w:rPr>
          <w:rFonts w:ascii="Times New Roman" w:cs="Times New Roman" w:eastAsia="Times New Roman" w:hAnsi="Times New Roman"/>
          <w:sz w:val="18"/>
          <w:szCs w:val="18"/>
          <w:color w:val="auto"/>
        </w:rPr>
        <w:t>means a Party that is entitled to receive payments free from any FATCA Deduction.</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Fee Letter </w:t>
      </w:r>
      <w:r>
        <w:rPr>
          <w:rFonts w:ascii="Times New Roman" w:cs="Times New Roman" w:eastAsia="Times New Roman" w:hAnsi="Times New Roman"/>
          <w:sz w:val="18"/>
          <w:szCs w:val="18"/>
          <w:color w:val="auto"/>
        </w:rPr>
        <w:t>means any letter or letters between the Arrangers and the Borrower and/or between the Agent and/or Security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Borrower by reference to this Agreement setting out any of the fees referred to in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and includes any agreement setting out any fees payable to a Finance Party under any other Finance Document.</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 Reduction Date </w:t>
      </w:r>
      <w:r>
        <w:rPr>
          <w:rFonts w:ascii="Times New Roman" w:cs="Times New Roman" w:eastAsia="Times New Roman" w:hAnsi="Times New Roman"/>
          <w:sz w:val="18"/>
          <w:szCs w:val="18"/>
          <w:color w:val="auto"/>
        </w:rPr>
        <w:t>means, subject to clause 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Days)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 the earlier of (a)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2028 and (b) the date falling 60 Months after the date of this Agreement.</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Finance Documents </w:t>
      </w:r>
      <w:r>
        <w:rPr>
          <w:rFonts w:ascii="Times New Roman" w:cs="Times New Roman" w:eastAsia="Times New Roman" w:hAnsi="Times New Roman"/>
          <w:sz w:val="18"/>
          <w:szCs w:val="18"/>
          <w:color w:val="auto"/>
        </w:rPr>
        <w:t>means this Agreement, any Fee Letter, the Security Documents, any Hedging Contracts, any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any Reference Rate Supplement, any Compounding Methodology Supplement and any other document designated as such by the Agent and the Borrower.</w:t>
      </w:r>
    </w:p>
    <w:p>
      <w:pPr>
        <w:spacing w:after="0" w:line="171"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Finance Party </w:t>
      </w:r>
      <w:r>
        <w:rPr>
          <w:rFonts w:ascii="Times New Roman" w:cs="Times New Roman" w:eastAsia="Times New Roman" w:hAnsi="Times New Roman"/>
          <w:sz w:val="18"/>
          <w:szCs w:val="18"/>
          <w:color w:val="auto"/>
        </w:rPr>
        <w:t>means the Agent, the Security Agent, the Sustainability Co-ordinator, the Global Co-ordinator, any Arranger,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Hedging Provider or a Lender.</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Financial Indebtedness </w:t>
      </w:r>
      <w:r>
        <w:rPr>
          <w:rFonts w:ascii="Times New Roman" w:cs="Times New Roman" w:eastAsia="Times New Roman" w:hAnsi="Times New Roman"/>
          <w:sz w:val="18"/>
          <w:szCs w:val="18"/>
          <w:color w:val="auto"/>
        </w:rPr>
        <w:t>means any indebtedness for or in respect of:</w:t>
      </w:r>
    </w:p>
    <w:p>
      <w:pPr>
        <w:spacing w:after="0" w:line="229" w:lineRule="exact"/>
        <w:rPr>
          <w:sz w:val="20"/>
          <w:szCs w:val="20"/>
          <w:color w:val="auto"/>
        </w:rPr>
      </w:pPr>
    </w:p>
    <w:p>
      <w:pPr>
        <w:ind w:left="840" w:hanging="644"/>
        <w:spacing w:after="0"/>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 and debit balances at banks or other financial institutions;</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or bill discounting facility (or dematerialised equivalent);</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finance lease liability;</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 and meet any requirement for de-recognition under GAAP);</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(and, when calculating the value of that Treasury Transaction, only the marked to market value (or, if any actual amount is due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8" w:name="page189"/>
    <w:bookmarkEnd w:id="188"/>
    <w:p>
      <w:pPr>
        <w:ind w:left="840"/>
        <w:spacing w:after="0"/>
        <w:rPr>
          <w:sz w:val="20"/>
          <w:szCs w:val="20"/>
          <w:color w:val="auto"/>
        </w:rPr>
      </w:pPr>
      <w:r>
        <w:rPr>
          <w:rFonts w:ascii="Times New Roman" w:cs="Times New Roman" w:eastAsia="Times New Roman" w:hAnsi="Times New Roman"/>
          <w:sz w:val="18"/>
          <w:szCs w:val="18"/>
          <w:color w:val="auto"/>
        </w:rPr>
        <w:t>termination or close-out of that Treasury Transaction, that amount) shall be taken into account);</w:t>
      </w:r>
    </w:p>
    <w:p>
      <w:pPr>
        <w:spacing w:after="0" w:line="225" w:lineRule="exact"/>
        <w:rPr>
          <w:sz w:val="20"/>
          <w:szCs w:val="20"/>
          <w:color w:val="auto"/>
        </w:rPr>
      </w:pPr>
    </w:p>
    <w:p>
      <w:pPr>
        <w:ind w:left="840" w:hanging="644"/>
        <w:spacing w:after="0" w:line="282"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the issue of shares which are redeemable (other than at the option of the issuer) before the Final Reduction Date or are otherwise classified as borrowings under GAAP);</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if (i) one of the primary reasons behind entering into the agreement is to raise finance or to finance the acquisition or construction of the asset or service in question or (ii) the agreement is in respect of the supply of assets or services and payment is due more than 180 days after the date of supply;</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sale and sale back or sale and leaseback agreement) of a type not referred to in any other paragraph of this definition having the commercial effect of a borrowing or otherwise classified as borrowings under GAAP; and</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or indemnity for any of the items referred to in paragraphs (a) to</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above.</w:t>
      </w:r>
    </w:p>
    <w:p>
      <w:pPr>
        <w:spacing w:after="0" w:line="203"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Year </w:t>
      </w:r>
      <w:r>
        <w:rPr>
          <w:rFonts w:ascii="Times New Roman" w:cs="Times New Roman" w:eastAsia="Times New Roman" w:hAnsi="Times New Roman"/>
          <w:sz w:val="18"/>
          <w:szCs w:val="18"/>
          <w:color w:val="auto"/>
        </w:rPr>
        <w:t>means the annual accounting period of the Group and the Group Members ending on or about the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Date in each year.</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Extension Option </w:t>
      </w:r>
      <w:r>
        <w:rPr>
          <w:rFonts w:ascii="Times New Roman" w:cs="Times New Roman" w:eastAsia="Times New Roman" w:hAnsi="Times New Roman"/>
          <w:sz w:val="18"/>
          <w:szCs w:val="18"/>
          <w:color w:val="auto"/>
        </w:rPr>
        <w:t>means the option to extend the Final Reduction Date by a period of 12 Months referred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First Extended Final Reduction Date </w:t>
      </w:r>
      <w:r>
        <w:rPr>
          <w:rFonts w:ascii="Times New Roman" w:cs="Times New Roman" w:eastAsia="Times New Roman" w:hAnsi="Times New Roman"/>
          <w:sz w:val="18"/>
          <w:szCs w:val="18"/>
          <w:color w:val="auto"/>
        </w:rPr>
        <w:t>means the date falling 12 Months after the Final Reduction Date.</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Reduction Date </w:t>
      </w:r>
      <w:r>
        <w:rPr>
          <w:rFonts w:ascii="Times New Roman" w:cs="Times New Roman" w:eastAsia="Times New Roman" w:hAnsi="Times New Roman"/>
          <w:sz w:val="18"/>
          <w:szCs w:val="18"/>
          <w:color w:val="auto"/>
        </w:rPr>
        <w:t>means, subject to clause 40.8 (</w:t>
      </w:r>
      <w:r>
        <w:rPr>
          <w:rFonts w:ascii="Times New Roman" w:cs="Times New Roman" w:eastAsia="Times New Roman" w:hAnsi="Times New Roman"/>
          <w:sz w:val="18"/>
          <w:szCs w:val="18"/>
          <w:i w:val="1"/>
          <w:iCs w:val="1"/>
          <w:color w:val="auto"/>
        </w:rPr>
        <w:t>Business Days</w:t>
      </w:r>
      <w:r>
        <w:rPr>
          <w:rFonts w:ascii="Times New Roman" w:cs="Times New Roman" w:eastAsia="Times New Roman" w:hAnsi="Times New Roman"/>
          <w:sz w:val="18"/>
          <w:szCs w:val="18"/>
          <w:color w:val="auto"/>
        </w:rPr>
        <w:t>), the earlier of (a) 8 February 2024 and (b) the date falling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Months after the date of this Agreement.</w:t>
      </w:r>
    </w:p>
    <w:p>
      <w:pPr>
        <w:spacing w:after="0" w:line="155"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Flag State </w:t>
      </w:r>
      <w:r>
        <w:rPr>
          <w:rFonts w:ascii="Times New Roman" w:cs="Times New Roman" w:eastAsia="Times New Roman" w:hAnsi="Times New Roman"/>
          <w:sz w:val="18"/>
          <w:szCs w:val="18"/>
          <w:color w:val="auto"/>
        </w:rPr>
        <w:t>means, in relation to a Ship, the country specified in respect of such Ship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Approved Flag State (provided that the provisions of clause 22.2 (</w:t>
      </w:r>
      <w:r>
        <w:rPr>
          <w:rFonts w:ascii="Times New Roman" w:cs="Times New Roman" w:eastAsia="Times New Roman" w:hAnsi="Times New Roman"/>
          <w:sz w:val="18"/>
          <w:szCs w:val="18"/>
          <w:i w:val="1"/>
          <w:iCs w:val="1"/>
          <w:color w:val="auto"/>
        </w:rPr>
        <w:t>Ship</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name and registration</w:t>
      </w:r>
      <w:r>
        <w:rPr>
          <w:rFonts w:ascii="Times New Roman" w:cs="Times New Roman" w:eastAsia="Times New Roman" w:hAnsi="Times New Roman"/>
          <w:sz w:val="18"/>
          <w:szCs w:val="18"/>
          <w:color w:val="auto"/>
        </w:rPr>
        <w:t xml:space="preserve">) are complied with) or such other state or territory as may be approved by all the Lenders, at the request of the relevant Owner, as being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Flag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Ship for the purposes of the Finance Documents.</w:t>
      </w:r>
    </w:p>
    <w:p>
      <w:pPr>
        <w:spacing w:after="0" w:line="170"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Fleet Vessel </w:t>
      </w:r>
      <w:r>
        <w:rPr>
          <w:rFonts w:ascii="Times New Roman" w:cs="Times New Roman" w:eastAsia="Times New Roman" w:hAnsi="Times New Roman"/>
          <w:sz w:val="18"/>
          <w:szCs w:val="18"/>
          <w:color w:val="auto"/>
        </w:rPr>
        <w:t>means each Mortgaged Ship and any other vessel directly or indirectly owned (wholly or partly) by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 International Accounting Standards, International Financial Reporting Standards and related interpretations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supplemented, issued or adopted from time to time by the International Accounting Standards Board to the extent applicable to the relevant financial statements.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GasLog Carriers </w:t>
      </w:r>
      <w:r>
        <w:rPr>
          <w:rFonts w:ascii="Times New Roman" w:cs="Times New Roman" w:eastAsia="Times New Roman" w:hAnsi="Times New Roman"/>
          <w:sz w:val="18"/>
          <w:szCs w:val="18"/>
          <w:color w:val="auto"/>
        </w:rPr>
        <w:t>means the entity described as such in more detail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Assignment </w:t>
      </w:r>
      <w:r>
        <w:rPr>
          <w:rFonts w:ascii="Times New Roman" w:cs="Times New Roman" w:eastAsia="Times New Roman" w:hAnsi="Times New Roman"/>
          <w:sz w:val="18"/>
          <w:szCs w:val="18"/>
          <w:color w:val="auto"/>
        </w:rPr>
        <w:t>means, in relation to a Ship in respect of which the mortgage is not an account current form, a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of its interest in the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Insurances, Earnings and Requisition Compensation by the relevant Owner in favour of the Security Agent and/or any of the other Finance Parties in the agreed form.</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GPHL </w:t>
      </w:r>
      <w:r>
        <w:rPr>
          <w:rFonts w:ascii="Times New Roman" w:cs="Times New Roman" w:eastAsia="Times New Roman" w:hAnsi="Times New Roman"/>
          <w:sz w:val="18"/>
          <w:szCs w:val="18"/>
          <w:color w:val="auto"/>
        </w:rPr>
        <w:t>means the entity described as such in more detail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89" w:name="page190"/>
    <w:bookmarkEnd w:id="189"/>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Borrower and its Subsidiaries for the time being and, for the purposes of clause 19.3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any other entity required to be treated as a subsidiary in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consolidated accounts in accordance with GAAP and/or any applicable law (and, for the avoidance of doubt, it includes the MLP Group).</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Group Member </w:t>
      </w:r>
      <w:r>
        <w:rPr>
          <w:rFonts w:ascii="Times New Roman" w:cs="Times New Roman" w:eastAsia="Times New Roman" w:hAnsi="Times New Roman"/>
          <w:sz w:val="18"/>
          <w:szCs w:val="18"/>
          <w:color w:val="auto"/>
        </w:rPr>
        <w:t>means any Obligor and any other entity which is part of the Group.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means the obligations of the Guarantors under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Hedging Contract </w:t>
      </w:r>
      <w:r>
        <w:rPr>
          <w:rFonts w:ascii="Times New Roman" w:cs="Times New Roman" w:eastAsia="Times New Roman" w:hAnsi="Times New Roman"/>
          <w:sz w:val="18"/>
          <w:szCs w:val="18"/>
          <w:color w:val="auto"/>
        </w:rPr>
        <w:t>means any Hedging Transaction between the Borrower and any Hedging Provider pursuant to any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Master Agreement and includes such Hedging Master Agreement and any Confirmations from time to time exchanged under it and governed by its terms relating to that Hedging Transaction and any contract in relation to such a Hedging Transaction constituted and/or evidenced by them and </w:t>
      </w:r>
      <w:r>
        <w:rPr>
          <w:rFonts w:ascii="Times New Roman" w:cs="Times New Roman" w:eastAsia="Times New Roman" w:hAnsi="Times New Roman"/>
          <w:sz w:val="18"/>
          <w:szCs w:val="18"/>
          <w:b w:val="1"/>
          <w:bCs w:val="1"/>
          <w:color w:val="auto"/>
        </w:rPr>
        <w:t>Hedging Contracts</w:t>
      </w:r>
      <w:r>
        <w:rPr>
          <w:rFonts w:ascii="Times New Roman" w:cs="Times New Roman" w:eastAsia="Times New Roman" w:hAnsi="Times New Roman"/>
          <w:sz w:val="18"/>
          <w:szCs w:val="18"/>
          <w:color w:val="auto"/>
        </w:rPr>
        <w:t xml:space="preserve"> means all of them.</w:t>
      </w:r>
    </w:p>
    <w:p>
      <w:pPr>
        <w:spacing w:after="0" w:line="176" w:lineRule="exact"/>
        <w:rPr>
          <w:sz w:val="20"/>
          <w:szCs w:val="20"/>
          <w:color w:val="auto"/>
        </w:rPr>
      </w:pPr>
    </w:p>
    <w:p>
      <w:pPr>
        <w:jc w:val="both"/>
        <w:ind w:left="20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Hedging Contract Security </w:t>
      </w:r>
      <w:r>
        <w:rPr>
          <w:rFonts w:ascii="Times New Roman" w:cs="Times New Roman" w:eastAsia="Times New Roman" w:hAnsi="Times New Roman"/>
          <w:sz w:val="18"/>
          <w:szCs w:val="18"/>
          <w:color w:val="auto"/>
        </w:rPr>
        <w:t>means a deed or other instrument by the Borrower in favour of the Security Agent in the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conferring a Security Interest over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and interests in any Hedging Contracts.</w:t>
      </w:r>
    </w:p>
    <w:p>
      <w:pPr>
        <w:spacing w:after="0" w:line="147"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Hedging Master Agreement </w:t>
      </w:r>
      <w:r>
        <w:rPr>
          <w:rFonts w:ascii="Times New Roman" w:cs="Times New Roman" w:eastAsia="Times New Roman" w:hAnsi="Times New Roman"/>
          <w:sz w:val="18"/>
          <w:szCs w:val="18"/>
          <w:color w:val="auto"/>
        </w:rPr>
        <w:t>means any agreement made or (as the context may require) to be made between the Borrower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Hedging Provider comprising a 2002 ISDA Master Agreement and the Schedule thereto in the agreed form.</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Hedging Provider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Hedging Provider; and</w:t>
      </w:r>
    </w:p>
    <w:p>
      <w:pPr>
        <w:spacing w:after="0" w:line="223" w:lineRule="exact"/>
        <w:rPr>
          <w:rFonts w:ascii="Times New Roman" w:cs="Times New Roman" w:eastAsia="Times New Roman" w:hAnsi="Times New Roman"/>
          <w:sz w:val="18"/>
          <w:szCs w:val="18"/>
          <w:color w:val="auto"/>
        </w:rPr>
      </w:pPr>
    </w:p>
    <w:p>
      <w:pPr>
        <w:ind w:left="840" w:hanging="644"/>
        <w:spacing w:after="0" w:line="284" w:lineRule="auto"/>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which has become a Party as a Hedging Provider in accordance with clause 32.12 (</w:t>
      </w:r>
      <w:r>
        <w:rPr>
          <w:rFonts w:ascii="Times New Roman" w:cs="Times New Roman" w:eastAsia="Times New Roman" w:hAnsi="Times New Roman"/>
          <w:sz w:val="18"/>
          <w:szCs w:val="18"/>
          <w:i w:val="1"/>
          <w:iCs w:val="1"/>
          <w:color w:val="auto"/>
        </w:rPr>
        <w:t>Accession of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Providers to this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Hedging Provider Accession Letter </w:t>
      </w:r>
      <w:r>
        <w:rPr>
          <w:rFonts w:ascii="Times New Roman" w:cs="Times New Roman" w:eastAsia="Times New Roman" w:hAnsi="Times New Roman"/>
          <w:sz w:val="18"/>
          <w:szCs w:val="18"/>
          <w:color w:val="auto"/>
        </w:rPr>
        <w:t>means a letter in the form set out in Schedule 5 (</w:t>
      </w:r>
      <w:r>
        <w:rPr>
          <w:rFonts w:ascii="Times New Roman" w:cs="Times New Roman" w:eastAsia="Times New Roman" w:hAnsi="Times New Roman"/>
          <w:sz w:val="18"/>
          <w:szCs w:val="18"/>
          <w:i w:val="1"/>
          <w:iCs w:val="1"/>
          <w:color w:val="auto"/>
        </w:rPr>
        <w:t>Form of Hedging Provider Accession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Letter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Hedging Transaction </w:t>
      </w:r>
      <w:r>
        <w:rPr>
          <w:rFonts w:ascii="Times New Roman" w:cs="Times New Roman" w:eastAsia="Times New Roman" w:hAnsi="Times New Roman"/>
          <w:sz w:val="18"/>
          <w:szCs w:val="18"/>
          <w:color w:val="auto"/>
        </w:rPr>
        <w:t>has, in relation to any Hedging Master Agreement, the meaning given to the term</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Transaction</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Hedging Master Agreement.</w:t>
      </w:r>
    </w:p>
    <w:p>
      <w:pPr>
        <w:spacing w:after="0" w:line="155"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Holding Company </w:t>
      </w:r>
      <w:r>
        <w:rPr>
          <w:rFonts w:ascii="Times New Roman" w:cs="Times New Roman" w:eastAsia="Times New Roman" w:hAnsi="Times New Roman"/>
          <w:sz w:val="18"/>
          <w:szCs w:val="18"/>
          <w:color w:val="auto"/>
        </w:rPr>
        <w:t>means, in relation to a company or corporation or other person, any other company or corporation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in respect of which it is a Subsidiary.</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Impaired Agent </w:t>
      </w:r>
      <w:r>
        <w:rPr>
          <w:rFonts w:ascii="Times New Roman" w:cs="Times New Roman" w:eastAsia="Times New Roman" w:hAnsi="Times New Roman"/>
          <w:sz w:val="18"/>
          <w:szCs w:val="18"/>
          <w:color w:val="auto"/>
        </w:rPr>
        <w:t>means the Agent at any time when:</w:t>
      </w:r>
    </w:p>
    <w:p>
      <w:pPr>
        <w:spacing w:after="0" w:line="229" w:lineRule="exact"/>
        <w:rPr>
          <w:sz w:val="20"/>
          <w:szCs w:val="20"/>
          <w:color w:val="auto"/>
        </w:rPr>
      </w:pPr>
    </w:p>
    <w:p>
      <w:pPr>
        <w:ind w:left="840" w:right="20" w:hanging="644"/>
        <w:spacing w:after="0" w:line="282" w:lineRule="auto"/>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224" w:lineRule="exact"/>
        <w:rPr>
          <w:rFonts w:ascii="Times New Roman" w:cs="Times New Roman" w:eastAsia="Times New Roman" w:hAnsi="Times New Roman"/>
          <w:sz w:val="18"/>
          <w:szCs w:val="18"/>
          <w:color w:val="auto"/>
        </w:rPr>
      </w:pPr>
    </w:p>
    <w:p>
      <w:pPr>
        <w:ind w:left="840" w:hanging="644"/>
        <w:spacing w:after="0" w:line="285" w:lineRule="auto"/>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Agent is also a Lender) it is a Defaulting Lender under paragraphs (a) or (b) of the definition of </w:t>
      </w:r>
      <w:r>
        <w:rPr>
          <w:rFonts w:ascii="Arial" w:cs="Arial" w:eastAsia="Arial" w:hAnsi="Arial"/>
          <w:sz w:val="18"/>
          <w:szCs w:val="18"/>
          <w:color w:val="auto"/>
        </w:rPr>
        <w:t>“</w:t>
      </w:r>
      <w:r>
        <w:rPr>
          <w:rFonts w:ascii="Times New Roman" w:cs="Times New Roman" w:eastAsia="Times New Roman" w:hAnsi="Times New Roman"/>
          <w:sz w:val="18"/>
          <w:szCs w:val="18"/>
          <w:color w:val="auto"/>
        </w:rPr>
        <w:t>Defaulting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 or</w:t>
      </w:r>
    </w:p>
    <w:p>
      <w:pPr>
        <w:spacing w:after="0" w:line="15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225" w:lineRule="exact"/>
        <w:rPr>
          <w:sz w:val="20"/>
          <w:szCs w:val="20"/>
          <w:color w:val="auto"/>
        </w:rPr>
      </w:pPr>
    </w:p>
    <w:p>
      <w:pPr>
        <w:ind w:left="1500" w:hanging="656"/>
        <w:spacing w:after="0"/>
        <w:tabs>
          <w:tab w:leader="none" w:pos="15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payment is made within 3 Business Days of its due date; or</w:t>
      </w:r>
    </w:p>
    <w:p>
      <w:pPr>
        <w:sectPr>
          <w:pgSz w:w="11900" w:h="16838" w:orient="portrait"/>
          <w:cols w:equalWidth="0" w:num="1">
            <w:col w:w="9460"/>
          </w:cols>
          <w:pgMar w:left="1440"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type w:val="continuous"/>
        </w:sectPr>
      </w:pPr>
    </w:p>
    <w:bookmarkStart w:id="190" w:name="page191"/>
    <w:bookmarkEnd w:id="190"/>
    <w:p>
      <w:pPr>
        <w:ind w:left="1500" w:hanging="656"/>
        <w:spacing w:after="0"/>
        <w:tabs>
          <w:tab w:leader="none" w:pos="15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Increased Costs </w:t>
      </w:r>
      <w:r>
        <w:rPr>
          <w:rFonts w:ascii="Times New Roman" w:cs="Times New Roman" w:eastAsia="Times New Roman" w:hAnsi="Times New Roman"/>
          <w:sz w:val="18"/>
          <w:szCs w:val="18"/>
          <w:color w:val="auto"/>
        </w:rPr>
        <w:t>has the meaning given to that term in clause 13.1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Indemnified Person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right="20" w:hanging="644"/>
        <w:spacing w:after="0" w:line="282" w:lineRule="auto"/>
        <w:tabs>
          <w:tab w:leader="none" w:pos="8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each Receiver, any Delegate and any attorney, agent or other person appointed by them under the Finance Documents;</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Affiliate of the persons referred to in paragraph (a) above; and</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officers, directors, employees, advisers, representatives or agents of any of the persons referred to in paragraph (a) above.</w:t>
      </w:r>
    </w:p>
    <w:p>
      <w:pPr>
        <w:spacing w:after="0" w:line="158"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Charter </w:t>
      </w:r>
      <w:r>
        <w:rPr>
          <w:rFonts w:ascii="Times New Roman" w:cs="Times New Roman" w:eastAsia="Times New Roman" w:hAnsi="Times New Roman"/>
          <w:sz w:val="18"/>
          <w:szCs w:val="18"/>
          <w:color w:val="auto"/>
        </w:rPr>
        <w:t>means, in relation to a Ship, the charter commitment (if any) for that Ship details of which are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as the same may be amended from time to time.</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Insolvency Event </w:t>
      </w:r>
      <w:r>
        <w:rPr>
          <w:rFonts w:ascii="Times New Roman" w:cs="Times New Roman" w:eastAsia="Times New Roman" w:hAnsi="Times New Roman"/>
          <w:sz w:val="18"/>
          <w:szCs w:val="18"/>
          <w:color w:val="auto"/>
        </w:rPr>
        <w:t>in relation to an entity means that such entity:</w:t>
      </w:r>
    </w:p>
    <w:p>
      <w:pPr>
        <w:spacing w:after="0" w:line="229" w:lineRule="exact"/>
        <w:rPr>
          <w:sz w:val="20"/>
          <w:szCs w:val="20"/>
          <w:color w:val="auto"/>
        </w:rPr>
      </w:pPr>
    </w:p>
    <w:p>
      <w:pPr>
        <w:ind w:left="840" w:hanging="644"/>
        <w:spacing w:after="0"/>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58" w:lineRule="auto"/>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rights, or a petition is presented for its winding-up or liquidation by it or such regulator, supervisor or similar official;</w:t>
      </w:r>
    </w:p>
    <w:p>
      <w:pPr>
        <w:spacing w:after="0" w:line="182" w:lineRule="exact"/>
        <w:rPr>
          <w:rFonts w:ascii="Times New Roman" w:cs="Times New Roman" w:eastAsia="Times New Roman" w:hAnsi="Times New Roman"/>
          <w:sz w:val="18"/>
          <w:szCs w:val="18"/>
          <w:color w:val="auto"/>
        </w:rPr>
      </w:pPr>
    </w:p>
    <w:p>
      <w:pPr>
        <w:jc w:val="both"/>
        <w:ind w:left="840" w:hanging="644"/>
        <w:spacing w:after="0" w:line="260" w:lineRule="auto"/>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2"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 up or liquidation; or</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30 days of the institution or presentation thereof;</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7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1" w:name="page192"/>
    <w:bookmarkEnd w:id="191"/>
    <w:p>
      <w:pPr>
        <w:ind w:left="840" w:hanging="644"/>
        <w:spacing w:after="0" w:line="282"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79"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(i) above; or</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58" w:lineRule="exact"/>
        <w:rPr>
          <w:sz w:val="20"/>
          <w:szCs w:val="20"/>
          <w:color w:val="auto"/>
        </w:rPr>
      </w:pPr>
    </w:p>
    <w:p>
      <w:pPr>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Insurance Notice </w:t>
      </w:r>
      <w:r>
        <w:rPr>
          <w:rFonts w:ascii="Times New Roman" w:cs="Times New Roman" w:eastAsia="Times New Roman" w:hAnsi="Times New Roman"/>
          <w:sz w:val="18"/>
          <w:szCs w:val="18"/>
          <w:color w:val="auto"/>
        </w:rPr>
        <w:t>means, in relation to a Ship, a notice of assignment of Insurances in the form scheduled to the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or Deed of Covenant (as the case may be) or in another approved form.</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Insurances </w:t>
      </w:r>
      <w:r>
        <w:rPr>
          <w:rFonts w:ascii="Times New Roman" w:cs="Times New Roman" w:eastAsia="Times New Roman" w:hAnsi="Times New Roman"/>
          <w:sz w:val="18"/>
          <w:szCs w:val="18"/>
          <w:color w:val="auto"/>
        </w:rPr>
        <w:t>means, in relation to a Ship:</w:t>
      </w:r>
    </w:p>
    <w:p>
      <w:pPr>
        <w:spacing w:after="0" w:line="229" w:lineRule="exact"/>
        <w:rPr>
          <w:sz w:val="20"/>
          <w:szCs w:val="20"/>
          <w:color w:val="auto"/>
        </w:rPr>
      </w:pPr>
    </w:p>
    <w:p>
      <w:pPr>
        <w:ind w:left="840" w:hanging="644"/>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and contracts of insurance;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entries in a protection and indemnity or war risks or other mutual insurance association,</w:t>
      </w:r>
    </w:p>
    <w:p>
      <w:pPr>
        <w:spacing w:after="0" w:line="224"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8"/>
          <w:szCs w:val="18"/>
          <w:color w:val="auto"/>
        </w:rPr>
        <w:t>in the name of such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Owner or the joint names of its Owner and any other person in respect of or in connection with such Ship and/or its Owner</w:t>
      </w:r>
      <w:r>
        <w:rPr>
          <w:rFonts w:ascii="Arial" w:cs="Arial" w:eastAsia="Arial" w:hAnsi="Arial"/>
          <w:sz w:val="18"/>
          <w:szCs w:val="18"/>
          <w:color w:val="auto"/>
        </w:rPr>
        <w:t>’</w:t>
      </w:r>
      <w:r>
        <w:rPr>
          <w:rFonts w:ascii="Times New Roman" w:cs="Times New Roman" w:eastAsia="Times New Roman" w:hAnsi="Times New Roman"/>
          <w:sz w:val="18"/>
          <w:szCs w:val="18"/>
          <w:color w:val="auto"/>
        </w:rPr>
        <w:t>s Earnings from the Ship and includes all benefits thereof (including the right to receive claims and to return of premiums).</w:t>
      </w:r>
    </w:p>
    <w:p>
      <w:pPr>
        <w:spacing w:after="0" w:line="173"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Payment </w:t>
      </w:r>
      <w:r>
        <w:rPr>
          <w:rFonts w:ascii="Times New Roman" w:cs="Times New Roman" w:eastAsia="Times New Roman" w:hAnsi="Times New Roman"/>
          <w:sz w:val="18"/>
          <w:szCs w:val="18"/>
          <w:color w:val="auto"/>
        </w:rPr>
        <w:t>means the aggregate amount of interest that is, or is scheduled to become, payable under any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Period </w:t>
      </w:r>
      <w:r>
        <w:rPr>
          <w:rFonts w:ascii="Times New Roman" w:cs="Times New Roman" w:eastAsia="Times New Roman" w:hAnsi="Times New Roman"/>
          <w:sz w:val="18"/>
          <w:szCs w:val="18"/>
          <w:color w:val="auto"/>
        </w:rPr>
        <w:t>means, in relation to a Loan, each period determined in accordance with clause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relation to an Unpaid Sum, each period determined in accordance with clause 9.3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Inventory of Hazardous Materials </w:t>
      </w:r>
      <w:r>
        <w:rPr>
          <w:rFonts w:ascii="Times New Roman" w:cs="Times New Roman" w:eastAsia="Times New Roman" w:hAnsi="Times New Roman"/>
          <w:sz w:val="18"/>
          <w:szCs w:val="18"/>
          <w:color w:val="auto"/>
        </w:rPr>
        <w:t>means, in relation to a Ship, a</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statement of compliance</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by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Classification Society and which annexes a list of any and all materials known to be potentially hazardous utilised in the construction of the Ship and which also may be referred to as a List of Hazardous Material.</w:t>
      </w:r>
    </w:p>
    <w:p>
      <w:pPr>
        <w:spacing w:after="0" w:line="170"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Key Charter </w:t>
      </w:r>
      <w:r>
        <w:rPr>
          <w:rFonts w:ascii="Times New Roman" w:cs="Times New Roman" w:eastAsia="Times New Roman" w:hAnsi="Times New Roman"/>
          <w:sz w:val="18"/>
          <w:szCs w:val="18"/>
          <w:color w:val="auto"/>
        </w:rPr>
        <w:t>means, in relation to a Ship, the Initial Charter for that Ship or (where the conditions specified in paragraph (ii)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7.11 (</w:t>
      </w:r>
      <w:r>
        <w:rPr>
          <w:rFonts w:ascii="Times New Roman" w:cs="Times New Roman" w:eastAsia="Times New Roman" w:hAnsi="Times New Roman"/>
          <w:sz w:val="18"/>
          <w:szCs w:val="18"/>
          <w:i w:val="1"/>
          <w:iCs w:val="1"/>
          <w:color w:val="auto"/>
        </w:rPr>
        <w:t>Mandatory prepayment and cancellation following Charter or Charter Guarantee termination</w:t>
      </w:r>
      <w:r>
        <w:rPr>
          <w:rFonts w:ascii="Times New Roman" w:cs="Times New Roman" w:eastAsia="Times New Roman" w:hAnsi="Times New Roman"/>
          <w:sz w:val="18"/>
          <w:szCs w:val="18"/>
          <w:color w:val="auto"/>
        </w:rPr>
        <w:t>) have been satisfied in accordance with that paragraph in respect of that Ship), the relevant Replacement Charter for that Initial Charter and that Ship.</w:t>
      </w:r>
    </w:p>
    <w:p>
      <w:pPr>
        <w:spacing w:after="0" w:line="176"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Last Availability Date </w:t>
      </w:r>
      <w:r>
        <w:rPr>
          <w:rFonts w:ascii="Times New Roman" w:cs="Times New Roman" w:eastAsia="Times New Roman" w:hAnsi="Times New Roman"/>
          <w:sz w:val="18"/>
          <w:szCs w:val="18"/>
          <w:color w:val="auto"/>
        </w:rPr>
        <w:t>means the date falling one (1) Month before the Final Reduction Date (or such later date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all the Lenders).</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Legal Opinion </w:t>
      </w:r>
      <w:r>
        <w:rPr>
          <w:rFonts w:ascii="Times New Roman" w:cs="Times New Roman" w:eastAsia="Times New Roman" w:hAnsi="Times New Roman"/>
          <w:sz w:val="18"/>
          <w:szCs w:val="18"/>
          <w:color w:val="auto"/>
        </w:rPr>
        <w:t>means any legal opinion delivered to the Agent under clause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(Conditions of Utilisation).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Legal Reservations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right="20" w:hanging="644"/>
        <w:spacing w:after="0" w:line="282" w:lineRule="auto"/>
        <w:tabs>
          <w:tab w:leader="none" w:pos="8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192" w:name="page193"/>
    <w:bookmarkEnd w:id="192"/>
    <w:p>
      <w:pPr>
        <w:ind w:left="840" w:hanging="644"/>
        <w:spacing w:after="0"/>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the Limitation Act 1980 and the Foreign Limitation Periods Act 1984;</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 undertaking to assume liability for, or indemnify a person against, non-payment of UK stamp duty may be void and defences of set-off or counterclaim;</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 and</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in a Legal Opinion.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Lender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and</w:t>
      </w:r>
    </w:p>
    <w:p>
      <w:pPr>
        <w:spacing w:after="0" w:line="224" w:lineRule="exact"/>
        <w:rPr>
          <w:rFonts w:ascii="Times New Roman" w:cs="Times New Roman" w:eastAsia="Times New Roman" w:hAnsi="Times New Roman"/>
          <w:sz w:val="18"/>
          <w:szCs w:val="18"/>
          <w:color w:val="auto"/>
        </w:rPr>
      </w:pPr>
    </w:p>
    <w:p>
      <w:pPr>
        <w:ind w:left="840" w:hanging="644"/>
        <w:spacing w:after="0" w:line="281" w:lineRule="auto"/>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bank, financial institution, trust, fund or other entity which has become a Party as a </w:t>
      </w:r>
      <w:r>
        <w:rPr>
          <w:rFonts w:ascii="Arial" w:cs="Arial" w:eastAsia="Arial" w:hAnsi="Arial"/>
          <w:sz w:val="18"/>
          <w:szCs w:val="18"/>
          <w:color w:val="auto"/>
        </w:rPr>
        <w:t>“</w:t>
      </w:r>
      <w:r>
        <w:rPr>
          <w:rFonts w:ascii="Times New Roman" w:cs="Times New Roman" w:eastAsia="Times New Roman" w:hAnsi="Times New Roman"/>
          <w:sz w:val="18"/>
          <w:szCs w:val="18"/>
          <w:color w:val="auto"/>
        </w:rPr>
        <w:t>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accordance with clause 32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which in each case has not ceased to be a Lender as such in accordance with the terms of this Agreement.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a loan made or to be made under the Facility or the principal amount outstanding for the time being of that loan.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the number of days specified as such in the Reference Rate Terms.</w:t>
      </w:r>
    </w:p>
    <w:p>
      <w:pPr>
        <w:spacing w:after="0" w:line="225" w:lineRule="exact"/>
        <w:rPr>
          <w:sz w:val="20"/>
          <w:szCs w:val="20"/>
          <w:color w:val="auto"/>
        </w:rPr>
      </w:pPr>
    </w:p>
    <w:p>
      <w:pPr>
        <w:jc w:val="both"/>
        <w:ind w:left="20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Loss Payable Clauses </w:t>
      </w:r>
      <w:r>
        <w:rPr>
          <w:rFonts w:ascii="Times New Roman" w:cs="Times New Roman" w:eastAsia="Times New Roman" w:hAnsi="Times New Roman"/>
          <w:sz w:val="18"/>
          <w:szCs w:val="18"/>
          <w:color w:val="auto"/>
        </w:rPr>
        <w:t>means, in relation to a Ship, the provisions concerning payment of claims under the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Insurances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scheduled to the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General Assignment or Deed of Covenant (as the case may be) or in another approved form.</w:t>
      </w:r>
    </w:p>
    <w:p>
      <w:pPr>
        <w:spacing w:after="0" w:line="148"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Losses </w:t>
      </w:r>
      <w:r>
        <w:rPr>
          <w:rFonts w:ascii="Times New Roman" w:cs="Times New Roman" w:eastAsia="Times New Roman" w:hAnsi="Times New Roman"/>
          <w:sz w:val="18"/>
          <w:szCs w:val="18"/>
          <w:color w:val="auto"/>
        </w:rPr>
        <w:t>means any costs, expenses (including, but not limited to legal fees), payments, charges, losses, demands, liabilities,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VAT), claims, actions, proceedings, penalties, fines, damages, judgments, orders or other sanctions.</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Casualty </w:t>
      </w:r>
      <w:r>
        <w:rPr>
          <w:rFonts w:ascii="Times New Roman" w:cs="Times New Roman" w:eastAsia="Times New Roman" w:hAnsi="Times New Roman"/>
          <w:sz w:val="18"/>
          <w:szCs w:val="18"/>
          <w:color w:val="auto"/>
        </w:rPr>
        <w:t>means any casualty to a vessel for which the total insurance claim, inclusive of any deductible, exceeds 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the Major Casualty Amount.</w:t>
      </w:r>
    </w:p>
    <w:p>
      <w:pPr>
        <w:spacing w:after="0" w:line="155"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Casualty Amount </w:t>
      </w:r>
      <w:r>
        <w:rPr>
          <w:rFonts w:ascii="Times New Roman" w:cs="Times New Roman" w:eastAsia="Times New Roman" w:hAnsi="Times New Roman"/>
          <w:sz w:val="18"/>
          <w:szCs w:val="18"/>
          <w:color w:val="auto"/>
        </w:rPr>
        <w:t>means, in relation to a Ship, the amount specified as such against the name of that Ship in 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for such Ship or the equivalent in any other currency.</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Majority Lenders </w:t>
      </w:r>
      <w:r>
        <w:rPr>
          <w:rFonts w:ascii="Times New Roman" w:cs="Times New Roman" w:eastAsia="Times New Roman" w:hAnsi="Times New Roman"/>
          <w:sz w:val="18"/>
          <w:szCs w:val="18"/>
          <w:color w:val="auto"/>
        </w:rPr>
        <w:t>means a Lender or Lenders whose Commitments aggregate more than 66 2/3 per cent of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if the Total Commitments have been reduced to zero, aggregated more than 66 2/3 per cent of the Total Commitments immediately prior to that reduction).</w:t>
      </w:r>
    </w:p>
    <w:p>
      <w:pPr>
        <w:spacing w:after="0" w:line="171"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Manager </w:t>
      </w:r>
      <w:r>
        <w:rPr>
          <w:rFonts w:ascii="Times New Roman" w:cs="Times New Roman" w:eastAsia="Times New Roman" w:hAnsi="Times New Roman"/>
          <w:sz w:val="18"/>
          <w:szCs w:val="18"/>
          <w:color w:val="auto"/>
        </w:rPr>
        <w:t>means, in relation to a Ship, (a) GasLog LNG Services Ltd. of Bermuda as commercial manager and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or (b) any other wholly-owned Subsidiary of the Borrower or (c) any other independent commercial or technical manager entity agreed in writing from time to time between the Borrower and the Agent (acting on the instructions of the Majority Lenders), provided it is appointed as manager of that Ship by the relevant Owner in accordance with clause 22.4(a) (</w:t>
      </w: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Manager</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s Undertaking </w:t>
      </w:r>
      <w:r>
        <w:rPr>
          <w:rFonts w:ascii="Times New Roman" w:cs="Times New Roman" w:eastAsia="Times New Roman" w:hAnsi="Times New Roman"/>
          <w:sz w:val="18"/>
          <w:szCs w:val="18"/>
          <w:color w:val="auto"/>
        </w:rPr>
        <w:t>means, in relation to a Ship, an undertaking by any manager of the Ship to the Security Agent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form pursuant to clause 22.4(a) (</w:t>
      </w: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two point zero per cent (2.0%) per annum;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3" w:name="page194"/>
    <w:bookmarkEnd w:id="193"/>
    <w:p>
      <w:pPr>
        <w:ind w:left="840" w:right="20" w:hanging="644"/>
        <w:spacing w:after="0" w:line="282" w:lineRule="auto"/>
        <w:tabs>
          <w:tab w:leader="none" w:pos="8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rate per annum as may be determined from time to time in accordance with the adjustment provisions of clause 9.5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Material Adverse Effect </w:t>
      </w:r>
      <w:r>
        <w:rPr>
          <w:rFonts w:ascii="Times New Roman" w:cs="Times New Roman" w:eastAsia="Times New Roman" w:hAnsi="Times New Roman"/>
          <w:sz w:val="18"/>
          <w:szCs w:val="18"/>
          <w:color w:val="auto"/>
        </w:rPr>
        <w:t>means a material adverse effect on:</w:t>
      </w:r>
    </w:p>
    <w:p>
      <w:pPr>
        <w:spacing w:after="0" w:line="229" w:lineRule="exact"/>
        <w:rPr>
          <w:sz w:val="20"/>
          <w:szCs w:val="20"/>
          <w:color w:val="auto"/>
        </w:rPr>
      </w:pPr>
    </w:p>
    <w:p>
      <w:pPr>
        <w:ind w:left="840" w:hanging="644"/>
        <w:spacing w:after="0"/>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 financial condition or performance of the Group taken as a whole;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 Obligor to perform its obligations under any of the Finance Documents; or</w:t>
      </w:r>
    </w:p>
    <w:p>
      <w:pPr>
        <w:spacing w:after="0" w:line="225" w:lineRule="exact"/>
        <w:rPr>
          <w:rFonts w:ascii="Times New Roman" w:cs="Times New Roman" w:eastAsia="Times New Roman" w:hAnsi="Times New Roman"/>
          <w:sz w:val="18"/>
          <w:szCs w:val="18"/>
          <w:color w:val="auto"/>
        </w:rPr>
      </w:pPr>
    </w:p>
    <w:p>
      <w:pPr>
        <w:jc w:val="both"/>
        <w:ind w:left="840" w:right="20" w:hanging="644"/>
        <w:spacing w:after="0" w:line="266" w:lineRule="auto"/>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Minimum Value </w:t>
      </w:r>
      <w:r>
        <w:rPr>
          <w:rFonts w:ascii="Times New Roman" w:cs="Times New Roman" w:eastAsia="Times New Roman" w:hAnsi="Times New Roman"/>
          <w:sz w:val="18"/>
          <w:szCs w:val="18"/>
          <w:color w:val="auto"/>
        </w:rPr>
        <w:t>means, at any time:</w:t>
      </w:r>
    </w:p>
    <w:p>
      <w:pPr>
        <w:spacing w:after="0" w:line="229" w:lineRule="exact"/>
        <w:rPr>
          <w:sz w:val="20"/>
          <w:szCs w:val="20"/>
          <w:color w:val="auto"/>
        </w:rPr>
      </w:pPr>
    </w:p>
    <w:p>
      <w:pPr>
        <w:ind w:left="840" w:hanging="644"/>
        <w:spacing w:after="0"/>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dollars which is at that time 120 per cent of the Total Commitments minus</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additional security in the form of pledged and/or charged dollar deposits then held by the Security Agent or any other Finance Party and provided under clause 7.11 (</w:t>
      </w:r>
      <w:r>
        <w:rPr>
          <w:rFonts w:ascii="Times New Roman" w:cs="Times New Roman" w:eastAsia="Times New Roman" w:hAnsi="Times New Roman"/>
          <w:sz w:val="18"/>
          <w:szCs w:val="18"/>
          <w:i w:val="1"/>
          <w:iCs w:val="1"/>
          <w:color w:val="auto"/>
        </w:rPr>
        <w:t>Mandatory prepayment and cancellation following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Charter or Charter Guarantee termination</w:t>
      </w:r>
      <w:r>
        <w:rPr>
          <w:rFonts w:ascii="Times New Roman" w:cs="Times New Roman" w:eastAsia="Times New Roman" w:hAnsi="Times New Roman"/>
          <w:sz w:val="18"/>
          <w:szCs w:val="18"/>
          <w:color w:val="auto"/>
        </w:rPr>
        <w:t>) or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as most recently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MLP </w:t>
      </w:r>
      <w:r>
        <w:rPr>
          <w:rFonts w:ascii="Times New Roman" w:cs="Times New Roman" w:eastAsia="Times New Roman" w:hAnsi="Times New Roman"/>
          <w:sz w:val="18"/>
          <w:szCs w:val="18"/>
          <w:color w:val="auto"/>
        </w:rPr>
        <w:t>means the entity described as such in more detail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MLP Group </w:t>
      </w:r>
      <w:r>
        <w:rPr>
          <w:rFonts w:ascii="Times New Roman" w:cs="Times New Roman" w:eastAsia="Times New Roman" w:hAnsi="Times New Roman"/>
          <w:sz w:val="18"/>
          <w:szCs w:val="18"/>
          <w:color w:val="auto"/>
        </w:rPr>
        <w:t>means MLP and its Subsidiaries for the time being and, for the purposes of clause</w:t>
      </w:r>
    </w:p>
    <w:p>
      <w:pPr>
        <w:spacing w:after="0" w:line="30"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and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any other entity required to be treated as a subsidiary in MLP</w:t>
      </w:r>
      <w:r>
        <w:rPr>
          <w:rFonts w:ascii="Arial" w:cs="Arial" w:eastAsia="Arial" w:hAnsi="Arial"/>
          <w:sz w:val="18"/>
          <w:szCs w:val="18"/>
          <w:color w:val="auto"/>
        </w:rPr>
        <w:t>’</w:t>
      </w:r>
      <w:r>
        <w:rPr>
          <w:rFonts w:ascii="Times New Roman" w:cs="Times New Roman" w:eastAsia="Times New Roman" w:hAnsi="Times New Roman"/>
          <w:sz w:val="18"/>
          <w:szCs w:val="18"/>
          <w:color w:val="auto"/>
        </w:rPr>
        <w:t>s consolidated accounts in accordance with GAAP and/or any applicable law.</w:t>
      </w:r>
    </w:p>
    <w:p>
      <w:pPr>
        <w:spacing w:after="0" w:line="177"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period starting on one day in a calendar month and ending on the numerically corresponding day in the next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month, except that in relation to an Interest Period (or any other period for the accrual of commission or fees) or a period at the end of which a Reduction Date falls,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179"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Mortgage </w:t>
      </w:r>
      <w:r>
        <w:rPr>
          <w:rFonts w:ascii="Times New Roman" w:cs="Times New Roman" w:eastAsia="Times New Roman" w:hAnsi="Times New Roman"/>
          <w:sz w:val="18"/>
          <w:szCs w:val="18"/>
          <w:color w:val="auto"/>
        </w:rPr>
        <w:t>means, in relation to a Ship, a first priority or (as the case may be) first preferred mortgage of the Ship in the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by the relevant Owner in favour of the Security Agent and/or any of the other Finance Parties.</w:t>
      </w:r>
    </w:p>
    <w:p>
      <w:pPr>
        <w:spacing w:after="0" w:line="15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Mortgage Period </w:t>
      </w:r>
      <w:r>
        <w:rPr>
          <w:rFonts w:ascii="Times New Roman" w:cs="Times New Roman" w:eastAsia="Times New Roman" w:hAnsi="Times New Roman"/>
          <w:sz w:val="18"/>
          <w:szCs w:val="18"/>
          <w:color w:val="auto"/>
        </w:rPr>
        <w:t>means, in relation to a Mortgaged Ship, the period from the date the Mortgage over that Ship is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until the date such Mortgage is released and discharged or, if earlier, its Total Loss Date.</w:t>
      </w:r>
    </w:p>
    <w:p>
      <w:pPr>
        <w:spacing w:after="0" w:line="155"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Mortgaged Ship </w:t>
      </w:r>
      <w:r>
        <w:rPr>
          <w:rFonts w:ascii="Times New Roman" w:cs="Times New Roman" w:eastAsia="Times New Roman" w:hAnsi="Times New Roman"/>
          <w:sz w:val="18"/>
          <w:szCs w:val="18"/>
          <w:color w:val="auto"/>
        </w:rPr>
        <w:t>means, at any relevant time, any Ship which is subject to a Mortgage and/or whose Earnings, Insurances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Requisition Compensation are subject to a Security Interest under the Finance Documents.</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New Lender </w:t>
      </w:r>
      <w:r>
        <w:rPr>
          <w:rFonts w:ascii="Times New Roman" w:cs="Times New Roman" w:eastAsia="Times New Roman" w:hAnsi="Times New Roman"/>
          <w:sz w:val="18"/>
          <w:szCs w:val="18"/>
          <w:color w:val="auto"/>
        </w:rPr>
        <w:t>has the meaning given to that term in clause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Non Acceptable Charterer </w:t>
      </w:r>
      <w:r>
        <w:rPr>
          <w:rFonts w:ascii="Times New Roman" w:cs="Times New Roman" w:eastAsia="Times New Roman" w:hAnsi="Times New Roman"/>
          <w:sz w:val="18"/>
          <w:szCs w:val="18"/>
          <w:color w:val="auto"/>
        </w:rPr>
        <w:t>means a charterer who:</w:t>
      </w:r>
    </w:p>
    <w:p>
      <w:pPr>
        <w:spacing w:after="0" w:line="229" w:lineRule="exact"/>
        <w:rPr>
          <w:sz w:val="20"/>
          <w:szCs w:val="20"/>
          <w:color w:val="auto"/>
        </w:rPr>
      </w:pPr>
    </w:p>
    <w:p>
      <w:pPr>
        <w:jc w:val="both"/>
        <w:ind w:left="840" w:hanging="644"/>
        <w:spacing w:after="0" w:line="268" w:lineRule="auto"/>
        <w:tabs>
          <w:tab w:leader="none" w:pos="8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subject to Sanctions or otherwise a Prohibited Person, other than any such charterer with whom the relevant chartering activity by an Owner is not in breach of Sanctions but only on condition that such charterer is not designated by OFAC as a </w:t>
      </w:r>
      <w:r>
        <w:rPr>
          <w:rFonts w:ascii="Arial" w:cs="Arial" w:eastAsia="Arial" w:hAnsi="Arial"/>
          <w:sz w:val="18"/>
          <w:szCs w:val="18"/>
          <w:color w:val="auto"/>
        </w:rPr>
        <w:t>“</w:t>
      </w:r>
      <w:r>
        <w:rPr>
          <w:rFonts w:ascii="Times New Roman" w:cs="Times New Roman" w:eastAsia="Times New Roman" w:hAnsi="Times New Roman"/>
          <w:sz w:val="18"/>
          <w:szCs w:val="18"/>
          <w:color w:val="auto"/>
        </w:rPr>
        <w:t>Specially Designated National</w:t>
      </w:r>
      <w:r>
        <w:rPr>
          <w:rFonts w:ascii="Arial" w:cs="Arial" w:eastAsia="Arial" w:hAnsi="Arial"/>
          <w:sz w:val="18"/>
          <w:szCs w:val="18"/>
          <w:color w:val="auto"/>
        </w:rPr>
        <w:t>”</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4" w:name="page195"/>
    <w:bookmarkEnd w:id="194"/>
    <w:p>
      <w:pPr>
        <w:jc w:val="both"/>
        <w:ind w:left="840" w:hanging="644"/>
        <w:spacing w:after="0" w:line="260" w:lineRule="auto"/>
        <w:tabs>
          <w:tab w:leader="none" w:pos="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knowledge) is subject to a final, non appealable order or judgment of a court of competent jurisdiction being the outcome of proceedings regarding Sanctions, anti bribery, anti corruption, securities or environmental laws violations, to the extent such order or judgment would reasonably be expected to have a material adverse effect on the standing and reputation of such charterer.</w:t>
      </w:r>
    </w:p>
    <w:p>
      <w:pPr>
        <w:spacing w:after="0" w:line="179" w:lineRule="exact"/>
        <w:rPr>
          <w:sz w:val="20"/>
          <w:szCs w:val="20"/>
          <w:color w:val="auto"/>
        </w:rPr>
      </w:pPr>
    </w:p>
    <w:p>
      <w:pPr>
        <w:ind w:left="200" w:right="2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Notifiable Debt Purchase Transaction </w:t>
      </w:r>
      <w:r>
        <w:rPr>
          <w:rFonts w:ascii="Times New Roman" w:cs="Times New Roman" w:eastAsia="Times New Roman" w:hAnsi="Times New Roman"/>
          <w:sz w:val="18"/>
          <w:szCs w:val="18"/>
          <w:color w:val="auto"/>
        </w:rPr>
        <w:t>has the meaning given to that term in clause 46.8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(Disenfranchisement of Borrower Affiliates)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Obligors </w:t>
      </w:r>
      <w:r>
        <w:rPr>
          <w:rFonts w:ascii="Times New Roman" w:cs="Times New Roman" w:eastAsia="Times New Roman" w:hAnsi="Times New Roman"/>
          <w:sz w:val="18"/>
          <w:szCs w:val="18"/>
          <w:color w:val="auto"/>
        </w:rPr>
        <w:t>means the Borrower, the Guarantors and the Managers and</w:t>
      </w:r>
      <w:r>
        <w:rPr>
          <w:rFonts w:ascii="Times New Roman" w:cs="Times New Roman" w:eastAsia="Times New Roman" w:hAnsi="Times New Roman"/>
          <w:sz w:val="18"/>
          <w:szCs w:val="18"/>
          <w:b w:val="1"/>
          <w:bCs w:val="1"/>
          <w:color w:val="auto"/>
        </w:rPr>
        <w:t xml:space="preserve"> Obligor </w:t>
      </w:r>
      <w:r>
        <w:rPr>
          <w:rFonts w:ascii="Times New Roman" w:cs="Times New Roman" w:eastAsia="Times New Roman" w:hAnsi="Times New Roman"/>
          <w:sz w:val="18"/>
          <w:szCs w:val="18"/>
          <w:color w:val="auto"/>
        </w:rPr>
        <w:t>means any one of them.</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OFAC </w:t>
      </w:r>
      <w:r>
        <w:rPr>
          <w:rFonts w:ascii="Times New Roman" w:cs="Times New Roman" w:eastAsia="Times New Roman" w:hAnsi="Times New Roman"/>
          <w:sz w:val="18"/>
          <w:szCs w:val="18"/>
          <w:color w:val="auto"/>
        </w:rPr>
        <w:t>means the Office of Foreign Assets Control of the US Department of the Treasury.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Original Financial Statements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line="282" w:lineRule="auto"/>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audited consolidated financial statements of the Group for its Financial Year ended 31 December 2022 and semi-annual unaudited consolidated financial statements of the Group for the financial half-year ended 30 June 2023;</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audited consolidated financial statements of MLP Group for its Financial Year ended 31 December 2022 and semi-annual unaudited consolidated financial statements of MLP Group for the financial half-year ended 30 June 2023;</w:t>
      </w:r>
    </w:p>
    <w:p>
      <w:pPr>
        <w:spacing w:after="0" w:line="17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unaudited consolidated financial statements of GPHL for its Financial Year ended 31 December 2022 and the semi-annual unaudited consolidated financial statements of GPHL for the financial half-year ended 30 June 2023;</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unaudited consolidated financial statements of GasLog Carriers for its Financial Year ended 31 December 2022 and the semi-annual unaudited consolidated financial statements of GasLog Carriers for the financial half-year ended 30 June 2023.</w:t>
      </w:r>
    </w:p>
    <w:p>
      <w:pPr>
        <w:spacing w:after="0" w:line="172" w:lineRule="exact"/>
        <w:rPr>
          <w:sz w:val="20"/>
          <w:szCs w:val="20"/>
          <w:color w:val="auto"/>
        </w:rPr>
      </w:pPr>
    </w:p>
    <w:p>
      <w:pPr>
        <w:jc w:val="both"/>
        <w:ind w:left="20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Original Jurisdiction </w:t>
      </w:r>
      <w:r>
        <w:rPr>
          <w:rFonts w:ascii="Times New Roman" w:cs="Times New Roman" w:eastAsia="Times New Roman" w:hAnsi="Times New Roman"/>
          <w:sz w:val="18"/>
          <w:szCs w:val="18"/>
          <w:color w:val="auto"/>
        </w:rPr>
        <w:t>means, in relation to an Obligor which is an Obligor as at the date of this Agreement, the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whose laws that Obligor is incorporated as at the date of this Agreement or, in the case of any other person who becomes an Obligor, as at the date on which that person becomes an Obligor.</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Original Security Documents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Mortgages over each of the Ships;</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Deeds of Covenant in relation to each of the Ships in respect of which the Mortgage is in account current form;</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Assignments in relation to each of the Ships in respect of which the Mortgage is in preferred form;</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Assignment in relation to the Charter Documents in respect of each Charter for each Ship;</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Security in relation to each Account;</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Hedging Contract Security;</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Quiet Enjoyment Agreement in relation to any Ship; and</w:t>
      </w:r>
    </w:p>
    <w:p>
      <w:pPr>
        <w:spacing w:after="0" w:line="224" w:lineRule="exact"/>
        <w:rPr>
          <w:rFonts w:ascii="Times New Roman" w:cs="Times New Roman" w:eastAsia="Times New Roman" w:hAnsi="Times New Roman"/>
          <w:sz w:val="18"/>
          <w:szCs w:val="18"/>
          <w:color w:val="auto"/>
        </w:rPr>
      </w:pPr>
    </w:p>
    <w:p>
      <w:pPr>
        <w:ind w:left="840" w:hanging="644"/>
        <w:spacing w:after="0" w:line="281" w:lineRule="auto"/>
        <w:tabs>
          <w:tab w:leader="none" w:pos="8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Undertaking from each Manager in relation to each Ship including where required under clause 22.4(a) </w:t>
      </w: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Outgoing Agents </w:t>
      </w:r>
      <w:r>
        <w:rPr>
          <w:rFonts w:ascii="Times New Roman" w:cs="Times New Roman" w:eastAsia="Times New Roman" w:hAnsi="Times New Roman"/>
          <w:sz w:val="18"/>
          <w:szCs w:val="18"/>
          <w:color w:val="auto"/>
        </w:rPr>
        <w:t>means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5" w:name="page196"/>
    <w:bookmarkEnd w:id="195"/>
    <w:p>
      <w:pPr>
        <w:ind w:left="840" w:hanging="644"/>
        <w:spacing w:after="0" w:line="282" w:lineRule="auto"/>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Nordea Bank Abp, Filial I Norge in connection to the facility referred to in paragraph (a) of the definition of Existing Indebtedness;</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Nordea Bank Abp, Filial I Norge in connection to the facility referred to in paragraph (b) of the definition of Existing Indebtedness;</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 AMRO Bank N.V. in connection to the facility referred to in paragraph (c) of the definition of Existing Indebtedness;</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DNB Bank ASA in connection to the facility referred to in paragraph (d) of the definition of Existing Indebtedness;</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DNB Bank ASA in connection to the facility referred to in paragraph (e) of the definition of Existing Indebtedness;</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BNP Paribas in connection to the facility referred to in paragraph (f) of the definition of Existing Indebtedness; and</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 AMRO Bank N.V. in connection to the facility referred to in paragraph (g) of the definition of Existing Indebtedness.</w:t>
      </w:r>
    </w:p>
    <w:p>
      <w:pPr>
        <w:spacing w:after="0" w:line="158"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means each of the entities described as such in more detail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and, in relation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 the person (being one of the Guarantors) specified against the name of that Ship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Participating Member State </w:t>
      </w:r>
      <w:r>
        <w:rPr>
          <w:rFonts w:ascii="Times New Roman" w:cs="Times New Roman" w:eastAsia="Times New Roman" w:hAnsi="Times New Roman"/>
          <w:sz w:val="18"/>
          <w:szCs w:val="18"/>
          <w:color w:val="auto"/>
        </w:rPr>
        <w:t>means any member state of the European Union that has the euro as its lawful currency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legislation of the European Union relating to Economic and Monetary Union.</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Party </w:t>
      </w:r>
      <w:r>
        <w:rPr>
          <w:rFonts w:ascii="Times New Roman" w:cs="Times New Roman" w:eastAsia="Times New Roman" w:hAnsi="Times New Roman"/>
          <w:sz w:val="18"/>
          <w:szCs w:val="18"/>
          <w:color w:val="auto"/>
        </w:rPr>
        <w:t>means a party to this Agreement.</w:t>
      </w:r>
    </w:p>
    <w:p>
      <w:pPr>
        <w:spacing w:after="0" w:line="225"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Permitted Holder </w:t>
      </w:r>
      <w:r>
        <w:rPr>
          <w:rFonts w:ascii="Times New Roman" w:cs="Times New Roman" w:eastAsia="Times New Roman" w:hAnsi="Times New Roman"/>
          <w:sz w:val="18"/>
          <w:szCs w:val="18"/>
          <w:color w:val="auto"/>
        </w:rPr>
        <w:t>means the person disclosed by the Obligors to the Lenders in the negotiation of this Agreement as the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controlling the affairs and composition of the majority of the board of directors of the Borrower (as such person is set out in item 7 (headed </w:t>
      </w:r>
      <w:r>
        <w:rPr>
          <w:rFonts w:ascii="Arial" w:cs="Arial" w:eastAsia="Arial" w:hAnsi="Arial"/>
          <w:sz w:val="18"/>
          <w:szCs w:val="18"/>
          <w:color w:val="auto"/>
        </w:rPr>
        <w:t>“</w:t>
      </w:r>
      <w:r>
        <w:rPr>
          <w:rFonts w:ascii="Times New Roman" w:cs="Times New Roman" w:eastAsia="Times New Roman" w:hAnsi="Times New Roman"/>
          <w:sz w:val="18"/>
          <w:szCs w:val="18"/>
          <w:color w:val="auto"/>
        </w:rPr>
        <w:t>Major Shareholder and related party transactions</w:t>
      </w:r>
      <w:r>
        <w:rPr>
          <w:rFonts w:ascii="Arial" w:cs="Arial" w:eastAsia="Arial" w:hAnsi="Arial"/>
          <w:sz w:val="18"/>
          <w:szCs w:val="18"/>
          <w:color w:val="auto"/>
        </w:rPr>
        <w:t>”</w:t>
      </w:r>
      <w:r>
        <w:rPr>
          <w:rFonts w:ascii="Times New Roman" w:cs="Times New Roman" w:eastAsia="Times New Roman" w:hAnsi="Times New Roman"/>
          <w:sz w:val="18"/>
          <w:szCs w:val="18"/>
          <w:color w:val="auto"/>
        </w:rPr>
        <w:t>) of the form 20-F relevant to the annual report submitted to the United States Securities and Exchange Commission by the Borrower for the financial year ended on 31 December 2022).</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Permitted Maritime Liens </w:t>
      </w:r>
      <w:r>
        <w:rPr>
          <w:rFonts w:ascii="Times New Roman" w:cs="Times New Roman" w:eastAsia="Times New Roman" w:hAnsi="Times New Roman"/>
          <w:sz w:val="18"/>
          <w:szCs w:val="18"/>
          <w:color w:val="auto"/>
        </w:rPr>
        <w:t>means, in relation to any Mortgaged Ship:</w:t>
      </w:r>
    </w:p>
    <w:p>
      <w:pPr>
        <w:spacing w:after="0" w:line="228" w:lineRule="exact"/>
        <w:rPr>
          <w:sz w:val="20"/>
          <w:szCs w:val="20"/>
          <w:color w:val="auto"/>
        </w:rPr>
      </w:pPr>
    </w:p>
    <w:p>
      <w:pPr>
        <w:ind w:left="840" w:hanging="644"/>
        <w:spacing w:after="0" w:line="281" w:lineRule="auto"/>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Default is continuing, any ship repairer</w:t>
      </w:r>
      <w:r>
        <w:rPr>
          <w:rFonts w:ascii="Arial" w:cs="Arial" w:eastAsia="Arial" w:hAnsi="Arial"/>
          <w:sz w:val="18"/>
          <w:szCs w:val="18"/>
          <w:color w:val="auto"/>
        </w:rPr>
        <w:t>’</w:t>
      </w:r>
      <w:r>
        <w:rPr>
          <w:rFonts w:ascii="Times New Roman" w:cs="Times New Roman" w:eastAsia="Times New Roman" w:hAnsi="Times New Roman"/>
          <w:sz w:val="18"/>
          <w:szCs w:val="18"/>
          <w:color w:val="auto"/>
        </w:rPr>
        <w:t>s or outfitter</w:t>
      </w:r>
      <w:r>
        <w:rPr>
          <w:rFonts w:ascii="Arial" w:cs="Arial" w:eastAsia="Arial" w:hAnsi="Arial"/>
          <w:sz w:val="18"/>
          <w:szCs w:val="18"/>
          <w:color w:val="auto"/>
        </w:rPr>
        <w:t>’</w:t>
      </w:r>
      <w:r>
        <w:rPr>
          <w:rFonts w:ascii="Times New Roman" w:cs="Times New Roman" w:eastAsia="Times New Roman" w:hAnsi="Times New Roman"/>
          <w:sz w:val="18"/>
          <w:szCs w:val="18"/>
          <w:color w:val="auto"/>
        </w:rPr>
        <w:t>s possessory lien in respect of such Ship for an amount not exceeding the Major Casualty Amount for such Ship;</w:t>
      </w:r>
    </w:p>
    <w:p>
      <w:pPr>
        <w:spacing w:after="0" w:line="162"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such Ship for master's, officer</w:t>
      </w:r>
      <w:r>
        <w:rPr>
          <w:rFonts w:ascii="Arial" w:cs="Arial" w:eastAsia="Arial" w:hAnsi="Arial"/>
          <w:sz w:val="18"/>
          <w:szCs w:val="18"/>
          <w:color w:val="auto"/>
        </w:rPr>
        <w:t>’</w:t>
      </w:r>
      <w:r>
        <w:rPr>
          <w:rFonts w:ascii="Times New Roman" w:cs="Times New Roman" w:eastAsia="Times New Roman" w:hAnsi="Times New Roman"/>
          <w:sz w:val="18"/>
          <w:szCs w:val="18"/>
          <w:color w:val="auto"/>
        </w:rPr>
        <w:t>s or crew's wages outstanding in the ordinary course of its trading;</w:t>
      </w:r>
    </w:p>
    <w:p>
      <w:pPr>
        <w:spacing w:after="0" w:line="224"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such Ship for salvage; and</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master's disbursements incurred in the ordinary course of business and any other lien arising pursuant to any charter commitment or by operation of law in the ordinary course of the business or repair or maintenance of such Ship,</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each securing obligations not more than 90 days overdue.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Permitted Security Interests </w:t>
      </w:r>
      <w:r>
        <w:rPr>
          <w:rFonts w:ascii="Times New Roman" w:cs="Times New Roman" w:eastAsia="Times New Roman" w:hAnsi="Times New Roman"/>
          <w:sz w:val="18"/>
          <w:szCs w:val="18"/>
          <w:color w:val="auto"/>
        </w:rPr>
        <w:t>means, in relation to any Mortgaged Ship, any Security Interest over it which is:</w:t>
      </w:r>
    </w:p>
    <w:p>
      <w:pPr>
        <w:spacing w:after="0" w:line="229" w:lineRule="exact"/>
        <w:rPr>
          <w:sz w:val="20"/>
          <w:szCs w:val="20"/>
          <w:color w:val="auto"/>
        </w:rPr>
      </w:pPr>
    </w:p>
    <w:p>
      <w:pPr>
        <w:ind w:left="840" w:hanging="644"/>
        <w:spacing w:after="0"/>
        <w:tabs>
          <w:tab w:leader="none" w:pos="8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by the Finance Documents;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Maritime Lien;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6" w:name="page197"/>
    <w:bookmarkEnd w:id="196"/>
    <w:p>
      <w:pPr>
        <w:ind w:left="840" w:hanging="644"/>
        <w:spacing w:after="0" w:line="282" w:lineRule="auto"/>
        <w:tabs>
          <w:tab w:leader="none" w:pos="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arising by operation of law in respect of taxes which are not overdue for payment or in respect of taxes being contested in good faith by appropriate steps; or</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Majority Lenders,</w:t>
      </w:r>
    </w:p>
    <w:p>
      <w:pPr>
        <w:spacing w:after="0" w:line="225" w:lineRule="exact"/>
        <w:rPr>
          <w:sz w:val="20"/>
          <w:szCs w:val="20"/>
          <w:color w:val="auto"/>
        </w:rPr>
      </w:pPr>
    </w:p>
    <w:p>
      <w:pPr>
        <w:jc w:val="both"/>
        <w:ind w:left="200" w:right="20"/>
        <w:spacing w:after="0" w:line="266" w:lineRule="auto"/>
        <w:rPr>
          <w:sz w:val="20"/>
          <w:szCs w:val="20"/>
          <w:color w:val="auto"/>
        </w:rPr>
      </w:pPr>
      <w:r>
        <w:rPr>
          <w:rFonts w:ascii="Times New Roman" w:cs="Times New Roman" w:eastAsia="Times New Roman" w:hAnsi="Times New Roman"/>
          <w:sz w:val="18"/>
          <w:szCs w:val="18"/>
          <w:color w:val="auto"/>
        </w:rPr>
        <w:t>PROVIDED that in the case of (c) and (d) above the relevant liens (or any claim relating thereto) are, in the opinion of the Agent (acting on the instructions of the Majority Lenders acting reasonably), covered by insurance or, as the case may be, appropriate reserves have been made.</w:t>
      </w:r>
    </w:p>
    <w:p>
      <w:pPr>
        <w:spacing w:after="0" w:line="172"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Pollutant </w:t>
      </w:r>
      <w:r>
        <w:rPr>
          <w:rFonts w:ascii="Times New Roman" w:cs="Times New Roman" w:eastAsia="Times New Roman" w:hAnsi="Times New Roman"/>
          <w:sz w:val="18"/>
          <w:szCs w:val="18"/>
          <w:color w:val="auto"/>
        </w:rPr>
        <w:t>means and includes crude oil and its products, any other polluting, toxic or hazardous substance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substance whose release into the environment is regulated or penalised by Environmental Laws.</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Poseidon Principles </w:t>
      </w:r>
      <w:r>
        <w:rPr>
          <w:rFonts w:ascii="Times New Roman" w:cs="Times New Roman" w:eastAsia="Times New Roman" w:hAnsi="Times New Roman"/>
          <w:sz w:val="18"/>
          <w:szCs w:val="18"/>
          <w:color w:val="auto"/>
        </w:rPr>
        <w:t>means the financial industry framework for assessing and disclosing the climate alignment of ship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portfolios published on 18 June 2019 as the same may be amended or replaced to reflect changes in applicable law or regulation or the introduction of or changes to mandatory requirements of the International Maritime Organization from time to time.</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Prohibited Person </w:t>
      </w:r>
      <w:r>
        <w:rPr>
          <w:rFonts w:ascii="Times New Roman" w:cs="Times New Roman" w:eastAsia="Times New Roman" w:hAnsi="Times New Roman"/>
          <w:sz w:val="18"/>
          <w:szCs w:val="18"/>
          <w:color w:val="auto"/>
        </w:rPr>
        <w:t>has the meaning given to such term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Quasi-Security </w:t>
      </w:r>
      <w:r>
        <w:rPr>
          <w:rFonts w:ascii="Times New Roman" w:cs="Times New Roman" w:eastAsia="Times New Roman" w:hAnsi="Times New Roman"/>
          <w:sz w:val="18"/>
          <w:szCs w:val="18"/>
          <w:color w:val="auto"/>
        </w:rPr>
        <w:t>has the meaning given to such term in clause 28.2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(General negative pledge).</w:t>
      </w:r>
    </w:p>
    <w:p>
      <w:pPr>
        <w:spacing w:after="0" w:line="22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Quiet Enjoyment Agreement </w:t>
      </w:r>
      <w:r>
        <w:rPr>
          <w:rFonts w:ascii="Times New Roman" w:cs="Times New Roman" w:eastAsia="Times New Roman" w:hAnsi="Times New Roman"/>
          <w:sz w:val="18"/>
          <w:szCs w:val="18"/>
          <w:color w:val="auto"/>
        </w:rPr>
        <w:t>means, in relation to a Ship and a Charter or any other charter commitment for that Ship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 letter by the Security Agent addressed to and acknowledged by, the relevant Owner and the Charterer (or other charterer, as applicable) of that Ship thereunder, in the agreed form.</w:t>
      </w:r>
    </w:p>
    <w:p>
      <w:pPr>
        <w:spacing w:after="0" w:line="17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Receiver </w:t>
      </w:r>
      <w:r>
        <w:rPr>
          <w:rFonts w:ascii="Times New Roman" w:cs="Times New Roman" w:eastAsia="Times New Roman" w:hAnsi="Times New Roman"/>
          <w:sz w:val="18"/>
          <w:szCs w:val="18"/>
          <w:color w:val="auto"/>
        </w:rPr>
        <w:t>means a receiver or receiver and manager or an administrative receiver appointed in relation to the whole or any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Charged Property under any relevant Security Document.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Reduction Date </w:t>
      </w:r>
      <w:r>
        <w:rPr>
          <w:rFonts w:ascii="Times New Roman" w:cs="Times New Roman" w:eastAsia="Times New Roman" w:hAnsi="Times New Roman"/>
          <w:sz w:val="18"/>
          <w:szCs w:val="18"/>
          <w:color w:val="auto"/>
        </w:rPr>
        <w:t>means, subject to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40" w:hanging="644"/>
        <w:spacing w:after="0"/>
        <w:tabs>
          <w:tab w:leader="none" w:pos="8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Reduction Date;</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dates falling at intervals of three Months thereafter up to but not including the Final Reduction Date;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Reduction Date.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Reference Rate Supplement </w:t>
      </w:r>
      <w:r>
        <w:rPr>
          <w:rFonts w:ascii="Times New Roman" w:cs="Times New Roman" w:eastAsia="Times New Roman" w:hAnsi="Times New Roman"/>
          <w:sz w:val="18"/>
          <w:szCs w:val="18"/>
          <w:color w:val="auto"/>
        </w:rPr>
        <w:t>means a document which:</w:t>
      </w:r>
    </w:p>
    <w:p>
      <w:pPr>
        <w:spacing w:after="0" w:line="229" w:lineRule="exact"/>
        <w:rPr>
          <w:sz w:val="20"/>
          <w:szCs w:val="20"/>
          <w:color w:val="auto"/>
        </w:rPr>
      </w:pPr>
    </w:p>
    <w:p>
      <w:pPr>
        <w:ind w:left="840" w:right="20" w:hanging="644"/>
        <w:spacing w:after="0" w:line="282"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agreed in writing by the Borrower, the Agent (in its own capacity) and the Agent (acting on the instructions of the Majority Lenders;</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relevant terms which are expressed in this Agreement to be determined by reference to Reference Rate Terms; and</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made available to the Borrower and each Finance Party.</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Reference Rate Terms </w:t>
      </w:r>
      <w:r>
        <w:rPr>
          <w:rFonts w:ascii="Times New Roman" w:cs="Times New Roman" w:eastAsia="Times New Roman" w:hAnsi="Times New Roman"/>
          <w:sz w:val="18"/>
          <w:szCs w:val="18"/>
          <w:color w:val="auto"/>
        </w:rPr>
        <w:t>means the terms set out in Schedule 9 (</w:t>
      </w:r>
      <w:r>
        <w:rPr>
          <w:rFonts w:ascii="Times New Roman" w:cs="Times New Roman" w:eastAsia="Times New Roman" w:hAnsi="Times New Roman"/>
          <w:sz w:val="18"/>
          <w:szCs w:val="18"/>
          <w:i w:val="1"/>
          <w:iCs w:val="1"/>
          <w:color w:val="auto"/>
        </w:rPr>
        <w:t>Reference Rate Terms</w:t>
      </w:r>
      <w:r>
        <w:rPr>
          <w:rFonts w:ascii="Times New Roman" w:cs="Times New Roman" w:eastAsia="Times New Roman" w:hAnsi="Times New Roman"/>
          <w:sz w:val="18"/>
          <w:szCs w:val="18"/>
          <w:color w:val="auto"/>
        </w:rPr>
        <w:t>) or in any Reference Rate Supplement.</w:t>
      </w:r>
    </w:p>
    <w:p>
      <w:pPr>
        <w:spacing w:after="0" w:line="225" w:lineRule="exact"/>
        <w:rPr>
          <w:sz w:val="20"/>
          <w:szCs w:val="20"/>
          <w:color w:val="auto"/>
        </w:rPr>
      </w:pPr>
    </w:p>
    <w:p>
      <w:pPr>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Reformed Basel III </w:t>
      </w:r>
      <w:r>
        <w:rPr>
          <w:rFonts w:ascii="Times New Roman" w:cs="Times New Roman" w:eastAsia="Times New Roman" w:hAnsi="Times New Roman"/>
          <w:sz w:val="18"/>
          <w:szCs w:val="18"/>
          <w:color w:val="auto"/>
        </w:rPr>
        <w:t>means the agreements contained in</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Basel III: Finalising post-crisis reforms</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published by the Basel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on Banking Supervision in December 2017, as amended, supplemented or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7" w:name="page198"/>
    <w:bookmarkEnd w:id="197"/>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Registry </w:t>
      </w:r>
      <w:r>
        <w:rPr>
          <w:rFonts w:ascii="Times New Roman" w:cs="Times New Roman" w:eastAsia="Times New Roman" w:hAnsi="Times New Roman"/>
          <w:sz w:val="18"/>
          <w:szCs w:val="18"/>
          <w:color w:val="auto"/>
        </w:rPr>
        <w:t>means, in relation to each Ship, such registrar, commissioner or representative of the relevant Flag State who is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authorised and empowered to register the relevant Ship, the relevant Owner's title to such Ship and the relevant Mortgage under the laws of its Flag State.</w:t>
      </w:r>
    </w:p>
    <w:p>
      <w:pPr>
        <w:spacing w:after="0" w:line="171" w:lineRule="exact"/>
        <w:rPr>
          <w:sz w:val="20"/>
          <w:szCs w:val="20"/>
          <w:color w:val="auto"/>
        </w:rPr>
      </w:pPr>
    </w:p>
    <w:p>
      <w:pPr>
        <w:jc w:val="both"/>
        <w:ind w:left="2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Related Fund </w:t>
      </w:r>
      <w:r>
        <w:rPr>
          <w:rFonts w:ascii="Times New Roman" w:cs="Times New Roman" w:eastAsia="Times New Roman" w:hAnsi="Times New Roman"/>
          <w:sz w:val="17"/>
          <w:szCs w:val="17"/>
          <w:color w:val="auto"/>
        </w:rPr>
        <w:t>in relation to a fund (the</w:t>
      </w:r>
      <w:r>
        <w:rPr>
          <w:rFonts w:ascii="Times New Roman" w:cs="Times New Roman" w:eastAsia="Times New Roman" w:hAnsi="Times New Roman"/>
          <w:sz w:val="17"/>
          <w:szCs w:val="17"/>
          <w:b w:val="1"/>
          <w:bCs w:val="1"/>
          <w:color w:val="auto"/>
        </w:rPr>
        <w:t xml:space="preserve"> first fund</w:t>
      </w:r>
      <w:r>
        <w:rPr>
          <w:rFonts w:ascii="Times New Roman" w:cs="Times New Roman" w:eastAsia="Times New Roman" w:hAnsi="Times New Roman"/>
          <w:sz w:val="17"/>
          <w:szCs w:val="17"/>
          <w:color w:val="auto"/>
        </w:rPr>
        <w:t>), means a fund which is managed or advised by the same investment manager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Relevant Jurisdiction </w:t>
      </w:r>
      <w:r>
        <w:rPr>
          <w:rFonts w:ascii="Times New Roman" w:cs="Times New Roman" w:eastAsia="Times New Roman" w:hAnsi="Times New Roman"/>
          <w:sz w:val="18"/>
          <w:szCs w:val="18"/>
          <w:color w:val="auto"/>
        </w:rPr>
        <w:t>means, in relation to an Obligor:</w:t>
      </w:r>
    </w:p>
    <w:p>
      <w:pPr>
        <w:spacing w:after="0" w:line="229" w:lineRule="exact"/>
        <w:rPr>
          <w:sz w:val="20"/>
          <w:szCs w:val="20"/>
          <w:color w:val="auto"/>
        </w:rPr>
      </w:pPr>
    </w:p>
    <w:p>
      <w:pPr>
        <w:ind w:left="840" w:hanging="644"/>
        <w:spacing w:after="0"/>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Original Jurisdiction;</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any Charged Property owned by it is situated (but excluding any jurisdiction in which a Ship may be situated from time to time solely as a result of its trading or other business);</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its business;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whose laws govern the perfection of any of the Security Documents entered into by it.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Relevant Market </w:t>
      </w:r>
      <w:r>
        <w:rPr>
          <w:rFonts w:ascii="Times New Roman" w:cs="Times New Roman" w:eastAsia="Times New Roman" w:hAnsi="Times New Roman"/>
          <w:sz w:val="18"/>
          <w:szCs w:val="18"/>
          <w:color w:val="auto"/>
        </w:rPr>
        <w:t>means the market specified as such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has the meaning given to that term in clause 20.2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Relevant Ship </w:t>
      </w:r>
      <w:r>
        <w:rPr>
          <w:rFonts w:ascii="Times New Roman" w:cs="Times New Roman" w:eastAsia="Times New Roman" w:hAnsi="Times New Roman"/>
          <w:sz w:val="18"/>
          <w:szCs w:val="18"/>
          <w:color w:val="auto"/>
        </w:rPr>
        <w:t>means any of</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GasLog Seattle</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GasLog Greece</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GasLog Glasgow</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each </w:t>
      </w:r>
      <w:r>
        <w:rPr>
          <w:rFonts w:ascii="Times New Roman" w:cs="Times New Roman" w:eastAsia="Times New Roman" w:hAnsi="Times New Roman"/>
          <w:sz w:val="18"/>
          <w:szCs w:val="18"/>
          <w:color w:val="auto"/>
        </w:rPr>
        <w:t>case, as further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Repeating Representations </w:t>
      </w:r>
      <w:r>
        <w:rPr>
          <w:rFonts w:ascii="Times New Roman" w:cs="Times New Roman" w:eastAsia="Times New Roman" w:hAnsi="Times New Roman"/>
          <w:sz w:val="18"/>
          <w:szCs w:val="18"/>
          <w:color w:val="auto"/>
        </w:rPr>
        <w:t>means each of the representations and warranties set out in clauses 18.2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18.11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 effectiveness of security</w:t>
      </w:r>
      <w:r>
        <w:rPr>
          <w:rFonts w:ascii="Times New Roman" w:cs="Times New Roman" w:eastAsia="Times New Roman" w:hAnsi="Times New Roman"/>
          <w:sz w:val="18"/>
          <w:szCs w:val="18"/>
          <w:color w:val="auto"/>
        </w:rPr>
        <w:t>), 18.19 (</w:t>
      </w:r>
      <w:r>
        <w:rPr>
          <w:rFonts w:ascii="Times New Roman" w:cs="Times New Roman" w:eastAsia="Times New Roman" w:hAnsi="Times New Roman"/>
          <w:sz w:val="18"/>
          <w:szCs w:val="18"/>
          <w:i w:val="1"/>
          <w:iCs w:val="1"/>
          <w:color w:val="auto"/>
        </w:rPr>
        <w:t>No breach of laws</w:t>
      </w:r>
      <w:r>
        <w:rPr>
          <w:rFonts w:ascii="Times New Roman" w:cs="Times New Roman" w:eastAsia="Times New Roman" w:hAnsi="Times New Roman"/>
          <w:sz w:val="18"/>
          <w:szCs w:val="18"/>
          <w:color w:val="auto"/>
        </w:rPr>
        <w:t>), 18.21 (</w:t>
      </w:r>
      <w:r>
        <w:rPr>
          <w:rFonts w:ascii="Times New Roman" w:cs="Times New Roman" w:eastAsia="Times New Roman" w:hAnsi="Times New Roman"/>
          <w:sz w:val="18"/>
          <w:szCs w:val="18"/>
          <w:i w:val="1"/>
          <w:iCs w:val="1"/>
          <w:color w:val="auto"/>
        </w:rPr>
        <w:t>Anti-corruption law</w:t>
      </w:r>
      <w:r>
        <w:rPr>
          <w:rFonts w:ascii="Times New Roman" w:cs="Times New Roman" w:eastAsia="Times New Roman" w:hAnsi="Times New Roman"/>
          <w:sz w:val="18"/>
          <w:szCs w:val="18"/>
          <w:color w:val="auto"/>
        </w:rPr>
        <w:t>), 18.22 (</w:t>
      </w:r>
      <w:r>
        <w:rPr>
          <w:rFonts w:ascii="Times New Roman" w:cs="Times New Roman" w:eastAsia="Times New Roman" w:hAnsi="Times New Roman"/>
          <w:sz w:val="18"/>
          <w:szCs w:val="18"/>
          <w:i w:val="1"/>
          <w:iCs w:val="1"/>
          <w:color w:val="auto"/>
        </w:rPr>
        <w:t>Security and Financial Indebtedness</w:t>
      </w:r>
      <w:r>
        <w:rPr>
          <w:rFonts w:ascii="Times New Roman" w:cs="Times New Roman" w:eastAsia="Times New Roman" w:hAnsi="Times New Roman"/>
          <w:sz w:val="18"/>
          <w:szCs w:val="18"/>
          <w:color w:val="auto"/>
        </w:rPr>
        <w:t>), 18.28 (</w:t>
      </w:r>
      <w:r>
        <w:rPr>
          <w:rFonts w:ascii="Times New Roman" w:cs="Times New Roman" w:eastAsia="Times New Roman" w:hAnsi="Times New Roman"/>
          <w:sz w:val="18"/>
          <w:szCs w:val="18"/>
          <w:i w:val="1"/>
          <w:iCs w:val="1"/>
          <w:color w:val="auto"/>
        </w:rPr>
        <w:t>Legal and beneficial ownership</w:t>
      </w:r>
      <w:r>
        <w:rPr>
          <w:rFonts w:ascii="Times New Roman" w:cs="Times New Roman" w:eastAsia="Times New Roman" w:hAnsi="Times New Roman"/>
          <w:sz w:val="18"/>
          <w:szCs w:val="18"/>
          <w:color w:val="auto"/>
        </w:rPr>
        <w:t>), 18.23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18.26 (</w:t>
      </w:r>
      <w:r>
        <w:rPr>
          <w:rFonts w:ascii="Times New Roman" w:cs="Times New Roman" w:eastAsia="Times New Roman" w:hAnsi="Times New Roman"/>
          <w:sz w:val="18"/>
          <w:szCs w:val="18"/>
          <w:i w:val="1"/>
          <w:iCs w:val="1"/>
          <w:color w:val="auto"/>
        </w:rPr>
        <w:t>No adverse consequences</w:t>
      </w:r>
      <w:r>
        <w:rPr>
          <w:rFonts w:ascii="Times New Roman" w:cs="Times New Roman" w:eastAsia="Times New Roman" w:hAnsi="Times New Roman"/>
          <w:sz w:val="18"/>
          <w:szCs w:val="18"/>
          <w:color w:val="auto"/>
        </w:rPr>
        <w:t>), 18.27 (</w:t>
      </w:r>
      <w:r>
        <w:rPr>
          <w:rFonts w:ascii="Times New Roman" w:cs="Times New Roman" w:eastAsia="Times New Roman" w:hAnsi="Times New Roman"/>
          <w:sz w:val="18"/>
          <w:szCs w:val="18"/>
          <w:i w:val="1"/>
          <w:iCs w:val="1"/>
          <w:color w:val="auto"/>
        </w:rPr>
        <w:t>Copies of documents</w:t>
      </w:r>
      <w:r>
        <w:rPr>
          <w:rFonts w:ascii="Times New Roman" w:cs="Times New Roman" w:eastAsia="Times New Roman" w:hAnsi="Times New Roman"/>
          <w:sz w:val="18"/>
          <w:szCs w:val="18"/>
          <w:color w:val="auto"/>
        </w:rPr>
        <w:t>), 18.30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18.34 (</w:t>
      </w:r>
      <w:r>
        <w:rPr>
          <w:rFonts w:ascii="Times New Roman" w:cs="Times New Roman" w:eastAsia="Times New Roman" w:hAnsi="Times New Roman"/>
          <w:sz w:val="18"/>
          <w:szCs w:val="18"/>
          <w:i w:val="1"/>
          <w:iCs w:val="1"/>
          <w:color w:val="auto"/>
        </w:rPr>
        <w:t>Money Laundering</w:t>
      </w:r>
      <w:r>
        <w:rPr>
          <w:rFonts w:ascii="Times New Roman" w:cs="Times New Roman" w:eastAsia="Times New Roman" w:hAnsi="Times New Roman"/>
          <w:sz w:val="18"/>
          <w:szCs w:val="18"/>
          <w:color w:val="auto"/>
        </w:rPr>
        <w:t>) and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Replacement Charter </w:t>
      </w:r>
      <w:r>
        <w:rPr>
          <w:rFonts w:ascii="Times New Roman" w:cs="Times New Roman" w:eastAsia="Times New Roman" w:hAnsi="Times New Roman"/>
          <w:sz w:val="18"/>
          <w:szCs w:val="18"/>
          <w:color w:val="auto"/>
        </w:rPr>
        <w:t>means, in relation to a Ship and an Initial Charter, the Replacement Charter of such Initial Charter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Ship referred to and defined as such in paragraph (ii) of clause 7.11 </w:t>
      </w:r>
      <w:r>
        <w:rPr>
          <w:rFonts w:ascii="Times New Roman" w:cs="Times New Roman" w:eastAsia="Times New Roman" w:hAnsi="Times New Roman"/>
          <w:sz w:val="18"/>
          <w:szCs w:val="18"/>
          <w:i w:val="1"/>
          <w:iCs w:val="1"/>
          <w:color w:val="auto"/>
        </w:rPr>
        <w:t>(Mandatory prepayment and cancellation following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Charter or Charter Guarantee termination), </w:t>
      </w:r>
      <w:r>
        <w:rPr>
          <w:rFonts w:ascii="Times New Roman" w:cs="Times New Roman" w:eastAsia="Times New Roman" w:hAnsi="Times New Roman"/>
          <w:sz w:val="18"/>
          <w:szCs w:val="18"/>
          <w:color w:val="auto"/>
        </w:rPr>
        <w:t>in each case as it may be amended from time to time.</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Representative </w:t>
      </w:r>
      <w:r>
        <w:rPr>
          <w:rFonts w:ascii="Times New Roman" w:cs="Times New Roman" w:eastAsia="Times New Roman" w:hAnsi="Times New Roman"/>
          <w:sz w:val="18"/>
          <w:szCs w:val="18"/>
          <w:color w:val="auto"/>
        </w:rPr>
        <w:t>means any delegate, agent, manager, administrator, nominee, attorney, trustee or custodian.</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Requisition Compensation </w:t>
      </w:r>
      <w:r>
        <w:rPr>
          <w:rFonts w:ascii="Times New Roman" w:cs="Times New Roman" w:eastAsia="Times New Roman" w:hAnsi="Times New Roman"/>
          <w:sz w:val="18"/>
          <w:szCs w:val="18"/>
          <w:color w:val="auto"/>
        </w:rPr>
        <w:t>means, in relation to a Ship, any compensation paid or payable by a government entity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requisition for title, confiscation or compulsory acquisition of such Ship.</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Resolution Authority </w:t>
      </w:r>
      <w:r>
        <w:rPr>
          <w:rFonts w:ascii="Times New Roman" w:cs="Times New Roman" w:eastAsia="Times New Roman" w:hAnsi="Times New Roman"/>
          <w:sz w:val="18"/>
          <w:szCs w:val="18"/>
          <w:color w:val="auto"/>
        </w:rPr>
        <w:t>means any body which has authority to exercise any Write-down and Conversion Powers.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RFR </w:t>
      </w:r>
      <w:r>
        <w:rPr>
          <w:rFonts w:ascii="Times New Roman" w:cs="Times New Roman" w:eastAsia="Times New Roman" w:hAnsi="Times New Roman"/>
          <w:sz w:val="18"/>
          <w:szCs w:val="18"/>
          <w:color w:val="auto"/>
        </w:rPr>
        <w:t>means the rate specified as such in the Reference Rate Terms.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RFR Banking Day </w:t>
      </w:r>
      <w:r>
        <w:rPr>
          <w:rFonts w:ascii="Times New Roman" w:cs="Times New Roman" w:eastAsia="Times New Roman" w:hAnsi="Times New Roman"/>
          <w:sz w:val="18"/>
          <w:szCs w:val="18"/>
          <w:color w:val="auto"/>
        </w:rPr>
        <w:t>means any day specified as such in the Reference Rate Terms.</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Rolling Shareholders </w:t>
      </w:r>
      <w:r>
        <w:rPr>
          <w:rFonts w:ascii="Times New Roman" w:cs="Times New Roman" w:eastAsia="Times New Roman" w:hAnsi="Times New Roman"/>
          <w:sz w:val="18"/>
          <w:szCs w:val="18"/>
          <w:color w:val="auto"/>
        </w:rPr>
        <w:t>means Blenheim Holdings Ltd, Blenheim Special Investments Holding Ltd and Olympic LNG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Ltd.</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Rollover Loan </w:t>
      </w:r>
      <w:r>
        <w:rPr>
          <w:rFonts w:ascii="Times New Roman" w:cs="Times New Roman" w:eastAsia="Times New Roman" w:hAnsi="Times New Roman"/>
          <w:sz w:val="18"/>
          <w:szCs w:val="18"/>
          <w:color w:val="auto"/>
        </w:rPr>
        <w:t>means one or more Loans:</w:t>
      </w:r>
    </w:p>
    <w:p>
      <w:pPr>
        <w:spacing w:after="0" w:line="229" w:lineRule="exact"/>
        <w:rPr>
          <w:sz w:val="20"/>
          <w:szCs w:val="20"/>
          <w:color w:val="auto"/>
        </w:rPr>
      </w:pPr>
    </w:p>
    <w:p>
      <w:pPr>
        <w:ind w:left="840" w:hanging="644"/>
        <w:spacing w:after="0"/>
        <w:tabs>
          <w:tab w:leader="none" w:pos="8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on the same day that a maturing Loan is due to be repaid;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9" w:right="999" w:bottom="1440" w:gutter="0" w:footer="0" w:header="0"/>
        </w:sectPr>
      </w:pPr>
    </w:p>
    <w:bookmarkStart w:id="198" w:name="page199"/>
    <w:bookmarkEnd w:id="198"/>
    <w:p>
      <w:pPr>
        <w:ind w:left="840" w:hanging="644"/>
        <w:spacing w:after="0"/>
        <w:tabs>
          <w:tab w:leader="none" w:pos="8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which is equal to or less than the amount of the maturing Loan;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for the purpose of refinancing a maturing Loan.</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Sanctions </w:t>
      </w:r>
      <w:r>
        <w:rPr>
          <w:rFonts w:ascii="Times New Roman" w:cs="Times New Roman" w:eastAsia="Times New Roman" w:hAnsi="Times New Roman"/>
          <w:sz w:val="18"/>
          <w:szCs w:val="18"/>
          <w:color w:val="auto"/>
        </w:rPr>
        <w:t>has the meaning given to it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Sanctions Authority </w:t>
      </w:r>
      <w:r>
        <w:rPr>
          <w:rFonts w:ascii="Times New Roman" w:cs="Times New Roman" w:eastAsia="Times New Roman" w:hAnsi="Times New Roman"/>
          <w:sz w:val="18"/>
          <w:szCs w:val="18"/>
          <w:color w:val="auto"/>
        </w:rPr>
        <w:t>has the meaning given to it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Second Extended Final Reduction Date </w:t>
      </w:r>
      <w:r>
        <w:rPr>
          <w:rFonts w:ascii="Times New Roman" w:cs="Times New Roman" w:eastAsia="Times New Roman" w:hAnsi="Times New Roman"/>
          <w:sz w:val="18"/>
          <w:szCs w:val="18"/>
          <w:color w:val="auto"/>
        </w:rPr>
        <w:t>means the date falling 24 Months after the Final Reduction Date.</w:t>
      </w:r>
    </w:p>
    <w:p>
      <w:pPr>
        <w:spacing w:after="0" w:line="225"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Extension Option </w:t>
      </w:r>
      <w:r>
        <w:rPr>
          <w:rFonts w:ascii="Times New Roman" w:cs="Times New Roman" w:eastAsia="Times New Roman" w:hAnsi="Times New Roman"/>
          <w:sz w:val="18"/>
          <w:szCs w:val="18"/>
          <w:color w:val="auto"/>
        </w:rPr>
        <w:t>means the option to extend the Final Reduction Date by a period of 24 Months referred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Obligations </w:t>
      </w:r>
      <w:r>
        <w:rPr>
          <w:rFonts w:ascii="Times New Roman" w:cs="Times New Roman" w:eastAsia="Times New Roman" w:hAnsi="Times New Roman"/>
          <w:sz w:val="18"/>
          <w:szCs w:val="18"/>
          <w:color w:val="auto"/>
        </w:rPr>
        <w:t>means all indebtedness and obligations at any time of any Obligor to any Finance Party (whether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account or as agent or trustee for itself and/or other Finance Parties) under, or related to, the Finance Documents.</w:t>
      </w:r>
    </w:p>
    <w:p>
      <w:pPr>
        <w:spacing w:after="0" w:line="155"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 Agent </w:t>
      </w:r>
      <w:r>
        <w:rPr>
          <w:rFonts w:ascii="Times New Roman" w:cs="Times New Roman" w:eastAsia="Times New Roman" w:hAnsi="Times New Roman"/>
          <w:sz w:val="18"/>
          <w:szCs w:val="18"/>
          <w:color w:val="auto"/>
        </w:rPr>
        <w:t>includes any person as may be appointed as such under the Finance Documents and includes any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trustee or co-trustee appointed under clause 35.7 </w:t>
      </w:r>
      <w:r>
        <w:rPr>
          <w:rFonts w:ascii="Times New Roman" w:cs="Times New Roman" w:eastAsia="Times New Roman" w:hAnsi="Times New Roman"/>
          <w:sz w:val="18"/>
          <w:szCs w:val="18"/>
          <w:i w:val="1"/>
          <w:iCs w:val="1"/>
          <w:color w:val="auto"/>
        </w:rPr>
        <w:t>(Additional trustees)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Security Documents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Security Documents; and</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as may be executed by an Obligor to guarantee and/or secure any amounts owing to the Finance Parties under this Agreement or any other Finance Document.</w:t>
      </w:r>
    </w:p>
    <w:p>
      <w:pPr>
        <w:spacing w:after="0" w:line="158"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 Interest </w:t>
      </w:r>
      <w:r>
        <w:rPr>
          <w:rFonts w:ascii="Times New Roman" w:cs="Times New Roman" w:eastAsia="Times New Roman" w:hAnsi="Times New Roman"/>
          <w:sz w:val="18"/>
          <w:szCs w:val="18"/>
          <w:color w:val="auto"/>
        </w:rPr>
        <w:t>means a mortgage, charge, pledge, lien, assignment, trust, hypothecation or other security interest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any obligation of any person or any other agreement or arrangement having a similar effect.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Security Property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line="282" w:lineRule="auto"/>
        <w:tabs>
          <w:tab w:leader="none" w:pos="8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expressed to be granted in favour of the Security Agent as trustee for the Finance Parties and all proceeds of that Transaction Security;</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expressed to be undertaken by any Obligor to pay amounts in respect of the Secured Obligations to the Security Agent as trustee for the Finance Parties and secured by the Transaction Security together with all representations and warranties expressed to be given by an Obligor in favour of the Security Agent as trustee for the Finance Parties; and</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82" w:lineRule="auto"/>
        <w:tabs>
          <w:tab w:leader="none" w:pos="8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or property, whether rights, entitlements, choses in action or otherwise, actual or contingent, which the Security Agent is required by the terms of the Finance Documents to hold as trustee on trust for the Finance Parties.</w:t>
      </w:r>
    </w:p>
    <w:p>
      <w:pPr>
        <w:spacing w:after="0" w:line="158"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Security Value </w:t>
      </w:r>
      <w:r>
        <w:rPr>
          <w:rFonts w:ascii="Times New Roman" w:cs="Times New Roman" w:eastAsia="Times New Roman" w:hAnsi="Times New Roman"/>
          <w:sz w:val="18"/>
          <w:szCs w:val="18"/>
          <w:color w:val="auto"/>
        </w:rPr>
        <w:t>means, at any time, the amount in dollars which, at that time, is the aggregate of (a) the values (or, if less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 to an individual Ship, the maximum amount capable of being secured by the Mortgage of the relevant Ship) of all of the Mortgaged Ships which have not then become a Total Loss and (b) the value of any additional security (other than any such additional security in the form of pledged and/or charged dollar deposits) then held by the Security Agent or any other Finance Party and provided under clause 7.11 (</w:t>
      </w:r>
      <w:r>
        <w:rPr>
          <w:rFonts w:ascii="Times New Roman" w:cs="Times New Roman" w:eastAsia="Times New Roman" w:hAnsi="Times New Roman"/>
          <w:sz w:val="18"/>
          <w:szCs w:val="18"/>
          <w:i w:val="1"/>
          <w:iCs w:val="1"/>
          <w:color w:val="auto"/>
        </w:rPr>
        <w:t>Mandatory prepayment and cancellation following Charter or Charter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or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in each case as most recently determined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Separate Loan </w:t>
      </w:r>
      <w:r>
        <w:rPr>
          <w:rFonts w:ascii="Times New Roman" w:cs="Times New Roman" w:eastAsia="Times New Roman" w:hAnsi="Times New Roman"/>
          <w:sz w:val="18"/>
          <w:szCs w:val="18"/>
          <w:color w:val="auto"/>
        </w:rPr>
        <w:t>has the meaning given to that term in clause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(Repayment)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199" w:name="page200"/>
    <w:bookmarkEnd w:id="199"/>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Shareholders Agreement </w:t>
      </w:r>
      <w:r>
        <w:rPr>
          <w:rFonts w:ascii="Times New Roman" w:cs="Times New Roman" w:eastAsia="Times New Roman" w:hAnsi="Times New Roman"/>
          <w:sz w:val="18"/>
          <w:szCs w:val="18"/>
          <w:color w:val="auto"/>
        </w:rPr>
        <w:t>means the shareholders agreement dated 9 June 2021 made between GEPIF III Crown Bidco LP,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and the Rolling Shareholders.</w:t>
      </w:r>
    </w:p>
    <w:p>
      <w:pPr>
        <w:spacing w:after="0" w:line="155" w:lineRule="exact"/>
        <w:rPr>
          <w:sz w:val="20"/>
          <w:szCs w:val="20"/>
          <w:color w:val="auto"/>
        </w:rPr>
      </w:pPr>
    </w:p>
    <w:p>
      <w:pPr>
        <w:ind w:left="200" w:right="2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Ship Representations </w:t>
      </w:r>
      <w:r>
        <w:rPr>
          <w:rFonts w:ascii="Times New Roman" w:cs="Times New Roman" w:eastAsia="Times New Roman" w:hAnsi="Times New Roman"/>
          <w:sz w:val="18"/>
          <w:szCs w:val="18"/>
          <w:color w:val="auto"/>
        </w:rPr>
        <w:t>means each of the representations and warranties set out in clauses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18.31 </w:t>
      </w:r>
      <w:r>
        <w:rPr>
          <w:rFonts w:ascii="Times New Roman" w:cs="Times New Roman" w:eastAsia="Times New Roman" w:hAnsi="Times New Roman"/>
          <w:sz w:val="18"/>
          <w:szCs w:val="18"/>
          <w:i w:val="1"/>
          <w:iCs w:val="1"/>
          <w:color w:val="auto"/>
        </w:rPr>
        <w:t>(Ship status)</w:t>
      </w:r>
      <w:r>
        <w:rPr>
          <w:rFonts w:ascii="Times New Roman" w:cs="Times New Roman" w:eastAsia="Times New Roman" w:hAnsi="Times New Roman"/>
          <w:sz w:val="18"/>
          <w:szCs w:val="18"/>
          <w:color w:val="auto"/>
        </w:rPr>
        <w:t xml:space="preserve"> and 18.32 (</w:t>
      </w:r>
      <w:r>
        <w:rPr>
          <w:rFonts w:ascii="Times New Roman" w:cs="Times New Roman" w:eastAsia="Times New Roman" w:hAnsi="Times New Roman"/>
          <w:sz w:val="18"/>
          <w:szCs w:val="18"/>
          <w:i w:val="1"/>
          <w:iCs w:val="1"/>
          <w:color w:val="auto"/>
        </w:rPr>
        <w:t>Ship's employment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Ships </w:t>
      </w:r>
      <w:r>
        <w:rPr>
          <w:rFonts w:ascii="Times New Roman" w:cs="Times New Roman" w:eastAsia="Times New Roman" w:hAnsi="Times New Roman"/>
          <w:sz w:val="18"/>
          <w:szCs w:val="18"/>
          <w:color w:val="auto"/>
        </w:rPr>
        <w:t>means all of the ships described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Ship </w:t>
      </w:r>
      <w:r>
        <w:rPr>
          <w:rFonts w:ascii="Times New Roman" w:cs="Times New Roman" w:eastAsia="Times New Roman" w:hAnsi="Times New Roman"/>
          <w:sz w:val="18"/>
          <w:szCs w:val="18"/>
          <w:color w:val="auto"/>
        </w:rPr>
        <w:t>means any of them.</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Spill </w:t>
      </w:r>
      <w:r>
        <w:rPr>
          <w:rFonts w:ascii="Times New Roman" w:cs="Times New Roman" w:eastAsia="Times New Roman" w:hAnsi="Times New Roman"/>
          <w:sz w:val="18"/>
          <w:szCs w:val="18"/>
          <w:color w:val="auto"/>
        </w:rPr>
        <w:t>means any spill, release or discharge of a Pollutant into the environment.</w:t>
      </w:r>
    </w:p>
    <w:p>
      <w:pPr>
        <w:spacing w:after="0" w:line="225" w:lineRule="exact"/>
        <w:rPr>
          <w:sz w:val="20"/>
          <w:szCs w:val="20"/>
          <w:color w:val="auto"/>
        </w:rPr>
      </w:pPr>
    </w:p>
    <w:p>
      <w:pPr>
        <w:ind w:left="2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Statement of Compliance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Statement of Compliance</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fuel oil consumption pursuant to regulations 6.6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6.7 of Annex VI.</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of a person means any other person:</w:t>
      </w:r>
    </w:p>
    <w:p>
      <w:pPr>
        <w:spacing w:after="0" w:line="229" w:lineRule="exact"/>
        <w:rPr>
          <w:sz w:val="20"/>
          <w:szCs w:val="20"/>
          <w:color w:val="auto"/>
        </w:rPr>
      </w:pPr>
    </w:p>
    <w:p>
      <w:pPr>
        <w:ind w:left="840" w:hanging="644"/>
        <w:spacing w:after="0"/>
        <w:tabs>
          <w:tab w:leader="none" w:pos="8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controlled by such person; or</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whose dividends or distributions on ordinary voting share capital such person is beneficially entitled to receive more than 50 per cent,</w:t>
      </w:r>
    </w:p>
    <w:p>
      <w:pPr>
        <w:spacing w:after="0" w:line="158"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color w:val="auto"/>
        </w:rPr>
        <w:t>and a person is a "</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another person if it has no shareholders or members except that other person and that other person's wholly-owned Subsidiaries or persons acting on behalf of that other person or its wholly-owned Subsidiaries.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Sustainability Certificate </w:t>
      </w:r>
      <w:r>
        <w:rPr>
          <w:rFonts w:ascii="Times New Roman" w:cs="Times New Roman" w:eastAsia="Times New Roman" w:hAnsi="Times New Roman"/>
          <w:sz w:val="18"/>
          <w:szCs w:val="18"/>
          <w:color w:val="auto"/>
        </w:rPr>
        <w:t>has the meaning given to it in Schedule 12 (</w:t>
      </w:r>
      <w:r>
        <w:rPr>
          <w:rFonts w:ascii="Times New Roman" w:cs="Times New Roman" w:eastAsia="Times New Roman" w:hAnsi="Times New Roman"/>
          <w:sz w:val="18"/>
          <w:szCs w:val="18"/>
          <w:i w:val="1"/>
          <w:iCs w:val="1"/>
          <w:color w:val="auto"/>
        </w:rPr>
        <w:t>Form of Sustainability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Sustainability Margin Adjustment </w:t>
      </w:r>
      <w:r>
        <w:rPr>
          <w:rFonts w:ascii="Times New Roman" w:cs="Times New Roman" w:eastAsia="Times New Roman" w:hAnsi="Times New Roman"/>
          <w:sz w:val="18"/>
          <w:szCs w:val="18"/>
          <w:color w:val="auto"/>
        </w:rPr>
        <w:t>has the meaning given to it in clause 9.5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means any tax, levy, impost, duty or other charge or withholding of a similar nature (including any penalty 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connection with any failure to pay or any delay in paying any of the same).</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Total Commitments </w:t>
      </w:r>
      <w:r>
        <w:rPr>
          <w:rFonts w:ascii="Times New Roman" w:cs="Times New Roman" w:eastAsia="Times New Roman" w:hAnsi="Times New Roman"/>
          <w:sz w:val="18"/>
          <w:szCs w:val="18"/>
          <w:color w:val="auto"/>
        </w:rPr>
        <w:t>means the aggregate of the Commitments, being $2,800,000,000 at the date of this Agreement.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Total Loss </w:t>
      </w:r>
      <w:r>
        <w:rPr>
          <w:rFonts w:ascii="Times New Roman" w:cs="Times New Roman" w:eastAsia="Times New Roman" w:hAnsi="Times New Roman"/>
          <w:sz w:val="18"/>
          <w:szCs w:val="18"/>
          <w:color w:val="auto"/>
        </w:rPr>
        <w:t>means, in relation to a Ship, its:</w:t>
      </w:r>
    </w:p>
    <w:p>
      <w:pPr>
        <w:spacing w:after="0" w:line="229" w:lineRule="exact"/>
        <w:rPr>
          <w:sz w:val="20"/>
          <w:szCs w:val="20"/>
          <w:color w:val="auto"/>
        </w:rPr>
      </w:pPr>
    </w:p>
    <w:p>
      <w:pPr>
        <w:ind w:left="840" w:hanging="644"/>
        <w:spacing w:after="0"/>
        <w:tabs>
          <w:tab w:leader="none" w:pos="8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constructive, compromised, agreed or arranged total loss;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for title, confiscation or other compulsory acquisition by a government entity;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condemnation, capture, seizure or detention (including blocking or trapping) for more than 30 days; or</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hijacking, piracy or theft for more than 60 days.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Total Loss Date </w:t>
      </w:r>
      <w:r>
        <w:rPr>
          <w:rFonts w:ascii="Times New Roman" w:cs="Times New Roman" w:eastAsia="Times New Roman" w:hAnsi="Times New Roman"/>
          <w:sz w:val="18"/>
          <w:szCs w:val="18"/>
          <w:color w:val="auto"/>
        </w:rPr>
        <w:t>means, in relation to the Total Loss of a vessel:</w:t>
      </w:r>
    </w:p>
    <w:p>
      <w:pPr>
        <w:spacing w:after="0" w:line="229" w:lineRule="exact"/>
        <w:rPr>
          <w:sz w:val="20"/>
          <w:szCs w:val="20"/>
          <w:color w:val="auto"/>
        </w:rPr>
      </w:pPr>
    </w:p>
    <w:p>
      <w:pPr>
        <w:ind w:left="840" w:right="20" w:hanging="644"/>
        <w:spacing w:after="0" w:line="282" w:lineRule="auto"/>
        <w:tabs>
          <w:tab w:leader="none" w:pos="8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actual total loss, the date it happened or, if such date is not known, the date on which the vessel was last reported;</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constructive, compromised, agreed or arranged total loss, the earliest of:</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notice of abandonment of the vessel is given to its insurers; or</w:t>
      </w:r>
    </w:p>
    <w:p>
      <w:pPr>
        <w:spacing w:after="0" w:line="225"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insurers do not admit such a claim, the date later determined by a competent court of law to have been the date on which the total loss happened; or</w:t>
      </w:r>
    </w:p>
    <w:p>
      <w:pPr>
        <w:sectPr>
          <w:pgSz w:w="11900" w:h="16838" w:orient="portrait"/>
          <w:cols w:equalWidth="0" w:num="1">
            <w:col w:w="9460"/>
          </w:cols>
          <w:pgMar w:left="1440" w:top="1089"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9" w:right="999" w:bottom="1440" w:gutter="0" w:footer="0" w:header="0"/>
          <w:type w:val="continuous"/>
        </w:sectPr>
      </w:pPr>
    </w:p>
    <w:bookmarkStart w:id="200" w:name="page201"/>
    <w:bookmarkEnd w:id="200"/>
    <w:p>
      <w:pPr>
        <w:ind w:left="1500" w:right="20" w:hanging="656"/>
        <w:spacing w:after="0" w:line="282" w:lineRule="auto"/>
        <w:tabs>
          <w:tab w:leader="none" w:pos="15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a binding agreement as to such compromised or arranged total loss has been entered into by the vessel's insurers;</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requisition for title, confiscation or compulsory acquisition, the date 90 days after the date upon which it happened;</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condemnation, capture, seizure or detention (including blocking or trapping), the date 90 days after the date upon which it happened; and</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hijacking, piracy or theft, the date 90 days after the date upon which it happened.</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Total Loss Reduction Date </w:t>
      </w:r>
      <w:r>
        <w:rPr>
          <w:rFonts w:ascii="Times New Roman" w:cs="Times New Roman" w:eastAsia="Times New Roman" w:hAnsi="Times New Roman"/>
          <w:sz w:val="18"/>
          <w:szCs w:val="18"/>
          <w:color w:val="auto"/>
        </w:rPr>
        <w:t>means, where a Mortgaged Ship has become a Total Loss, the earlier of:</w:t>
      </w:r>
    </w:p>
    <w:p>
      <w:pPr>
        <w:spacing w:after="0" w:line="229" w:lineRule="exact"/>
        <w:rPr>
          <w:sz w:val="20"/>
          <w:szCs w:val="20"/>
          <w:color w:val="auto"/>
        </w:rPr>
      </w:pPr>
    </w:p>
    <w:p>
      <w:pPr>
        <w:ind w:left="840" w:hanging="644"/>
        <w:spacing w:after="0"/>
        <w:tabs>
          <w:tab w:leader="none" w:pos="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180 days after its Total Loss Date; and</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insurance proceeds or Requisition Compensation for such Total Loss are paid by insurers or the relevant government entity.</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Transaction Document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840" w:hanging="644"/>
        <w:spacing w:after="0"/>
        <w:tabs>
          <w:tab w:leader="none" w:pos="8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Charter Document;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Finance Documents.</w:t>
      </w:r>
    </w:p>
    <w:p>
      <w:pPr>
        <w:spacing w:after="0" w:line="221"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 Security </w:t>
      </w:r>
      <w:r>
        <w:rPr>
          <w:rFonts w:ascii="Times New Roman" w:cs="Times New Roman" w:eastAsia="Times New Roman" w:hAnsi="Times New Roman"/>
          <w:sz w:val="18"/>
          <w:szCs w:val="18"/>
          <w:color w:val="auto"/>
        </w:rPr>
        <w:t>means the Security Interests created or evidenced or expressed to be created or evidenced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Security Documents.</w:t>
      </w:r>
    </w:p>
    <w:p>
      <w:pPr>
        <w:spacing w:after="0" w:line="155"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Transfer Certificate </w:t>
      </w:r>
      <w:r>
        <w:rPr>
          <w:rFonts w:ascii="Times New Roman" w:cs="Times New Roman" w:eastAsia="Times New Roman" w:hAnsi="Times New Roman"/>
          <w:sz w:val="18"/>
          <w:szCs w:val="18"/>
          <w:color w:val="auto"/>
        </w:rPr>
        <w:t>means a certificate substantially in the form set out in Schedule 6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form agreed between the Agent and the Borrower.</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Transfer Date </w:t>
      </w:r>
      <w:r>
        <w:rPr>
          <w:rFonts w:ascii="Times New Roman" w:cs="Times New Roman" w:eastAsia="Times New Roman" w:hAnsi="Times New Roman"/>
          <w:sz w:val="18"/>
          <w:szCs w:val="18"/>
          <w:color w:val="auto"/>
        </w:rPr>
        <w:t>means, in relation to an assignment pursuant to a Transfer Certificate, the later of:</w:t>
      </w:r>
    </w:p>
    <w:p>
      <w:pPr>
        <w:spacing w:after="0" w:line="229" w:lineRule="exact"/>
        <w:rPr>
          <w:sz w:val="20"/>
          <w:szCs w:val="20"/>
          <w:color w:val="auto"/>
        </w:rPr>
      </w:pPr>
    </w:p>
    <w:p>
      <w:pPr>
        <w:ind w:left="840" w:hanging="644"/>
        <w:spacing w:after="0"/>
        <w:tabs>
          <w:tab w:leader="none" w:pos="8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Transfer Certificate; and</w:t>
      </w:r>
    </w:p>
    <w:p>
      <w:pPr>
        <w:spacing w:after="0" w:line="22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Transfer Certificate.</w:t>
      </w:r>
    </w:p>
    <w:p>
      <w:pPr>
        <w:spacing w:after="0" w:line="221" w:lineRule="exact"/>
        <w:rPr>
          <w:sz w:val="20"/>
          <w:szCs w:val="20"/>
          <w:color w:val="auto"/>
        </w:rPr>
      </w:pPr>
    </w:p>
    <w:p>
      <w:pPr>
        <w:jc w:val="both"/>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Treasury Transaction </w:t>
      </w:r>
      <w:r>
        <w:rPr>
          <w:rFonts w:ascii="Times New Roman" w:cs="Times New Roman" w:eastAsia="Times New Roman" w:hAnsi="Times New Roman"/>
          <w:sz w:val="18"/>
          <w:szCs w:val="18"/>
          <w:color w:val="auto"/>
        </w:rPr>
        <w:t>means any derivative transaction entered into in connection with protection against or benefit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fluctuation in any rate or price.</w:t>
      </w:r>
    </w:p>
    <w:p>
      <w:pPr>
        <w:spacing w:after="0" w:line="155"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UK Bail-In Legislation </w:t>
      </w:r>
      <w:r>
        <w:rPr>
          <w:rFonts w:ascii="Times New Roman" w:cs="Times New Roman" w:eastAsia="Times New Roman" w:hAnsi="Times New Roman"/>
          <w:sz w:val="18"/>
          <w:szCs w:val="18"/>
          <w:color w:val="auto"/>
        </w:rPr>
        <w:t>means Part I of the United Kingdom Banking Act 2009 and any other law or regulation applicable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Kingdom relating to the resolution of unsound or failing banks, investment firms or other financial institutions or their affiliates (otherwise than through liquidation, administration or other insolvency proceedings).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Unpaid Sum </w:t>
      </w:r>
      <w:r>
        <w:rPr>
          <w:rFonts w:ascii="Times New Roman" w:cs="Times New Roman" w:eastAsia="Times New Roman" w:hAnsi="Times New Roman"/>
          <w:sz w:val="18"/>
          <w:szCs w:val="18"/>
          <w:color w:val="auto"/>
        </w:rPr>
        <w:t>means any sum due and payable but unpaid by an Obligor under the Finance Documents.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means the United States of America.</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Utilisation </w:t>
      </w:r>
      <w:r>
        <w:rPr>
          <w:rFonts w:ascii="Times New Roman" w:cs="Times New Roman" w:eastAsia="Times New Roman" w:hAnsi="Times New Roman"/>
          <w:sz w:val="18"/>
          <w:szCs w:val="18"/>
          <w:color w:val="auto"/>
        </w:rPr>
        <w:t>means the making of a Loan.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Utilisation Date </w:t>
      </w:r>
      <w:r>
        <w:rPr>
          <w:rFonts w:ascii="Times New Roman" w:cs="Times New Roman" w:eastAsia="Times New Roman" w:hAnsi="Times New Roman"/>
          <w:sz w:val="18"/>
          <w:szCs w:val="18"/>
          <w:color w:val="auto"/>
        </w:rPr>
        <w:t>means the date on which a Utilisation is to be made.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Utilisation Request </w:t>
      </w:r>
      <w:r>
        <w:rPr>
          <w:rFonts w:ascii="Times New Roman" w:cs="Times New Roman" w:eastAsia="Times New Roman" w:hAnsi="Times New Roman"/>
          <w:sz w:val="18"/>
          <w:szCs w:val="18"/>
          <w:color w:val="auto"/>
        </w:rPr>
        <w:t>means a notice substantially in the form set out in Schedule 4 (</w:t>
      </w:r>
      <w:r>
        <w:rPr>
          <w:rFonts w:ascii="Times New Roman" w:cs="Times New Roman" w:eastAsia="Times New Roman" w:hAnsi="Times New Roman"/>
          <w:sz w:val="18"/>
          <w:szCs w:val="18"/>
          <w:i w:val="1"/>
          <w:iCs w:val="1"/>
          <w:color w:val="auto"/>
        </w:rPr>
        <w:t>Utilisation Request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VAT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by the Value Added Tax Act 1994;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Write-down and Conversion Powers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right="20" w:hanging="644"/>
        <w:spacing w:after="0" w:line="282"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 other than the UK Bail-In Legislation: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 In Legislation that are related to or ancillary to any of those powers.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reference in any of the Finance Documents to:</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57"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plural shall include the singular and vice versa;</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to London time;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includes its successors in title, permitted assignees or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2" w:name="page203"/>
    <w:bookmarkEnd w:id="202"/>
    <w:p>
      <w:pPr>
        <w:jc w:val="both"/>
        <w:ind w:left="1500" w:hanging="656"/>
        <w:spacing w:after="0" w:line="266" w:lineRule="auto"/>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71" w:lineRule="exact"/>
        <w:rPr>
          <w:rFonts w:ascii="Times New Roman" w:cs="Times New Roman" w:eastAsia="Times New Roman" w:hAnsi="Times New Roman"/>
          <w:sz w:val="18"/>
          <w:szCs w:val="18"/>
          <w:color w:val="auto"/>
        </w:rPr>
      </w:pPr>
    </w:p>
    <w:p>
      <w:pPr>
        <w:jc w:val="both"/>
        <w:ind w:left="1500" w:hanging="656"/>
        <w:spacing w:after="0" w:line="262" w:lineRule="auto"/>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or more persons are </w:t>
      </w:r>
      <w:r>
        <w:rPr>
          <w:rFonts w:ascii="Times New Roman" w:cs="Times New Roman" w:eastAsia="Times New Roman" w:hAnsi="Times New Roman"/>
          <w:sz w:val="18"/>
          <w:szCs w:val="18"/>
          <w:b w:val="1"/>
          <w:bCs w:val="1"/>
          <w:color w:val="auto"/>
        </w:rPr>
        <w:t>acting in concert</w:t>
      </w:r>
      <w:r>
        <w:rPr>
          <w:rFonts w:ascii="Times New Roman" w:cs="Times New Roman" w:eastAsia="Times New Roman" w:hAnsi="Times New Roman"/>
          <w:sz w:val="18"/>
          <w:szCs w:val="18"/>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80"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agreed form means:</w:t>
      </w:r>
    </w:p>
    <w:p>
      <w:pPr>
        <w:spacing w:after="0" w:line="225" w:lineRule="exact"/>
        <w:rPr>
          <w:rFonts w:ascii="Times New Roman" w:cs="Times New Roman" w:eastAsia="Times New Roman" w:hAnsi="Times New Roman"/>
          <w:sz w:val="18"/>
          <w:szCs w:val="18"/>
          <w:color w:val="auto"/>
        </w:rPr>
      </w:pPr>
    </w:p>
    <w:p>
      <w:pPr>
        <w:ind w:left="2140" w:hanging="648"/>
        <w:spacing w:after="0" w:line="282" w:lineRule="auto"/>
        <w:tabs>
          <w:tab w:leader="none" w:pos="20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has already been executed by all of the relevant parties to it, such Finance Document in its executed form;</w:t>
      </w:r>
    </w:p>
    <w:p>
      <w:pPr>
        <w:spacing w:after="0" w:line="161" w:lineRule="exact"/>
        <w:rPr>
          <w:rFonts w:ascii="Times New Roman" w:cs="Times New Roman" w:eastAsia="Times New Roman" w:hAnsi="Times New Roman"/>
          <w:sz w:val="18"/>
          <w:szCs w:val="18"/>
          <w:color w:val="auto"/>
        </w:rPr>
      </w:pPr>
    </w:p>
    <w:p>
      <w:pPr>
        <w:ind w:left="2140" w:hanging="648"/>
        <w:spacing w:after="0" w:line="261" w:lineRule="auto"/>
        <w:tabs>
          <w:tab w:leader="none" w:pos="20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a Finance Document, the form of such Finance Document separately agreed in writing between the Agent (acting on the instructions of all the Lenders) and the Borrower as the form in which that Finance Document is to be executed or another form approved at the request of the Borrower or, if not so agreed or approved, is in the form reasonably required by the Agent;</w:t>
      </w:r>
    </w:p>
    <w:p>
      <w:pPr>
        <w:spacing w:after="0" w:line="175" w:lineRule="exact"/>
        <w:rPr>
          <w:rFonts w:ascii="Times New Roman" w:cs="Times New Roman" w:eastAsia="Times New Roman" w:hAnsi="Times New Roman"/>
          <w:sz w:val="18"/>
          <w:szCs w:val="18"/>
          <w:color w:val="auto"/>
        </w:rPr>
      </w:pPr>
    </w:p>
    <w:p>
      <w:pPr>
        <w:jc w:val="both"/>
        <w:ind w:left="1500" w:hanging="656"/>
        <w:spacing w:after="0" w:line="259" w:lineRule="auto"/>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approved by the Majority Lenders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approved by the Lenders </w:t>
      </w:r>
      <w:r>
        <w:rPr>
          <w:rFonts w:ascii="Times New Roman" w:cs="Times New Roman" w:eastAsia="Times New Roman" w:hAnsi="Times New Roman"/>
          <w:sz w:val="18"/>
          <w:szCs w:val="18"/>
          <w:color w:val="auto"/>
        </w:rPr>
        <w:t>means approved in writing by the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acting on the instructions of the Majority Lenders or, as the case may be, all of the Lenders (on such conditions as they may respectively impose) and otherwise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approve</w:t>
      </w:r>
      <w:r>
        <w:rPr>
          <w:rFonts w:ascii="Times New Roman" w:cs="Times New Roman" w:eastAsia="Times New Roman" w:hAnsi="Times New Roman"/>
          <w:sz w:val="18"/>
          <w:szCs w:val="18"/>
          <w:color w:val="auto"/>
        </w:rPr>
        <w:t xml:space="preserve"> shall be construed accordingly;</w:t>
      </w:r>
    </w:p>
    <w:p>
      <w:pPr>
        <w:spacing w:after="0" w:line="17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18"/>
          <w:szCs w:val="18"/>
          <w:color w:val="auto"/>
        </w:rPr>
        <w:t>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ind w:left="1500" w:hanging="656"/>
        <w:spacing w:after="0" w:line="286" w:lineRule="auto"/>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xml:space="preserve"> means any authorisation, consent, concession, approval, resolution, licence, exemption, filing, notarisation or registration;</w:t>
      </w:r>
    </w:p>
    <w:p>
      <w:pPr>
        <w:spacing w:after="0" w:line="154" w:lineRule="exact"/>
        <w:rPr>
          <w:rFonts w:ascii="Times New Roman" w:cs="Times New Roman" w:eastAsia="Times New Roman" w:hAnsi="Times New Roman"/>
          <w:sz w:val="18"/>
          <w:szCs w:val="18"/>
          <w:color w:val="auto"/>
        </w:rPr>
      </w:pPr>
    </w:p>
    <w:p>
      <w:pPr>
        <w:jc w:val="both"/>
        <w:ind w:left="1500" w:hanging="656"/>
        <w:spacing w:after="0" w:line="262" w:lineRule="auto"/>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charter commitment </w:t>
      </w:r>
      <w:r>
        <w:rPr>
          <w:rFonts w:ascii="Times New Roman" w:cs="Times New Roman" w:eastAsia="Times New Roman" w:hAnsi="Times New Roman"/>
          <w:sz w:val="18"/>
          <w:szCs w:val="18"/>
          <w:color w:val="auto"/>
        </w:rPr>
        <w:t>means, in relation to a vessel, any charter or contract for the use,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that vessel or the carriage of people and/or cargo or the provision of services by or from it and includes any contract of affreightment or any contract for services relating to that vessel and any agreement for pooling or sharing income derived from any such charter or contract;</w:t>
      </w:r>
    </w:p>
    <w:p>
      <w:pPr>
        <w:spacing w:after="0" w:line="176"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of an entity means:</w:t>
      </w:r>
    </w:p>
    <w:p>
      <w:pPr>
        <w:spacing w:after="0" w:line="229" w:lineRule="exact"/>
        <w:rPr>
          <w:rFonts w:ascii="Times New Roman" w:cs="Times New Roman" w:eastAsia="Times New Roman" w:hAnsi="Times New Roman"/>
          <w:sz w:val="18"/>
          <w:szCs w:val="18"/>
          <w:color w:val="auto"/>
        </w:rPr>
      </w:pPr>
    </w:p>
    <w:p>
      <w:pPr>
        <w:ind w:left="2140" w:hanging="648"/>
        <w:spacing w:after="0" w:line="282" w:lineRule="auto"/>
        <w:tabs>
          <w:tab w:leader="none" w:pos="20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(whether by way of ownership of shares, partnership interest or units or limited liability company interest or by proxy, contract, agency or otherwise, directly or indirectly) to:</w:t>
      </w:r>
    </w:p>
    <w:p>
      <w:pPr>
        <w:spacing w:after="0" w:line="161" w:lineRule="exact"/>
        <w:rPr>
          <w:rFonts w:ascii="Times New Roman" w:cs="Times New Roman" w:eastAsia="Times New Roman" w:hAnsi="Times New Roman"/>
          <w:sz w:val="18"/>
          <w:szCs w:val="18"/>
          <w:color w:val="auto"/>
        </w:rPr>
      </w:pPr>
    </w:p>
    <w:p>
      <w:pPr>
        <w:ind w:left="2460" w:hanging="320"/>
        <w:spacing w:after="0" w:line="282" w:lineRule="auto"/>
        <w:tabs>
          <w:tab w:leader="none" w:pos="246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or control the casting of, more than 50 per cent of the maximum number of votes that might be cast at a general meeting (or equivalent) of that entity; or</w:t>
      </w:r>
    </w:p>
    <w:p>
      <w:pPr>
        <w:spacing w:after="0" w:line="161" w:lineRule="exact"/>
        <w:rPr>
          <w:rFonts w:ascii="Times New Roman" w:cs="Times New Roman" w:eastAsia="Times New Roman" w:hAnsi="Times New Roman"/>
          <w:sz w:val="18"/>
          <w:szCs w:val="18"/>
          <w:color w:val="auto"/>
        </w:rPr>
      </w:pPr>
    </w:p>
    <w:p>
      <w:pPr>
        <w:ind w:left="2460" w:hanging="320"/>
        <w:spacing w:after="0" w:line="282" w:lineRule="auto"/>
        <w:tabs>
          <w:tab w:leader="none" w:pos="246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all, or the majority, of the directors or other equivalent officers of that entity; or</w:t>
      </w:r>
    </w:p>
    <w:p>
      <w:pPr>
        <w:spacing w:after="0" w:line="161" w:lineRule="exact"/>
        <w:rPr>
          <w:rFonts w:ascii="Times New Roman" w:cs="Times New Roman" w:eastAsia="Times New Roman" w:hAnsi="Times New Roman"/>
          <w:sz w:val="18"/>
          <w:szCs w:val="18"/>
          <w:color w:val="auto"/>
        </w:rPr>
      </w:pPr>
    </w:p>
    <w:p>
      <w:pPr>
        <w:ind w:left="2460" w:right="20" w:hanging="320"/>
        <w:spacing w:after="0" w:line="282" w:lineRule="auto"/>
        <w:tabs>
          <w:tab w:leader="none" w:pos="246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with respect to the operating and financial policies of that entity with which the directors or other equivalent officers of that entity are obliged to comply;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03" w:name="page204"/>
    <w:bookmarkEnd w:id="203"/>
    <w:p>
      <w:pPr>
        <w:ind w:left="2140" w:hanging="648"/>
        <w:spacing w:after="0" w:line="255" w:lineRule="auto"/>
        <w:tabs>
          <w:tab w:leader="none" w:pos="20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shall be construed accordingly;</w:t>
      </w:r>
    </w:p>
    <w:p>
      <w:pPr>
        <w:spacing w:after="0" w:line="225" w:lineRule="exact"/>
        <w:rPr>
          <w:sz w:val="20"/>
          <w:szCs w:val="20"/>
          <w:color w:val="auto"/>
        </w:rPr>
      </w:pPr>
    </w:p>
    <w:p>
      <w:pPr>
        <w:jc w:val="both"/>
        <w:ind w:left="1500" w:hanging="656"/>
        <w:spacing w:after="0" w:line="259"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color w:val="auto"/>
        </w:rPr>
        <w:t xml:space="preserve"> in relation to its participation in a Loan (or any relevant part of it) is a reference to the average cost (determined either on an actual or a notional basis) which that Lender would incur if it were to fund, from whatever source(s) it may reasonably select, an amount equal to the amount of that participation in a Loan (or any relevant part of it) for a period equal in length to the Interest Period of that Loan or relevant part of it;</w:t>
      </w:r>
    </w:p>
    <w:p>
      <w:pPr>
        <w:spacing w:after="0" w:line="178" w:lineRule="exact"/>
        <w:rPr>
          <w:rFonts w:ascii="Times New Roman" w:cs="Times New Roman" w:eastAsia="Times New Roman" w:hAnsi="Times New Roman"/>
          <w:sz w:val="18"/>
          <w:szCs w:val="18"/>
          <w:color w:val="auto"/>
        </w:rPr>
      </w:pPr>
    </w:p>
    <w:p>
      <w:pPr>
        <w:jc w:val="both"/>
        <w:ind w:left="1500" w:hanging="656"/>
        <w:spacing w:after="0" w:line="262"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76" w:lineRule="exact"/>
        <w:rPr>
          <w:rFonts w:ascii="Times New Roman" w:cs="Times New Roman" w:eastAsia="Times New Roman" w:hAnsi="Times New Roman"/>
          <w:sz w:val="18"/>
          <w:szCs w:val="18"/>
          <w:color w:val="auto"/>
        </w:rPr>
      </w:pPr>
    </w:p>
    <w:p>
      <w:pPr>
        <w:ind w:left="1500" w:right="20" w:hanging="656"/>
        <w:spacing w:after="0" w:line="286"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 </w:t>
      </w:r>
      <w:r>
        <w:rPr>
          <w:rFonts w:ascii="Times New Roman" w:cs="Times New Roman" w:eastAsia="Times New Roman" w:hAnsi="Times New Roman"/>
          <w:sz w:val="18"/>
          <w:szCs w:val="18"/>
          <w:color w:val="auto"/>
        </w:rPr>
        <w:t>means humans, animals, plants and all other living organisms including the ecological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they form part and the following media:</w:t>
      </w:r>
    </w:p>
    <w:p>
      <w:pPr>
        <w:spacing w:after="0" w:line="158" w:lineRule="exact"/>
        <w:rPr>
          <w:rFonts w:ascii="Times New Roman" w:cs="Times New Roman" w:eastAsia="Times New Roman" w:hAnsi="Times New Roman"/>
          <w:sz w:val="18"/>
          <w:szCs w:val="18"/>
          <w:color w:val="auto"/>
        </w:rPr>
      </w:pPr>
    </w:p>
    <w:p>
      <w:pPr>
        <w:ind w:left="2140" w:hanging="648"/>
        <w:spacing w:after="0" w:line="282" w:lineRule="auto"/>
        <w:tabs>
          <w:tab w:leader="none" w:pos="203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(including, without limitation, air within natural or man-made structures, whether above or below ground);</w:t>
      </w:r>
    </w:p>
    <w:p>
      <w:pPr>
        <w:spacing w:after="0" w:line="161" w:lineRule="exact"/>
        <w:rPr>
          <w:rFonts w:ascii="Times New Roman" w:cs="Times New Roman" w:eastAsia="Times New Roman" w:hAnsi="Times New Roman"/>
          <w:sz w:val="18"/>
          <w:szCs w:val="18"/>
          <w:color w:val="auto"/>
        </w:rPr>
      </w:pPr>
    </w:p>
    <w:p>
      <w:pPr>
        <w:ind w:left="2140" w:hanging="648"/>
        <w:spacing w:after="0" w:line="282" w:lineRule="auto"/>
        <w:tabs>
          <w:tab w:leader="none" w:pos="203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and (including, without limitation, territorial, coastal and inland waters, water under or within land and water in drains and sewers); and</w:t>
      </w:r>
    </w:p>
    <w:p>
      <w:pPr>
        <w:spacing w:after="0" w:line="161"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(including, without limitation, land under water and the sea bed);</w:t>
      </w:r>
    </w:p>
    <w:p>
      <w:pPr>
        <w:spacing w:after="0" w:line="221" w:lineRule="exact"/>
        <w:rPr>
          <w:rFonts w:ascii="Times New Roman" w:cs="Times New Roman" w:eastAsia="Times New Roman" w:hAnsi="Times New Roman"/>
          <w:sz w:val="18"/>
          <w:szCs w:val="18"/>
          <w:color w:val="auto"/>
        </w:rPr>
      </w:pPr>
    </w:p>
    <w:p>
      <w:pPr>
        <w:jc w:val="both"/>
        <w:ind w:left="1500" w:hanging="656"/>
        <w:spacing w:after="0" w:line="259"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equivalent</w:t>
      </w:r>
      <w:r>
        <w:rPr>
          <w:rFonts w:ascii="Times New Roman" w:cs="Times New Roman" w:eastAsia="Times New Roman" w:hAnsi="Times New Roman"/>
          <w:sz w:val="18"/>
          <w:szCs w:val="18"/>
          <w:color w:val="auto"/>
        </w:rPr>
        <w:t xml:space="preserve"> of an amount specified in a particular currency (the </w:t>
      </w:r>
      <w:r>
        <w:rPr>
          <w:rFonts w:ascii="Times New Roman" w:cs="Times New Roman" w:eastAsia="Times New Roman" w:hAnsi="Times New Roman"/>
          <w:sz w:val="18"/>
          <w:szCs w:val="18"/>
          <w:b w:val="1"/>
          <w:bCs w:val="1"/>
          <w:color w:val="auto"/>
        </w:rPr>
        <w:t>specified currency amount</w:t>
      </w:r>
      <w:r>
        <w:rPr>
          <w:rFonts w:ascii="Times New Roman" w:cs="Times New Roman" w:eastAsia="Times New Roman" w:hAnsi="Times New Roman"/>
          <w:sz w:val="18"/>
          <w:szCs w:val="18"/>
          <w:color w:val="auto"/>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such purchase being the </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government entity</w:t>
      </w:r>
      <w:r>
        <w:rPr>
          <w:rFonts w:ascii="Times New Roman" w:cs="Times New Roman" w:eastAsia="Times New Roman" w:hAnsi="Times New Roman"/>
          <w:sz w:val="18"/>
          <w:szCs w:val="18"/>
          <w:color w:val="auto"/>
        </w:rPr>
        <w:t xml:space="preserve"> means any government, state or agency of a state;</w:t>
      </w:r>
    </w:p>
    <w:p>
      <w:pPr>
        <w:spacing w:after="0" w:line="225" w:lineRule="exact"/>
        <w:rPr>
          <w:rFonts w:ascii="Times New Roman" w:cs="Times New Roman" w:eastAsia="Times New Roman" w:hAnsi="Times New Roman"/>
          <w:sz w:val="18"/>
          <w:szCs w:val="18"/>
          <w:color w:val="auto"/>
        </w:rPr>
      </w:pPr>
    </w:p>
    <w:p>
      <w:pPr>
        <w:ind w:left="1500" w:hanging="656"/>
        <w:spacing w:after="0" w:line="286"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group of Lenders</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group of Finance Parties</w:t>
      </w:r>
      <w:r>
        <w:rPr>
          <w:rFonts w:ascii="Times New Roman" w:cs="Times New Roman" w:eastAsia="Times New Roman" w:hAnsi="Times New Roman"/>
          <w:sz w:val="18"/>
          <w:szCs w:val="18"/>
          <w:color w:val="auto"/>
        </w:rPr>
        <w:t xml:space="preserve"> includes all the Lenders or (as the case may be) all the Finance Parties;</w:t>
      </w:r>
    </w:p>
    <w:p>
      <w:pPr>
        <w:spacing w:after="0" w:line="154" w:lineRule="exact"/>
        <w:rPr>
          <w:rFonts w:ascii="Times New Roman" w:cs="Times New Roman" w:eastAsia="Times New Roman" w:hAnsi="Times New Roman"/>
          <w:sz w:val="18"/>
          <w:szCs w:val="18"/>
          <w:color w:val="auto"/>
        </w:rPr>
      </w:pPr>
    </w:p>
    <w:p>
      <w:pPr>
        <w:jc w:val="both"/>
        <w:ind w:left="1500" w:hanging="656"/>
        <w:spacing w:after="0" w:line="259"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means (other than in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79" w:lineRule="exact"/>
        <w:rPr>
          <w:rFonts w:ascii="Times New Roman" w:cs="Times New Roman" w:eastAsia="Times New Roman" w:hAnsi="Times New Roman"/>
          <w:sz w:val="18"/>
          <w:szCs w:val="18"/>
          <w:color w:val="auto"/>
        </w:rPr>
      </w:pPr>
    </w:p>
    <w:p>
      <w:pPr>
        <w:ind w:left="1500" w:hanging="656"/>
        <w:spacing w:after="0" w:line="286" w:lineRule="auto"/>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includes any obligation (whether incurred as principal or as surety) for the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of money, whether present or future, actual or contingent;</w:t>
      </w:r>
    </w:p>
    <w:p>
      <w:pPr>
        <w:spacing w:after="0" w:line="154"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obligation</w:t>
      </w:r>
      <w:r>
        <w:rPr>
          <w:rFonts w:ascii="Times New Roman" w:cs="Times New Roman" w:eastAsia="Times New Roman" w:hAnsi="Times New Roman"/>
          <w:sz w:val="18"/>
          <w:szCs w:val="18"/>
          <w:color w:val="auto"/>
        </w:rPr>
        <w:t xml:space="preserve"> means any duty, obligation or liability of any kind;</w:t>
      </w:r>
    </w:p>
    <w:p>
      <w:pPr>
        <w:sectPr>
          <w:pgSz w:w="11900" w:h="16838" w:orient="portrait"/>
          <w:cols w:equalWidth="0" w:num="1">
            <w:col w:w="9460"/>
          </w:cols>
          <w:pgMar w:left="1440" w:top="124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42" w:right="999" w:bottom="1440" w:gutter="0" w:footer="0" w:header="0"/>
          <w:type w:val="continuous"/>
        </w:sectPr>
      </w:pPr>
    </w:p>
    <w:bookmarkStart w:id="204" w:name="page205"/>
    <w:bookmarkEnd w:id="204"/>
    <w:p>
      <w:pPr>
        <w:jc w:val="both"/>
        <w:ind w:left="1500" w:hanging="656"/>
        <w:spacing w:after="0" w:line="268"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something being in the </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70" w:lineRule="exact"/>
        <w:rPr>
          <w:rFonts w:ascii="Times New Roman" w:cs="Times New Roman" w:eastAsia="Times New Roman" w:hAnsi="Times New Roman"/>
          <w:sz w:val="18"/>
          <w:szCs w:val="18"/>
          <w:color w:val="auto"/>
        </w:rPr>
      </w:pPr>
    </w:p>
    <w:p>
      <w:pPr>
        <w:ind w:left="1500" w:hanging="656"/>
        <w:spacing w:after="0" w:line="286"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 prepay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repay </w:t>
      </w:r>
      <w:r>
        <w:rPr>
          <w:rFonts w:ascii="Times New Roman" w:cs="Times New Roman" w:eastAsia="Times New Roman" w:hAnsi="Times New Roman"/>
          <w:sz w:val="18"/>
          <w:szCs w:val="18"/>
          <w:color w:val="auto"/>
        </w:rPr>
        <w:t>in clause 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by way of set-off, combination of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w:t>
      </w:r>
    </w:p>
    <w:p>
      <w:pPr>
        <w:spacing w:after="0" w:line="154" w:lineRule="exact"/>
        <w:rPr>
          <w:rFonts w:ascii="Times New Roman" w:cs="Times New Roman" w:eastAsia="Times New Roman" w:hAnsi="Times New Roman"/>
          <w:sz w:val="18"/>
          <w:szCs w:val="18"/>
          <w:color w:val="auto"/>
        </w:rPr>
      </w:pPr>
    </w:p>
    <w:p>
      <w:pPr>
        <w:ind w:left="1500" w:right="20" w:hanging="656"/>
        <w:spacing w:after="0" w:line="286"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any individual, firm, company, corporation, government entity or any association, trust, joint venture, consortium, partnership or other entity (whether or not having separate legal personality);</w:t>
      </w:r>
    </w:p>
    <w:p>
      <w:pPr>
        <w:spacing w:after="0" w:line="154" w:lineRule="exact"/>
        <w:rPr>
          <w:rFonts w:ascii="Times New Roman" w:cs="Times New Roman" w:eastAsia="Times New Roman" w:hAnsi="Times New Roman"/>
          <w:sz w:val="18"/>
          <w:szCs w:val="18"/>
          <w:color w:val="auto"/>
        </w:rPr>
      </w:pPr>
    </w:p>
    <w:p>
      <w:pPr>
        <w:jc w:val="both"/>
        <w:ind w:left="1500" w:hanging="656"/>
        <w:spacing w:after="0" w:line="262"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Regulation which is applicable to that Lender;</w:t>
      </w:r>
    </w:p>
    <w:p>
      <w:pPr>
        <w:spacing w:after="0" w:line="176" w:lineRule="exact"/>
        <w:rPr>
          <w:rFonts w:ascii="Times New Roman" w:cs="Times New Roman" w:eastAsia="Times New Roman" w:hAnsi="Times New Roman"/>
          <w:sz w:val="18"/>
          <w:szCs w:val="18"/>
          <w:color w:val="auto"/>
        </w:rPr>
      </w:pPr>
    </w:p>
    <w:p>
      <w:pPr>
        <w:jc w:val="both"/>
        <w:ind w:left="1500" w:right="20" w:hanging="656"/>
        <w:spacing w:after="0" w:line="268"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w:t>
      </w:r>
      <w:r>
        <w:rPr>
          <w:rFonts w:ascii="Times New Roman" w:cs="Times New Roman" w:eastAsia="Times New Roman" w:hAnsi="Times New Roman"/>
          <w:sz w:val="18"/>
          <w:szCs w:val="18"/>
          <w:color w:val="auto"/>
        </w:rPr>
        <w:t>means any right, privilege, power or remedy, any proprietary interest in any asset and any other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remedy of any kind, whether actual or contingent, present or future, arising under contract or law, or in equity;</w:t>
      </w:r>
    </w:p>
    <w:p>
      <w:pPr>
        <w:spacing w:after="0" w:line="174"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includes any member and (as the case may be) unitholders or holders of any other rights of similar nature;</w:t>
      </w:r>
    </w:p>
    <w:p>
      <w:pPr>
        <w:spacing w:after="0" w:line="157"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fiduciary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fiduciary duty </w:t>
      </w:r>
      <w:r>
        <w:rPr>
          <w:rFonts w:ascii="Times New Roman" w:cs="Times New Roman" w:eastAsia="Times New Roman" w:hAnsi="Times New Roman"/>
          <w:sz w:val="18"/>
          <w:szCs w:val="18"/>
          <w:color w:val="auto"/>
        </w:rPr>
        <w:t>has in each case the meaning given to such term under applicable law;</w:t>
      </w:r>
    </w:p>
    <w:p>
      <w:pPr>
        <w:spacing w:after="0" w:line="225" w:lineRule="exact"/>
        <w:rPr>
          <w:rFonts w:ascii="Times New Roman" w:cs="Times New Roman" w:eastAsia="Times New Roman" w:hAnsi="Times New Roman"/>
          <w:sz w:val="18"/>
          <w:szCs w:val="18"/>
          <w:color w:val="auto"/>
        </w:rPr>
      </w:pPr>
    </w:p>
    <w:p>
      <w:pPr>
        <w:jc w:val="both"/>
        <w:ind w:left="1500" w:hanging="656"/>
        <w:spacing w:after="0" w:line="256" w:lineRule="auto"/>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winding 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of person or (ii) a </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receiver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administrator </w:t>
      </w:r>
      <w:r>
        <w:rPr>
          <w:rFonts w:ascii="Times New Roman" w:cs="Times New Roman" w:eastAsia="Times New Roman" w:hAnsi="Times New Roman"/>
          <w:sz w:val="18"/>
          <w:szCs w:val="18"/>
          <w:color w:val="auto"/>
        </w:rPr>
        <w:t>in the context of insolvency proceedings or security enforcement actions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shall be 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 and</w:t>
      </w:r>
    </w:p>
    <w:p>
      <w:pPr>
        <w:spacing w:after="0" w:line="186"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 from time to time.</w:t>
      </w:r>
    </w:p>
    <w:p>
      <w:pPr>
        <w:spacing w:after="0" w:line="221" w:lineRule="exact"/>
        <w:rPr>
          <w:rFonts w:ascii="Times New Roman" w:cs="Times New Roman" w:eastAsia="Times New Roman" w:hAnsi="Times New Roman"/>
          <w:sz w:val="18"/>
          <w:szCs w:val="18"/>
          <w:color w:val="auto"/>
        </w:rPr>
      </w:pPr>
    </w:p>
    <w:p>
      <w:pPr>
        <w:jc w:val="both"/>
        <w:ind w:left="840" w:hanging="644"/>
        <w:spacing w:after="0" w:line="268" w:lineRule="auto"/>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extent to which a rate is "</w:t>
      </w:r>
      <w:r>
        <w:rPr>
          <w:rFonts w:ascii="Times New Roman" w:cs="Times New Roman" w:eastAsia="Times New Roman" w:hAnsi="Times New Roman"/>
          <w:sz w:val="18"/>
          <w:szCs w:val="18"/>
          <w:b w:val="1"/>
          <w:bCs w:val="1"/>
          <w:color w:val="auto"/>
        </w:rPr>
        <w:t>for a period equal in length</w:t>
      </w:r>
      <w:r>
        <w:rPr>
          <w:rFonts w:ascii="Times New Roman" w:cs="Times New Roman" w:eastAsia="Times New Roman" w:hAnsi="Times New Roman"/>
          <w:sz w:val="18"/>
          <w:szCs w:val="18"/>
          <w:color w:val="auto"/>
        </w:rPr>
        <w:t>" to an Interest Period shall disregard any inconsistency arising from the last day of that Interest Period being determined pursuant to the terms of this Agreement.</w:t>
      </w:r>
    </w:p>
    <w:p>
      <w:pPr>
        <w:spacing w:after="0" w:line="174"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an Event of Default) is continuing if it has not been remedied or waived and an Event of Default is continuing if it has not been waived or remedied to the satisfaction of the Agent (acting on the instructions of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205" w:name="page206"/>
    <w:bookmarkEnd w:id="205"/>
    <w:p>
      <w:pPr>
        <w:jc w:val="both"/>
        <w:ind w:left="1300" w:hanging="644"/>
        <w:spacing w:after="0" w:line="266" w:lineRule="auto"/>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page or screen of an information service displaying a rate shall include: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page of that information service which displays that rate;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page of such other information service which displays that rate from time to time in place of that information service,</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if such page or service ceases to be available, shall include any other page or service displaying that rate specified by the Agent after consultation with the Borrower.</w:t>
      </w:r>
    </w:p>
    <w:p>
      <w:pPr>
        <w:spacing w:after="0" w:line="162" w:lineRule="exact"/>
        <w:rPr>
          <w:sz w:val="20"/>
          <w:szCs w:val="20"/>
          <w:color w:val="auto"/>
        </w:rPr>
      </w:pPr>
    </w:p>
    <w:p>
      <w:pPr>
        <w:ind w:left="1300" w:hanging="644"/>
        <w:spacing w:after="0" w:line="282" w:lineRule="auto"/>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Central Bank Rate shall include any successor rate to, or replacement rate for, that rate.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Rate Supplement overrides anything in:</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9 (</w:t>
      </w:r>
      <w:r>
        <w:rPr>
          <w:rFonts w:ascii="Times New Roman" w:cs="Times New Roman" w:eastAsia="Times New Roman" w:hAnsi="Times New Roman"/>
          <w:sz w:val="18"/>
          <w:szCs w:val="18"/>
          <w:i w:val="1"/>
          <w:iCs w:val="1"/>
          <w:color w:val="auto"/>
        </w:rPr>
        <w:t>Reference Rate Terms</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earlier Reference Rate Supplement.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Compounding Methodology Supplement relating to the Daily Non-Cumulative Compounded RFR Rate overrides anything relating to that rate in:</w:t>
      </w:r>
    </w:p>
    <w:p>
      <w:pPr>
        <w:spacing w:after="0" w:line="15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10 (</w:t>
      </w:r>
      <w:r>
        <w:rPr>
          <w:rFonts w:ascii="Times New Roman" w:cs="Times New Roman" w:eastAsia="Times New Roman" w:hAnsi="Times New Roman"/>
          <w:sz w:val="18"/>
          <w:szCs w:val="18"/>
          <w:i w:val="1"/>
          <w:iCs w:val="1"/>
          <w:color w:val="auto"/>
        </w:rPr>
        <w:t>Daily Non-Cumulative Compounded RFR Rate</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earlier Compounding Methodology Supplement.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dollars </w:t>
      </w:r>
      <w:r>
        <w:rPr>
          <w:rFonts w:ascii="Times New Roman" w:cs="Times New Roman" w:eastAsia="Times New Roman" w:hAnsi="Times New Roman"/>
          <w:sz w:val="18"/>
          <w:szCs w:val="18"/>
          <w:color w:val="auto"/>
        </w:rPr>
        <w:t>denote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EUR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euro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denote the lawful currency of the Participating Member States.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enjoy the benefit of any term of the relevant Finance Document.</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Document may be rescinded or varied by the parties to it without the consent of any person who is not a party to it (unless otherwise provided by this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Finance Documents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any other Finance Document provides that this clause 1.5 shall apply to that Finance Document, any other provision of this Agreement which, by its terms, purports to apply to all or any of the Finance Documents and/or any Obligor shall apply to that Finance Document as if set out in it but with all necessary changes.</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06" w:name="page207"/>
    <w:bookmarkEnd w:id="2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Conflict of documents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Section 2 - The Facility</w:t>
      </w:r>
    </w:p>
    <w:p>
      <w:pPr>
        <w:spacing w:after="0" w:line="117"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the terms of this Agreement, the Lenders make available to the Borrower a reducing revolving loan facility in an aggregate amount equal to the Total Commitments.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243" w:lineRule="exact"/>
        <w:rPr>
          <w:sz w:val="20"/>
          <w:szCs w:val="20"/>
          <w:color w:val="auto"/>
        </w:rPr>
      </w:pPr>
    </w:p>
    <w:p>
      <w:pPr>
        <w:jc w:val="both"/>
        <w:ind w:left="1300" w:hanging="644"/>
        <w:spacing w:after="0" w:line="261"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93"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w:t>
      </w:r>
    </w:p>
    <w:p>
      <w:pPr>
        <w:spacing w:after="0" w:line="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below. The rights of each Finance Party include any debt owing to that Finance Party under the Finance Documents and, for the avoidance of doubt, any part of any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200"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Finance Party may, except as specifically provided in the Finance Documents (including clause 38.2 </w:t>
      </w: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acting together)</w:t>
      </w:r>
      <w:r>
        <w:rPr>
          <w:rFonts w:ascii="Times New Roman" w:cs="Times New Roman" w:eastAsia="Times New Roman" w:hAnsi="Times New Roman"/>
          <w:sz w:val="18"/>
          <w:szCs w:val="18"/>
          <w:color w:val="auto"/>
        </w:rPr>
        <w:t>), separately enforce its rights under or in connection with the Finance Documents.</w:t>
      </w:r>
    </w:p>
    <w:p>
      <w:pPr>
        <w:spacing w:after="0" w:line="170"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Purpose</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The Borrower shall apply all amounts borrowed under the Facility in accordance with and subject to clause 3.2 (</w:t>
      </w:r>
      <w:r>
        <w:rPr>
          <w:rFonts w:ascii="Times New Roman" w:cs="Times New Roman" w:eastAsia="Times New Roman" w:hAnsi="Times New Roman"/>
          <w:sz w:val="18"/>
          <w:szCs w:val="18"/>
          <w:i w:val="1"/>
          <w:iCs w:val="1"/>
          <w:color w:val="auto"/>
        </w:rPr>
        <w:t>Refinancing</w:t>
      </w:r>
      <w:r>
        <w:rPr>
          <w:rFonts w:ascii="Times New Roman" w:cs="Times New Roman" w:eastAsia="Times New Roman" w:hAnsi="Times New Roman"/>
          <w:sz w:val="18"/>
          <w:szCs w:val="18"/>
          <w:color w:val="auto"/>
        </w:rPr>
        <w:t>) and clause 3.3 (</w:t>
      </w:r>
      <w:r>
        <w:rPr>
          <w:rFonts w:ascii="Times New Roman" w:cs="Times New Roman" w:eastAsia="Times New Roman" w:hAnsi="Times New Roman"/>
          <w:sz w:val="18"/>
          <w:szCs w:val="18"/>
          <w:i w:val="1"/>
          <w:iCs w:val="1"/>
          <w:color w:val="auto"/>
        </w:rPr>
        <w:t>Subsequent Loans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Refinancing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Commitments shall initially be made available solely for the purpose of assisting the Borrower to refinance in full all amounts comprising the Existing Indebtedness.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Subsequent 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that, the Commitments may be used for general corporate and working capital purposes and to repay maturing Loans.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235"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may not deliver the first Utilisation Request unless the Agent, or its duly authorised representative, has received all of the documents and other evidence listed in Part 1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Schedule 3 (</w:t>
      </w:r>
      <w:r>
        <w:rPr>
          <w:rFonts w:ascii="Times New Roman" w:cs="Times New Roman" w:eastAsia="Times New Roman" w:hAnsi="Times New Roman"/>
          <w:sz w:val="18"/>
          <w:szCs w:val="18"/>
          <w:i w:val="1"/>
          <w:iCs w:val="1"/>
          <w:color w:val="auto"/>
        </w:rPr>
        <w:t>Conditions precedent to the first Utilisation</w:t>
      </w:r>
      <w:r>
        <w:rPr>
          <w:rFonts w:ascii="Times New Roman" w:cs="Times New Roman" w:eastAsia="Times New Roman" w:hAnsi="Times New Roman"/>
          <w:sz w:val="18"/>
          <w:szCs w:val="18"/>
          <w:color w:val="auto"/>
        </w:rPr>
        <w:t>) in form and substance satisfactory to the Agent.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Ship and security conditions precedent</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in relation to any Utilisation and the Commitments may only be borrowed under this Agreement if, on or before the first Utilisation, the Agent, or its duly authorised representative, has received all of the documents and evidence listed in Part 2 of Schedule 3 (</w:t>
      </w:r>
      <w:r>
        <w:rPr>
          <w:rFonts w:ascii="Times New Roman" w:cs="Times New Roman" w:eastAsia="Times New Roman" w:hAnsi="Times New Roman"/>
          <w:sz w:val="18"/>
          <w:szCs w:val="18"/>
          <w:i w:val="1"/>
          <w:iCs w:val="1"/>
          <w:color w:val="auto"/>
        </w:rPr>
        <w:t>Ship and security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precedent</w:t>
      </w:r>
      <w:r>
        <w:rPr>
          <w:rFonts w:ascii="Times New Roman" w:cs="Times New Roman" w:eastAsia="Times New Roman" w:hAnsi="Times New Roman"/>
          <w:sz w:val="18"/>
          <w:szCs w:val="18"/>
          <w:color w:val="auto"/>
        </w:rPr>
        <w:t>) in form and substance satisfactory to the Agent.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Notice of satisfaction of conditions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Agent shall notify the Lenders and the Borrower promptly after receipt by it of the documents and evidence referred to in this clause 4 in form and substance satisfactory to it.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xml:space="preserve"> if:</w:t>
      </w:r>
    </w:p>
    <w:p>
      <w:pPr>
        <w:spacing w:after="0" w:line="227" w:lineRule="exact"/>
        <w:rPr>
          <w:sz w:val="20"/>
          <w:szCs w:val="20"/>
          <w:color w:val="auto"/>
        </w:rPr>
      </w:pPr>
    </w:p>
    <w:p>
      <w:pPr>
        <w:ind w:left="130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Rollover Loan, on the date of the Utilisation Request and on the proposed Utilisation Date, no Event of Default is continuing or would result from the proposed Loan;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Utilisation, on the date of the Utilisation Request and on the proposed Utilisation Date, no Default is continuing or would result from the proposed Utilisation;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the first Utilisation Request and on the proposed Utilisation Date, all of the representations set out in clause 18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xml:space="preserve"> are true;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each subsequent Utilisation Request and on the proposed Utilisation Date, the Repeating Representations are true;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each Utilisation Request and on each proposed Utilisation Date, 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Value would not be less than the Minimum Value immediately after the proposed Utilisation; and</w:t>
      </w:r>
    </w:p>
    <w:p>
      <w:pPr>
        <w:spacing w:after="0" w:line="223"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prepayment or cancellation event has occurred under clause 7.10 (</w:t>
      </w:r>
      <w:r>
        <w:rPr>
          <w:rFonts w:ascii="Times New Roman" w:cs="Times New Roman" w:eastAsia="Times New Roman" w:hAnsi="Times New Roman"/>
          <w:sz w:val="18"/>
          <w:szCs w:val="18"/>
          <w:i w:val="1"/>
          <w:iCs w:val="1"/>
          <w:color w:val="auto"/>
        </w:rPr>
        <w:t>Mandatory prepayment and cancellation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non-compliance with Sanctions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more than 10 Loans may be outstanding at any time. Any Separate Loan shall not be taken into account for the purposes of this clause 4.5.</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Waiver of conditions precedent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conditions in this clause 4 are inserted solely for the benefit of the Finance Parties and may be waived on their behalf in whole or in part and with or without conditions by the Agent acting on the instructions of the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3 - Utilisation</w:t>
      </w:r>
    </w:p>
    <w:p>
      <w:pPr>
        <w:spacing w:after="0" w:line="185"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may utilise the Facility by delivery to the Agent of a duly completed Utilisation Request not later than 11:00 a.m.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three Business Days before the proposed Utilisation Date.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falling on or before the Last Availability Date;</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Interest Period complies with clause 10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identifies the purpose for the Utilisation and that purpose complies with clause 3 </w:t>
      </w:r>
      <w:r>
        <w:rPr>
          <w:rFonts w:ascii="Times New Roman" w:cs="Times New Roman" w:eastAsia="Times New Roman" w:hAnsi="Times New Roman"/>
          <w:sz w:val="18"/>
          <w:szCs w:val="18"/>
          <w:i w:val="1"/>
          <w:iCs w:val="1"/>
          <w:color w:val="auto"/>
        </w:rPr>
        <w:t>(Purpose).</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up to two (2) Loans may be requested in each Utilisation Request.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if, at the time of the proposed Utilisation, more than ten (10) Loans would be outstanding.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to be borrowed pursuant to a Utilisation Request may only become available for borrowing in up to two (2) Loans.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229"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dollars.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available and advanced under all the Loans of the Facility as at the time and in respect of the first Utilisation, shall not exceed the Total Commitments, which is the amount equal to the lower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$2,800,000,000;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dollars which is equal to 66.5% of the aggregate of the market values of all Ships at the time of the first Utilisation, as demonstrated by the most recent valuations obtained by the Lenders prior to the date of this Agreement and referred to in Part 1 of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After the first Utilisation, the total amount available and advanced under all Loans of the Facility shall not exceed the Total Commitments.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must be a minimum of $5,000,000 or, if less, the amount of the Total Commitments less the aggregate amount of the outstanding Loans and must not exceed (when aggregated with the outstanding Loans) the Total Commitments.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w:t>
      </w:r>
      <w:r>
        <w:rPr>
          <w:rFonts w:ascii="Arial" w:cs="Arial" w:eastAsia="Arial" w:hAnsi="Arial"/>
          <w:sz w:val="17"/>
          <w:szCs w:val="17"/>
          <w:b w:val="1"/>
          <w:bCs w:val="1"/>
          <w:color w:val="auto"/>
        </w:rPr>
        <w:t>’</w:t>
      </w:r>
      <w:r>
        <w:rPr>
          <w:rFonts w:ascii="Times New Roman" w:cs="Times New Roman" w:eastAsia="Times New Roman" w:hAnsi="Times New Roman"/>
          <w:sz w:val="17"/>
          <w:szCs w:val="17"/>
          <w:b w:val="1"/>
          <w:bCs w:val="1"/>
          <w:color w:val="auto"/>
        </w:rPr>
        <w:t xml:space="preserve"> participation</w:t>
      </w:r>
    </w:p>
    <w:p>
      <w:pPr>
        <w:spacing w:after="0" w:line="227" w:lineRule="exact"/>
        <w:rPr>
          <w:sz w:val="20"/>
          <w:szCs w:val="20"/>
          <w:color w:val="auto"/>
        </w:rPr>
      </w:pPr>
    </w:p>
    <w:p>
      <w:pPr>
        <w:ind w:left="1300" w:right="20" w:hanging="644"/>
        <w:spacing w:after="0" w:line="284"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conditions set out in this Agreement have been met and subject to clause 6.1 </w:t>
      </w:r>
      <w:r>
        <w:rPr>
          <w:rFonts w:ascii="Times New Roman" w:cs="Times New Roman" w:eastAsia="Times New Roman" w:hAnsi="Times New Roman"/>
          <w:sz w:val="18"/>
          <w:szCs w:val="18"/>
          <w:i w:val="1"/>
          <w:iCs w:val="1"/>
          <w:color w:val="auto"/>
        </w:rPr>
        <w:t>(Repayment)</w:t>
      </w:r>
      <w:r>
        <w:rPr>
          <w:rFonts w:ascii="Times New Roman" w:cs="Times New Roman" w:eastAsia="Times New Roman" w:hAnsi="Times New Roman"/>
          <w:sz w:val="18"/>
          <w:szCs w:val="18"/>
          <w:color w:val="auto"/>
        </w:rPr>
        <w:t>, each Lender shall make its participation in each Loan available by the Utilisation Date through its Facility Office.</w:t>
      </w:r>
    </w:p>
    <w:p>
      <w:pPr>
        <w:sectPr>
          <w:pgSz w:w="11900" w:h="16838" w:orient="portrait"/>
          <w:cols w:equalWidth="0" w:num="1">
            <w:col w:w="9920"/>
          </w:cols>
          <w:pgMar w:left="980" w:top="123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38" w:right="999" w:bottom="1440" w:gutter="0" w:footer="0" w:header="0"/>
          <w:type w:val="continuous"/>
        </w:sectPr>
      </w:pPr>
    </w:p>
    <w:bookmarkStart w:id="210" w:name="page211"/>
    <w:bookmarkEnd w:id="210"/>
    <w:p>
      <w:pPr>
        <w:ind w:left="1300" w:right="20" w:hanging="644"/>
        <w:spacing w:after="0" w:line="282"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will be equal to the proportion borne by its Available Commitment to the Available Facility immediately prior to making the relevant Loan.</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promptly notify each Lender of the amount of each Loan and the amount of its participation in the relevant Loan and, if different, the amount of that participation to be made available in accordance with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in each case by 11:00 a.m. on the relevant Quotation Day.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pay all amounts received by it in respect of each Loan (and its own participation in it, if any) to the Borrower or for its account in accordance with the instructions contained in the relevant Utilisation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Prepositioning of funds</w:t>
      </w:r>
    </w:p>
    <w:p>
      <w:pPr>
        <w:spacing w:after="0" w:line="229" w:lineRule="exact"/>
        <w:rPr>
          <w:sz w:val="20"/>
          <w:szCs w:val="20"/>
          <w:color w:val="auto"/>
        </w:rPr>
      </w:pPr>
    </w:p>
    <w:p>
      <w:pPr>
        <w:ind w:left="1300" w:hanging="644"/>
        <w:spacing w:after="0" w:line="282"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Borrower may have not yet satisfied all of the conditions precedent set out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order to facilitate the refinancing of the Existing Indebtedness, and provided that: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submitted the Utilisation Request in respect of the first Utilisation under this Agreement in accordance with this Clause 5.5 (</w:t>
      </w:r>
      <w:r>
        <w:rPr>
          <w:rFonts w:ascii="Times New Roman" w:cs="Times New Roman" w:eastAsia="Times New Roman" w:hAnsi="Times New Roman"/>
          <w:sz w:val="18"/>
          <w:szCs w:val="18"/>
          <w:i w:val="1"/>
          <w:iCs w:val="1"/>
          <w:color w:val="auto"/>
        </w:rPr>
        <w:t>Prepositioning of funds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satisfied the conditions precedent set out in paragraphs 1, 3, 4, 5 and 6 of Part 1 of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1" w:lineRule="auto"/>
        <w:tabs>
          <w:tab w:leader="none" w:pos="19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Agent (acting on the instructions of the Majority Lenders) the Borrower is reasonably likely to satisfy all remaining and outstanding conditions precedent set out in Part 1 and Part 2 of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within 5 Business Days from the Utilisation Date and in any event on or before the Release (as defined in Clause 5.5(b)),</w:t>
      </w:r>
    </w:p>
    <w:p>
      <w:pPr>
        <w:spacing w:after="0" w:line="180"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Lenders (following a decision made by the Majority Lenders) may, subject to the other terms and conditions of this Clause 5.5 (</w:t>
      </w:r>
      <w:r>
        <w:rPr>
          <w:rFonts w:ascii="Times New Roman" w:cs="Times New Roman" w:eastAsia="Times New Roman" w:hAnsi="Times New Roman"/>
          <w:sz w:val="18"/>
          <w:szCs w:val="18"/>
          <w:i w:val="1"/>
          <w:iCs w:val="1"/>
          <w:color w:val="auto"/>
        </w:rPr>
        <w:t>Prepositioning of funds</w:t>
      </w:r>
      <w:r>
        <w:rPr>
          <w:rFonts w:ascii="Times New Roman" w:cs="Times New Roman" w:eastAsia="Times New Roman" w:hAnsi="Times New Roman"/>
          <w:sz w:val="18"/>
          <w:szCs w:val="18"/>
          <w:color w:val="auto"/>
        </w:rPr>
        <w:t>) and the other provisions of this Agreement, make the first Utilisation under this Agreement available on the date specified in the relevant Utilisation Request, being the date on which the relevant part of the Existing Indebtedness is agreed (between the Borrower and each Outgoing Agent) to be deposited with the relevant Outgoing Agent (such date to be acceptable to the Majority Lenders acting reasonably).</w:t>
      </w:r>
    </w:p>
    <w:p>
      <w:pPr>
        <w:spacing w:after="0" w:line="183" w:lineRule="exact"/>
        <w:rPr>
          <w:sz w:val="20"/>
          <w:szCs w:val="20"/>
          <w:color w:val="auto"/>
        </w:rPr>
      </w:pPr>
    </w:p>
    <w:p>
      <w:pPr>
        <w:jc w:val="both"/>
        <w:ind w:left="1300" w:hanging="644"/>
        <w:spacing w:after="0" w:line="254"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(or any part of it) utilised under the first Utilisation under this Agreement and pursuant to this Clause 5.5 (</w:t>
      </w:r>
      <w:r>
        <w:rPr>
          <w:rFonts w:ascii="Times New Roman" w:cs="Times New Roman" w:eastAsia="Times New Roman" w:hAnsi="Times New Roman"/>
          <w:sz w:val="18"/>
          <w:szCs w:val="18"/>
          <w:i w:val="1"/>
          <w:iCs w:val="1"/>
          <w:color w:val="auto"/>
        </w:rPr>
        <w:t>Prepositioning of funds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Pre-placed Loan</w:t>
      </w:r>
      <w:r>
        <w:rPr>
          <w:rFonts w:ascii="Times New Roman" w:cs="Times New Roman" w:eastAsia="Times New Roman" w:hAnsi="Times New Roman"/>
          <w:sz w:val="18"/>
          <w:szCs w:val="18"/>
          <w:color w:val="auto"/>
        </w:rPr>
        <w:t xml:space="preserve">) shall (subject to the other provisions of this Agreement) be remitted by the Agent to the relevant Outgoing Agents as a cash deposit in the Agent's name with each Outgoing Agent with its correspondent bank in New York or in such other place acceptable to the Agent in its sole discretion, on condition that it will be held by each Outgoing Agent to the order of the Agent for release by the Agent to each Outgoing Agent for the purpose of refinancing the relevant part of the Existing Indebtedness equal to the relevant portion of the Pre-placed Loan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only subject to such irrevocable instructions addressed from the Agent to each Outgoing Agent as are acceptable to the Agent (</w:t>
      </w:r>
      <w:r>
        <w:rPr>
          <w:rFonts w:ascii="Times New Roman" w:cs="Times New Roman" w:eastAsia="Times New Roman" w:hAnsi="Times New Roman"/>
          <w:sz w:val="18"/>
          <w:szCs w:val="18"/>
          <w:b w:val="1"/>
          <w:bCs w:val="1"/>
          <w:color w:val="auto"/>
        </w:rPr>
        <w:t>Irrevocable Instructions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Irrevocable Instructions in relation to the Pre-placed Loan shall in any event provide (inter alia) that the Pre-placed Loan shall be returned to the Agent within 5 Business Days (or such longer period as may be agreed by the Agent (acting on the instructions of the Majority Lenders)) if not released to the Outgoing Agents or their order. The Agent shall not (and shall procure that its authorised representatives specified in the Irrevocable Instructions shall not) release or agree to release the Pre-placed Loan to the Outgoing Agents or their order, unless and until:</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satisfied that a certificate of encumbrances (or an equivalent document) in respect of each Ship evidencing that such Ship is registered in the name of the relevant Owner under the Flag State and that such Ship is free of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1" w:name="page212"/>
    <w:bookmarkEnd w:id="211"/>
    <w:p>
      <w:pPr>
        <w:ind w:left="1500"/>
        <w:spacing w:after="0" w:line="281" w:lineRule="auto"/>
        <w:rPr>
          <w:sz w:val="20"/>
          <w:szCs w:val="20"/>
          <w:color w:val="auto"/>
        </w:rPr>
      </w:pPr>
      <w:r>
        <w:rPr>
          <w:rFonts w:ascii="Times New Roman" w:cs="Times New Roman" w:eastAsia="Times New Roman" w:hAnsi="Times New Roman"/>
          <w:sz w:val="18"/>
          <w:szCs w:val="18"/>
          <w:color w:val="auto"/>
        </w:rPr>
        <w:t>Interest has been (or, concurrently with the Release, will be) issued by the relevant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registry of the Flag State; and</w:t>
      </w:r>
    </w:p>
    <w:p>
      <w:pPr>
        <w:spacing w:after="0" w:line="161" w:lineRule="exact"/>
        <w:rPr>
          <w:sz w:val="20"/>
          <w:szCs w:val="20"/>
          <w:color w:val="auto"/>
        </w:rPr>
      </w:pPr>
    </w:p>
    <w:p>
      <w:pPr>
        <w:jc w:val="both"/>
        <w:ind w:left="1500" w:hanging="656"/>
        <w:spacing w:after="0" w:line="267" w:lineRule="auto"/>
        <w:tabs>
          <w:tab w:leader="none" w:pos="15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satisfied that all the conditions precedent set out in Part 1 of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and Part 2 of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have been (or, concurrently with the Release, will be) satisfied in full or otherwise waived in accordance with the provisions of this Agreement.</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undertakes that it shall not give any instructions to the Outgoing Agents in respect of the Pre-placed Loan that are inconsistent with the Irrevocable Instructions in respect of the Pre-placed Loan.</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56"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refinancing of the Existing Indebtedness has been delayed and the Pre-placed Loan has been returned to the Agent pursuant to Clause 5.5(c), the Agent shall inform the Borrower and the Borrower shall immediately prepay the Pre-placed Loan, together with interest thereon (calculated in accordance with Clause 9.1 (</w:t>
      </w:r>
      <w:r>
        <w:rPr>
          <w:rFonts w:ascii="Times New Roman" w:cs="Times New Roman" w:eastAsia="Times New Roman" w:hAnsi="Times New Roman"/>
          <w:sz w:val="18"/>
          <w:szCs w:val="18"/>
          <w:i w:val="1"/>
          <w:iCs w:val="1"/>
          <w:color w:val="auto"/>
        </w:rPr>
        <w:t>Calculation of interest</w:t>
      </w:r>
      <w:r>
        <w:rPr>
          <w:rFonts w:ascii="Times New Roman" w:cs="Times New Roman" w:eastAsia="Times New Roman" w:hAnsi="Times New Roman"/>
          <w:sz w:val="18"/>
          <w:szCs w:val="18"/>
          <w:color w:val="auto"/>
        </w:rPr>
        <w:t>)), provided that any moneys actually returned to the Agent from the Outgoing Agents shall be applied by the Agent in satisfaction of such prepayment obligation of the Borrower and in payment of any amounts payable by the Borrower under Clause 8 (</w:t>
      </w:r>
      <w:r>
        <w:rPr>
          <w:rFonts w:ascii="Times New Roman" w:cs="Times New Roman" w:eastAsia="Times New Roman" w:hAnsi="Times New Roman"/>
          <w:sz w:val="18"/>
          <w:szCs w:val="18"/>
          <w:i w:val="1"/>
          <w:iCs w:val="1"/>
          <w:color w:val="auto"/>
        </w:rPr>
        <w:t>Restrictions</w:t>
      </w:r>
      <w:r>
        <w:rPr>
          <w:rFonts w:ascii="Times New Roman" w:cs="Times New Roman" w:eastAsia="Times New Roman" w:hAnsi="Times New Roman"/>
          <w:sz w:val="18"/>
          <w:szCs w:val="18"/>
          <w:color w:val="auto"/>
        </w:rPr>
        <w:t>) as a result of such prepayment.</w:t>
      </w:r>
    </w:p>
    <w:p>
      <w:pPr>
        <w:spacing w:after="0" w:line="187"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application of this Clause 5.5, the Pre-placed Loan shall accrue interest in accordance with the terms of Clause 9.1 (</w:t>
      </w:r>
      <w:r>
        <w:rPr>
          <w:rFonts w:ascii="Times New Roman" w:cs="Times New Roman" w:eastAsia="Times New Roman" w:hAnsi="Times New Roman"/>
          <w:sz w:val="18"/>
          <w:szCs w:val="18"/>
          <w:i w:val="1"/>
          <w:iCs w:val="1"/>
          <w:color w:val="auto"/>
        </w:rPr>
        <w:t>Calculation of interest</w:t>
      </w:r>
      <w:r>
        <w:rPr>
          <w:rFonts w:ascii="Times New Roman" w:cs="Times New Roman" w:eastAsia="Times New Roman" w:hAnsi="Times New Roman"/>
          <w:sz w:val="18"/>
          <w:szCs w:val="18"/>
          <w:color w:val="auto"/>
        </w:rPr>
        <w:t>) from the Utilisation Date of the Pre-placed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Section 4 - Repayment, Prepayment and Cancellation</w:t>
      </w:r>
    </w:p>
    <w:p>
      <w:pPr>
        <w:spacing w:after="0" w:line="185"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6.1Repayment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subject to paragraph (c) below, repay each Loan on the last day of its Interest Period.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Borrower's obligation under paragraph (a) above, if one or more Loans are to be made available to the Borrower on the same day that a maturing Loan is due to be repaid by the Borrower and the proportion borne by each Lender's participation in the maturing Loan to the amount of that maturing Loan is the same as the proportion borne by that Lender's participation in the new Loans to the aggregate amount of those new Loans, the aggregate amount of the new Loans shall be treated as if applied in or towards repayment of the maturing Loan so that:</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exceeds the aggregate amount of the new Loans:</w:t>
      </w:r>
    </w:p>
    <w:p>
      <w:pPr>
        <w:spacing w:after="0" w:line="223" w:lineRule="exact"/>
        <w:rPr>
          <w:rFonts w:ascii="Times New Roman" w:cs="Times New Roman" w:eastAsia="Times New Roman" w:hAnsi="Times New Roman"/>
          <w:sz w:val="18"/>
          <w:szCs w:val="18"/>
          <w:color w:val="auto"/>
        </w:rPr>
      </w:pPr>
    </w:p>
    <w:p>
      <w:pPr>
        <w:ind w:left="2600" w:right="20" w:hanging="648"/>
        <w:spacing w:after="0" w:line="284" w:lineRule="auto"/>
        <w:tabs>
          <w:tab w:leader="none" w:pos="2495"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only be required to make a payment under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xml:space="preserve"> in an amount equal to that excess; and</w:t>
      </w:r>
    </w:p>
    <w:p>
      <w:pPr>
        <w:spacing w:after="0" w:line="160" w:lineRule="exact"/>
        <w:rPr>
          <w:rFonts w:ascii="Times New Roman" w:cs="Times New Roman" w:eastAsia="Times New Roman" w:hAnsi="Times New Roman"/>
          <w:sz w:val="18"/>
          <w:szCs w:val="18"/>
          <w:color w:val="auto"/>
        </w:rPr>
      </w:pPr>
    </w:p>
    <w:p>
      <w:pPr>
        <w:ind w:left="2600" w:hanging="648"/>
        <w:spacing w:after="0" w:line="261" w:lineRule="auto"/>
        <w:tabs>
          <w:tab w:leader="none" w:pos="2495"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participation in the new Loans shall be treated as having been made available and applied by the Borrower in or towards repayment of that Lender's participation in the maturing Loan and that Lender will not be required to make a payment under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xml:space="preserve"> in respect of its participation in the new Loans; and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is equal to or less than the aggregate amount of the new Loans:</w:t>
      </w:r>
    </w:p>
    <w:p>
      <w:pPr>
        <w:spacing w:after="0" w:line="223"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be required to make a payment under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2600" w:hanging="648"/>
        <w:spacing w:after="0" w:line="258" w:lineRule="auto"/>
        <w:tabs>
          <w:tab w:leader="none" w:pos="2495" w:val="left"/>
        </w:tabs>
        <w:numPr>
          <w:ilvl w:val="3"/>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will be required to make a payment under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xml:space="preserve">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8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a Lender becomes a Defaulting Lender, the maturity date of each of the participations of that Lender in the Loans then outstanding will be automatically extended to the Final Reduction Date and will be treated as separate Loans (the </w:t>
      </w:r>
      <w:r>
        <w:rPr>
          <w:rFonts w:ascii="Times New Roman" w:cs="Times New Roman" w:eastAsia="Times New Roman" w:hAnsi="Times New Roman"/>
          <w:sz w:val="18"/>
          <w:szCs w:val="18"/>
          <w:b w:val="1"/>
          <w:bCs w:val="1"/>
          <w:color w:val="auto"/>
        </w:rPr>
        <w:t>Separate Loans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prepay the Separate Loans by giving not less than five Business Days' prior notice to the Agent. The Agent will forward a copy of a prepayment notice received in accordance with this paragraph (d) to the Defaulting Lender concerned as soon as practicable on receipt.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respect of a Separate Loan will accrue for successive Interest Periods selected by the Borrower by the time and date specified by the Agent (acting reasonably) and will be payable by the Borrower to the Agent (for the account of that Defaulting Lender) on the last day of each such Interest Period.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relating to Loans generally shall continue to apply to Separate Loans other than to the extent inconsistent with paragraphs (c) to (e) above, in which case those paragraphs shall prevail in respect of any Separate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3" w:name="page214"/>
    <w:bookmarkEnd w:id="21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Scheduled reduction of Facility</w:t>
      </w:r>
    </w:p>
    <w:p>
      <w:pPr>
        <w:spacing w:after="0" w:line="229" w:lineRule="exact"/>
        <w:rPr>
          <w:sz w:val="20"/>
          <w:szCs w:val="20"/>
          <w:color w:val="auto"/>
        </w:rPr>
      </w:pPr>
    </w:p>
    <w:p>
      <w:pPr>
        <w:ind w:left="1300" w:hanging="644"/>
        <w:spacing w:after="0" w:line="282" w:lineRule="auto"/>
        <w:tabs>
          <w:tab w:leader="none" w:pos="13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reduced, the Total Commitments shall be reduced by instalments on each Reduction Date by the amount specified below (as may be adjusted pursuant to clause 6.3 </w:t>
      </w:r>
      <w:r>
        <w:rPr>
          <w:rFonts w:ascii="Times New Roman" w:cs="Times New Roman" w:eastAsia="Times New Roman" w:hAnsi="Times New Roman"/>
          <w:sz w:val="18"/>
          <w:szCs w:val="18"/>
          <w:i w:val="1"/>
          <w:iCs w:val="1"/>
          <w:color w:val="auto"/>
        </w:rPr>
        <w:t>(Adjustment of scheduled reductions)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010" w:type="dxa"/>
        <w:tblCellMar>
          <w:top w:w="0" w:type="dxa"/>
          <w:left w:w="0" w:type="dxa"/>
          <w:bottom w:w="0" w:type="dxa"/>
          <w:right w:w="0" w:type="dxa"/>
        </w:tblCellMar>
      </w:tblPr>
      <w:tr>
        <w:trPr>
          <w:trHeight w:val="211"/>
        </w:trPr>
        <w:tc>
          <w:tcPr>
            <w:tcW w:w="3800" w:type="dxa"/>
            <w:vAlign w:val="bottom"/>
            <w:tcBorders>
              <w:top w:val="single" w:sz="8" w:color="auto"/>
              <w:left w:val="single" w:sz="8" w:color="auto"/>
              <w:right w:val="single" w:sz="8" w:color="auto"/>
            </w:tcBorders>
            <w:vMerge w:val="restart"/>
            <w:shd w:val="clear" w:color="auto" w:fill="D1CFCF"/>
          </w:tcPr>
          <w:p>
            <w:pPr>
              <w:ind w:left="1300"/>
              <w:spacing w:after="0"/>
              <w:rPr>
                <w:sz w:val="20"/>
                <w:szCs w:val="20"/>
                <w:color w:val="auto"/>
              </w:rPr>
            </w:pPr>
            <w:r>
              <w:rPr>
                <w:rFonts w:ascii="Times New Roman" w:cs="Times New Roman" w:eastAsia="Times New Roman" w:hAnsi="Times New Roman"/>
                <w:sz w:val="18"/>
                <w:szCs w:val="18"/>
                <w:b w:val="1"/>
                <w:bCs w:val="1"/>
                <w:color w:val="auto"/>
              </w:rPr>
              <w:t>Reduction Date</w:t>
            </w:r>
          </w:p>
        </w:tc>
        <w:tc>
          <w:tcPr>
            <w:tcW w:w="4120" w:type="dxa"/>
            <w:vAlign w:val="bottom"/>
            <w:tcBorders>
              <w:top w:val="single" w:sz="8" w:color="auto"/>
              <w:right w:val="single" w:sz="8" w:color="auto"/>
            </w:tcBorders>
            <w:shd w:val="clear" w:color="auto" w:fill="D1CFCF"/>
          </w:tcPr>
          <w:p>
            <w:pPr>
              <w:ind w:left="1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3800" w:type="dxa"/>
            <w:vAlign w:val="bottom"/>
            <w:tcBorders>
              <w:left w:val="single" w:sz="8" w:color="auto"/>
              <w:bottom w:val="single" w:sz="8" w:color="auto"/>
              <w:right w:val="single" w:sz="8" w:color="auto"/>
            </w:tcBorders>
            <w:vMerge w:val="continue"/>
            <w:shd w:val="clear" w:color="auto" w:fill="D1CFCF"/>
          </w:tcPr>
          <w:p>
            <w:pPr>
              <w:spacing w:after="0"/>
              <w:rPr>
                <w:sz w:val="20"/>
                <w:szCs w:val="20"/>
                <w:color w:val="auto"/>
              </w:rPr>
            </w:pPr>
          </w:p>
        </w:tc>
        <w:tc>
          <w:tcPr>
            <w:tcW w:w="4120" w:type="dxa"/>
            <w:vAlign w:val="bottom"/>
            <w:tcBorders>
              <w:bottom w:val="single" w:sz="8" w:color="auto"/>
              <w:right w:val="single" w:sz="8" w:color="auto"/>
            </w:tcBorders>
            <w:shd w:val="clear" w:color="auto" w:fill="D1CFC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First</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Second</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Sixth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Seventh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Eighth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Eleventh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Twelfth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Sixteenth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Seventeenth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Eighteenth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Nineteenth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45,318,949.15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Twentieth</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1,938,939,966.15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2,800,000,000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hanging="644"/>
        <w:spacing w:after="0" w:line="282" w:lineRule="auto"/>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Final Reduction Date (without prejudice to any other provision of this Agreement), the Total Commitments shall be reduced to zero and any outstanding Loans shall be repaid in full.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Adjustment of scheduled reductions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If the Total Commitments have been partially reduced under this Agreement (other than under clause 6.2 </w:t>
      </w:r>
      <w:r>
        <w:rPr>
          <w:rFonts w:ascii="Times New Roman" w:cs="Times New Roman" w:eastAsia="Times New Roman" w:hAnsi="Times New Roman"/>
          <w:sz w:val="18"/>
          <w:szCs w:val="18"/>
          <w:i w:val="1"/>
          <w:iCs w:val="1"/>
          <w:color w:val="auto"/>
        </w:rPr>
        <w:t>(Scheduled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Facility)</w:t>
      </w:r>
      <w:r>
        <w:rPr>
          <w:rFonts w:ascii="Times New Roman" w:cs="Times New Roman" w:eastAsia="Times New Roman" w:hAnsi="Times New Roman"/>
          <w:sz w:val="18"/>
          <w:szCs w:val="18"/>
          <w:color w:val="auto"/>
        </w:rPr>
        <w:t>) before any Reduction Date, then the amount of the instalment by which the Total Commitments shall be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clause 6.2 on any such Reduction Date (as reduced by any earlier operation of this clause 6.3) shall be reduced pro rata to such reduction in the Total Commitments.</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Extension options</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request by written notice to the Agent (the </w:t>
      </w:r>
      <w:r>
        <w:rPr>
          <w:rFonts w:ascii="Times New Roman" w:cs="Times New Roman" w:eastAsia="Times New Roman" w:hAnsi="Times New Roman"/>
          <w:sz w:val="18"/>
          <w:szCs w:val="18"/>
          <w:b w:val="1"/>
          <w:bCs w:val="1"/>
          <w:color w:val="auto"/>
        </w:rPr>
        <w:t>First Extension Request</w:t>
      </w:r>
      <w:r>
        <w:rPr>
          <w:rFonts w:ascii="Times New Roman" w:cs="Times New Roman" w:eastAsia="Times New Roman" w:hAnsi="Times New Roman"/>
          <w:sz w:val="18"/>
          <w:szCs w:val="18"/>
          <w:color w:val="auto"/>
        </w:rPr>
        <w:t>) at any time between the dates falling (i) 12 Months from the date of this Agreement and (ii) 120 days prior to the Final Reduction Date, that the Lenders agree to extend the Final Reduction Date to the First Extended Final Reduction Date.</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extension referred to in paragraph (a) above has been granted by at least one Lender, the Borrower may request by written notice to the Agent (the </w:t>
      </w:r>
      <w:r>
        <w:rPr>
          <w:rFonts w:ascii="Times New Roman" w:cs="Times New Roman" w:eastAsia="Times New Roman" w:hAnsi="Times New Roman"/>
          <w:sz w:val="18"/>
          <w:szCs w:val="18"/>
          <w:b w:val="1"/>
          <w:bCs w:val="1"/>
          <w:color w:val="auto"/>
        </w:rPr>
        <w:t>Second Extension Request</w:t>
      </w:r>
      <w:r>
        <w:rPr>
          <w:rFonts w:ascii="Times New Roman" w:cs="Times New Roman" w:eastAsia="Times New Roman" w:hAnsi="Times New Roman"/>
          <w:sz w:val="18"/>
          <w:szCs w:val="18"/>
          <w:color w:val="auto"/>
        </w:rPr>
        <w:t xml:space="preserve"> and together with the First Extension Request, the </w:t>
      </w:r>
      <w:r>
        <w:rPr>
          <w:rFonts w:ascii="Times New Roman" w:cs="Times New Roman" w:eastAsia="Times New Roman" w:hAnsi="Times New Roman"/>
          <w:sz w:val="18"/>
          <w:szCs w:val="18"/>
          <w:b w:val="1"/>
          <w:bCs w:val="1"/>
          <w:color w:val="auto"/>
        </w:rPr>
        <w:t xml:space="preserve">Extension Requests </w:t>
      </w:r>
      <w:r>
        <w:rPr>
          <w:rFonts w:ascii="Times New Roman" w:cs="Times New Roman" w:eastAsia="Times New Roman" w:hAnsi="Times New Roman"/>
          <w:sz w:val="18"/>
          <w:szCs w:val="18"/>
          <w:color w:val="auto"/>
        </w:rPr>
        <w:t>and each, an</w:t>
      </w:r>
      <w:r>
        <w:rPr>
          <w:rFonts w:ascii="Times New Roman" w:cs="Times New Roman" w:eastAsia="Times New Roman" w:hAnsi="Times New Roman"/>
          <w:sz w:val="18"/>
          <w:szCs w:val="18"/>
          <w:b w:val="1"/>
          <w:bCs w:val="1"/>
          <w:color w:val="auto"/>
        </w:rPr>
        <w:t xml:space="preserve"> Extension Request</w:t>
      </w:r>
      <w:r>
        <w:rPr>
          <w:rFonts w:ascii="Times New Roman" w:cs="Times New Roman" w:eastAsia="Times New Roman" w:hAnsi="Times New Roman"/>
          <w:sz w:val="18"/>
          <w:szCs w:val="18"/>
          <w:color w:val="auto"/>
        </w:rPr>
        <w:t>) at any time between the dates falling (i) 24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38" w:right="999" w:bottom="1440" w:gutter="0" w:footer="0" w:header="0"/>
        </w:sectPr>
      </w:pPr>
    </w:p>
    <w:bookmarkStart w:id="214" w:name="page215"/>
    <w:bookmarkEnd w:id="214"/>
    <w:p>
      <w:pPr>
        <w:ind w:left="840"/>
        <w:spacing w:after="0" w:line="282" w:lineRule="auto"/>
        <w:rPr>
          <w:sz w:val="20"/>
          <w:szCs w:val="20"/>
          <w:color w:val="auto"/>
        </w:rPr>
      </w:pPr>
      <w:r>
        <w:rPr>
          <w:rFonts w:ascii="Times New Roman" w:cs="Times New Roman" w:eastAsia="Times New Roman" w:hAnsi="Times New Roman"/>
          <w:sz w:val="18"/>
          <w:szCs w:val="18"/>
          <w:color w:val="auto"/>
        </w:rPr>
        <w:t>this Agreement and (ii) 120 days prior to the Final Reduction Date, that the Lenders agree to extend the Final Reduction Date to the Second Extended Final Reduction Date.</w:t>
      </w:r>
    </w:p>
    <w:p>
      <w:pPr>
        <w:spacing w:after="0" w:line="162" w:lineRule="exact"/>
        <w:rPr>
          <w:sz w:val="20"/>
          <w:szCs w:val="20"/>
          <w:color w:val="auto"/>
        </w:rPr>
      </w:pPr>
    </w:p>
    <w:p>
      <w:pPr>
        <w:ind w:left="840" w:hanging="644"/>
        <w:spacing w:after="0"/>
        <w:tabs>
          <w:tab w:leader="none" w:pos="8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Extension Request is irrevocable and may only be submitted at a time when no Event of Default is continuing.</w:t>
      </w:r>
    </w:p>
    <w:p>
      <w:pPr>
        <w:spacing w:after="0" w:line="224" w:lineRule="exact"/>
        <w:rPr>
          <w:rFonts w:ascii="Times New Roman" w:cs="Times New Roman" w:eastAsia="Times New Roman" w:hAnsi="Times New Roman"/>
          <w:sz w:val="18"/>
          <w:szCs w:val="18"/>
          <w:color w:val="auto"/>
        </w:rPr>
      </w:pPr>
    </w:p>
    <w:p>
      <w:pPr>
        <w:jc w:val="both"/>
        <w:ind w:left="840" w:hanging="644"/>
        <w:spacing w:after="0" w:line="254" w:lineRule="auto"/>
        <w:tabs>
          <w:tab w:leader="none" w:pos="8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the Lenders with a copy of any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Extension Request and each Lender shall, in its absolute and unfettered discretion, determine whether it is prepared to agree to an Extension Request. For the avoidance of doubt, the Lenders are not obliged to agree to any Extension Option or to respond to any Extension Request nor to assign any reason to their decision. A Lender who does not respond to the Extension Request within the 30 Business Days period referred to below, will be deemed to have not approved it. If a Lender approves an Extension Request and thus grants an Extension Option, such approval may only be made with respect to such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s entire Commitment (and not a part of it) and subject to such conditions as such Lender may require (including as to fees and Margin).</w:t>
      </w:r>
    </w:p>
    <w:p>
      <w:pPr>
        <w:spacing w:after="0" w:line="190" w:lineRule="exact"/>
        <w:rPr>
          <w:rFonts w:ascii="Times New Roman" w:cs="Times New Roman" w:eastAsia="Times New Roman" w:hAnsi="Times New Roman"/>
          <w:sz w:val="18"/>
          <w:szCs w:val="18"/>
          <w:color w:val="auto"/>
        </w:rPr>
      </w:pPr>
    </w:p>
    <w:p>
      <w:pPr>
        <w:jc w:val="both"/>
        <w:ind w:left="840" w:hanging="644"/>
        <w:spacing w:after="0" w:line="253" w:lineRule="auto"/>
        <w:tabs>
          <w:tab w:leader="none" w:pos="8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wishes to respond shall, within 30 Business Days of the First Extension Request being delivered to the Lenders by the Agent (following receipt by the Agent of the same from the Borrower), provide the Agent with its response to the First Extension Request and the Agent shall notify the Borrower which Lenders are prepared to agree to grant the First Extension Option and within 5 Business Days of the Agent</w:t>
      </w:r>
      <w:r>
        <w:rPr>
          <w:rFonts w:ascii="Arial" w:cs="Arial" w:eastAsia="Arial" w:hAnsi="Arial"/>
          <w:sz w:val="18"/>
          <w:szCs w:val="18"/>
          <w:color w:val="auto"/>
        </w:rPr>
        <w:t>’</w:t>
      </w:r>
      <w:r>
        <w:rPr>
          <w:rFonts w:ascii="Times New Roman" w:cs="Times New Roman" w:eastAsia="Times New Roman" w:hAnsi="Times New Roman"/>
          <w:sz w:val="18"/>
          <w:szCs w:val="18"/>
          <w:color w:val="auto"/>
        </w:rPr>
        <w:t>s notification, the Borrower shall notify the Agent whether it agrees to proceed. On the date of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notification to the Agent that it so agrees to proceed, the Final Reduction Date shall, subject to paragraph (f) and (l) below, be extended to the First Extended Final Reduction Date but only in respect of the Commitment of each Lender which has consented to the First Extension Request (each a </w:t>
      </w:r>
      <w:r>
        <w:rPr>
          <w:rFonts w:ascii="Times New Roman" w:cs="Times New Roman" w:eastAsia="Times New Roman" w:hAnsi="Times New Roman"/>
          <w:sz w:val="18"/>
          <w:szCs w:val="18"/>
          <w:b w:val="1"/>
          <w:bCs w:val="1"/>
          <w:color w:val="auto"/>
        </w:rPr>
        <w:t>First Extension Lender</w:t>
      </w:r>
      <w:r>
        <w:rPr>
          <w:rFonts w:ascii="Times New Roman" w:cs="Times New Roman" w:eastAsia="Times New Roman" w:hAnsi="Times New Roman"/>
          <w:sz w:val="18"/>
          <w:szCs w:val="18"/>
          <w:color w:val="auto"/>
        </w:rPr>
        <w:t>). The Borrower shall, within ten (10) Business Days of notifying the Agent of its agreement to proceed, pay to the Agent (for the account of each First Extension Lender) any agreed fees in respect of the Commitment of each First Extension Lender.</w:t>
      </w:r>
    </w:p>
    <w:p>
      <w:pPr>
        <w:spacing w:after="0" w:line="192"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Commitment of each First Extension Lender will be automatically revoked on the Final Reduction Date if, on the Final Reduction Date, (i) the participation of each Lender (if any) which has not consented to or, as the case may be, responded to the First Extension Request in any Loans is not repaid in full or (ii) an Event of Default is continuing.</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54" w:lineRule="auto"/>
        <w:tabs>
          <w:tab w:leader="none" w:pos="8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wishes to respond shall, within 30 Business Days of the Second Extension Request being delivered to the Lenders by the Agent (following receipt by the Agent of the same from the Borrower), provide the Agent with its response to the Second Extension Request and the Agent shall notify the Borrower which Lenders are prepared to agree to grant the Second Extension Option and within 5 Business Days of the Agent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notification, the Borrower shall notify the Agent whether it agrees to proceed. On the date of the Borrower's notification to the Agent that it so agrees to proceed, the Final Reduction Date shall, subject to paragraphs (h) and (l) below, be extended, but only in respect of the Commitment of each Lender which has consented to the Second Extension Request (each a </w:t>
      </w:r>
      <w:r>
        <w:rPr>
          <w:rFonts w:ascii="Times New Roman" w:cs="Times New Roman" w:eastAsia="Times New Roman" w:hAnsi="Times New Roman"/>
          <w:sz w:val="18"/>
          <w:szCs w:val="18"/>
          <w:b w:val="1"/>
          <w:bCs w:val="1"/>
          <w:color w:val="auto"/>
        </w:rPr>
        <w:t>Second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by:</w:t>
      </w:r>
    </w:p>
    <w:p>
      <w:pPr>
        <w:spacing w:after="0" w:line="190"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period of 12 Months, if the relevant Second Extension Lender was also a First Extension Lender; or</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of 24 Months, if the relevant Second Extension Lender was not a First Extension Lender.</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Borrower shall, within ten (10) Business Days of notifying the Agent of the agreement to proceed, pay to the Agent (for the account of each Lender which is so extended) any agreed fees in respect of the Commitment of each Second Extension Lender.</w:t>
      </w:r>
    </w:p>
    <w:p>
      <w:pPr>
        <w:spacing w:after="0" w:line="176" w:lineRule="exact"/>
        <w:rPr>
          <w:sz w:val="20"/>
          <w:szCs w:val="20"/>
          <w:color w:val="auto"/>
        </w:rPr>
      </w:pPr>
    </w:p>
    <w:p>
      <w:pPr>
        <w:jc w:val="both"/>
        <w:ind w:left="840" w:hanging="644"/>
        <w:spacing w:after="0" w:line="266" w:lineRule="auto"/>
        <w:tabs>
          <w:tab w:leader="none" w:pos="8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Commitment of each Second Extension Lender will be automatically revoked on either the Final Reduction Date or the First Extended Final Reduction Date (as applicable) if, on either such date, (i) the participation of each Lender (if any) which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42" w:right="999" w:bottom="1440" w:gutter="0" w:footer="0" w:header="0"/>
        </w:sectPr>
      </w:pPr>
    </w:p>
    <w:bookmarkStart w:id="215" w:name="page216"/>
    <w:bookmarkEnd w:id="215"/>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consented to, or as the case may be, responded to an Extension Request in any Loans is not repaid in full on or before the Final Reduction Date or the First Extended Final Reduction Date (as applicable) or (ii) an Event of Default is continuing.</w:t>
      </w:r>
    </w:p>
    <w:p>
      <w:pPr>
        <w:spacing w:after="0" w:line="176" w:lineRule="exact"/>
        <w:rPr>
          <w:sz w:val="20"/>
          <w:szCs w:val="20"/>
          <w:color w:val="auto"/>
        </w:rPr>
      </w:pPr>
    </w:p>
    <w:p>
      <w:pPr>
        <w:ind w:left="840" w:hanging="644"/>
        <w:spacing w:after="0" w:line="282" w:lineRule="auto"/>
        <w:tabs>
          <w:tab w:leader="none" w:pos="8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Lenders approve the First Extension Option (but not the Second Extension Option) and such approval has become effective pursuant to the other terms of this clause 6.4, then:</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Final Reduction Date for their Commitments shall be the First Extended Final Reduction Date;</w:t>
      </w:r>
    </w:p>
    <w:p>
      <w:pPr>
        <w:spacing w:after="0" w:line="225" w:lineRule="exact"/>
        <w:rPr>
          <w:rFonts w:ascii="Times New Roman" w:cs="Times New Roman" w:eastAsia="Times New Roman" w:hAnsi="Times New Roman"/>
          <w:sz w:val="18"/>
          <w:szCs w:val="18"/>
          <w:color w:val="auto"/>
        </w:rPr>
      </w:pPr>
    </w:p>
    <w:p>
      <w:pPr>
        <w:jc w:val="both"/>
        <w:ind w:left="1500" w:hanging="656"/>
        <w:spacing w:after="0" w:line="254" w:lineRule="auto"/>
        <w:tabs>
          <w:tab w:leader="none" w:pos="15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Commitments shall not reduce to zero on the Final Reduction Date but will reduce by four additional reduction dates, each falling at 3 Monthly intervals after the Final Reduction Date up to and including the First Extended Final Reduction Date; and the amount of each such reduction of such Commitments shall be determined by the Agent (acting on the instructions of all the Lenders) on the same basis as the existing reduction schedule of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 and rateably as to the amount of Commitments of the First Extension Lenders (who are not Second Extension Lenders), as to the amount of Commitments of Second Extension Lenders and as to the amount of Commitments of the Lenders whose Commitments will be reduced to zero on the Final Reduction Date; and</w:t>
      </w:r>
    </w:p>
    <w:p>
      <w:pPr>
        <w:spacing w:after="0" w:line="19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any Lenders who are not First Extension Lenders will be reduced to zero on the Final Reduction Date.</w:t>
      </w:r>
    </w:p>
    <w:p>
      <w:pPr>
        <w:spacing w:after="0" w:line="162" w:lineRule="exact"/>
        <w:rPr>
          <w:sz w:val="20"/>
          <w:szCs w:val="20"/>
          <w:color w:val="auto"/>
        </w:rPr>
      </w:pPr>
    </w:p>
    <w:p>
      <w:pPr>
        <w:jc w:val="both"/>
        <w:ind w:left="840" w:hanging="644"/>
        <w:spacing w:after="0" w:line="266" w:lineRule="auto"/>
        <w:tabs>
          <w:tab w:leader="none" w:pos="8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Lenders approve the Second Extension Option (whether or not they were also First Extension Lenders and if they were, they will no longer be First Extension Lenders), and such approval has become effective pursuant to the other terms of this clause 6.4, then:</w:t>
      </w:r>
    </w:p>
    <w:p>
      <w:pPr>
        <w:spacing w:after="0" w:line="17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Final Reduction Date for their Commitments shall be the Second Extended Final Reduction Date;</w:t>
      </w:r>
    </w:p>
    <w:p>
      <w:pPr>
        <w:spacing w:after="0" w:line="161" w:lineRule="exact"/>
        <w:rPr>
          <w:rFonts w:ascii="Times New Roman" w:cs="Times New Roman" w:eastAsia="Times New Roman" w:hAnsi="Times New Roman"/>
          <w:sz w:val="18"/>
          <w:szCs w:val="18"/>
          <w:color w:val="auto"/>
        </w:rPr>
      </w:pPr>
    </w:p>
    <w:p>
      <w:pPr>
        <w:jc w:val="both"/>
        <w:ind w:left="1500" w:hanging="656"/>
        <w:spacing w:after="0" w:line="254" w:lineRule="auto"/>
        <w:tabs>
          <w:tab w:leader="none" w:pos="15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Commitments shall not reduce to zero on the Final Reduction Date but will reduce by eight additional reduction dates, each falling at 3 Monthly intervals after the Final Reduction Date up to and including the Second Extended Final Reduction Date; and the amount of each such reduction of such Commitments shall be determined by the Agent (acting on the instructions of all the Lenders) on the same basis as the existing reduction schedule of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 and rateably as to the amount of Commitments of the First Extension Lenders (who are not Second Extension Lenders), as to the amount of Commitments of the Second Extension Lenders and as to the amount of Commitments of the Lenders whose Commitments will be reduced to zero on the Final Reduction Date; and</w:t>
      </w:r>
    </w:p>
    <w:p>
      <w:pPr>
        <w:spacing w:after="0" w:line="19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any Lenders who are neither First Extension Lenders nor Second Extension Lenders will be reduced to zero on the Final Reduction Date.</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58" w:lineRule="auto"/>
        <w:tabs>
          <w:tab w:leader="none" w:pos="8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Lenders approve an Extension Option, the Obligors agree to enter into such amendment documentation (including an amendment agreement to this Agreement, and amendments to any Mortgage) and the Obligors agree to deliver to the Finance Parties such documents and evidence of the type referred to in Schedule 3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precedent</w:t>
      </w:r>
      <w:r>
        <w:rPr>
          <w:rFonts w:ascii="Times New Roman" w:cs="Times New Roman" w:eastAsia="Times New Roman" w:hAnsi="Times New Roman"/>
          <w:sz w:val="18"/>
          <w:szCs w:val="18"/>
          <w:color w:val="auto"/>
        </w:rPr>
        <w:t>), as the Lenders may require in their absolute discretion at the time required by the Lenders and in any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in advance of the Final Reduction Date and in each case at the cost and expense of the Borrower.</w:t>
      </w:r>
    </w:p>
    <w:p>
      <w:pPr>
        <w:spacing w:after="0" w:line="183" w:lineRule="exact"/>
        <w:rPr>
          <w:rFonts w:ascii="Times New Roman" w:cs="Times New Roman" w:eastAsia="Times New Roman" w:hAnsi="Times New Roman"/>
          <w:sz w:val="18"/>
          <w:szCs w:val="18"/>
          <w:color w:val="auto"/>
        </w:rPr>
      </w:pPr>
    </w:p>
    <w:p>
      <w:pPr>
        <w:jc w:val="both"/>
        <w:ind w:left="840" w:right="20" w:hanging="644"/>
        <w:spacing w:after="0" w:line="266" w:lineRule="auto"/>
        <w:tabs>
          <w:tab w:leader="none" w:pos="8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the approval of an Extension Option by a Lender shall not become effective unless and until the documents and evidence referred to in paragraph (k) above in respect of such Extension Option have been executed and delivered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216" w:name="page217"/>
    <w:bookmarkEnd w:id="216"/>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prepayment and cancellation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in any applicable jurisdiction, it becomes unlawful for a Lender to perform any of its obligations as contemplated by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it becomes unlawful for any Affiliate of a Lender for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Lender to do so:</w:t>
      </w:r>
    </w:p>
    <w:p>
      <w:pPr>
        <w:spacing w:after="0" w:line="207" w:lineRule="exact"/>
        <w:rPr>
          <w:sz w:val="20"/>
          <w:szCs w:val="20"/>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 the Available Commitment of that Lender will be immediately cancelled and the Total Commitments shall be reduced correspondingly; and</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Lender's participation has not been assigned pursuant to clause 7.7 </w:t>
      </w:r>
      <w:r>
        <w:rPr>
          <w:rFonts w:ascii="Times New Roman" w:cs="Times New Roman" w:eastAsia="Times New Roman" w:hAnsi="Times New Roman"/>
          <w:sz w:val="18"/>
          <w:szCs w:val="18"/>
          <w:i w:val="1"/>
          <w:iCs w:val="1"/>
          <w:color w:val="auto"/>
        </w:rPr>
        <w:t>(Replacement of Lender)</w:t>
      </w:r>
      <w:r>
        <w:rPr>
          <w:rFonts w:ascii="Times New Roman" w:cs="Times New Roman" w:eastAsia="Times New Roman" w:hAnsi="Times New Roman"/>
          <w:sz w:val="18"/>
          <w:szCs w:val="18"/>
          <w:color w:val="auto"/>
        </w:rPr>
        <w:t>, the Borrower shall repay that Lender's participation in the Loans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 repaid.</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229" w:lineRule="exact"/>
        <w:rPr>
          <w:sz w:val="20"/>
          <w:szCs w:val="20"/>
          <w:color w:val="auto"/>
        </w:rPr>
      </w:pPr>
    </w:p>
    <w:p>
      <w:pPr>
        <w:ind w:left="1300" w:hanging="644"/>
        <w:spacing w:after="0"/>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notify the Agent upon any Obligor becoming aware of a Change of Control.</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57"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if a Change of Control occurs, the Agent shall, if so directed by the Majority Lenders, by notice to the Borrower, cancel the Available Commitments immediately and declare the Loans, together with accrued interest, and all other amounts accrued or outstanding under the Finance Documents, due and payable within fifteen</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the date of such notice. Upon such notice being given, the Available Commitments will be immediately cancelled, the Facility shall immediately cease to be available for further utilisation and the Loans and all such accrued interest and other amounts accrued or outstanding shall become due and payable within such fifteen (15) Business Days from the date of such notice.</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only in respect of an Owner (but not in respect of any other Obligor), then paragraph (b) shall not apply and the Agent shall, if so directed by the Majority Lenders, by notice to the Borrower:</w:t>
      </w:r>
    </w:p>
    <w:p>
      <w:pPr>
        <w:spacing w:after="0" w:line="162" w:lineRule="exact"/>
        <w:rPr>
          <w:sz w:val="20"/>
          <w:szCs w:val="20"/>
          <w:color w:val="auto"/>
        </w:rPr>
      </w:pPr>
    </w:p>
    <w:p>
      <w:pPr>
        <w:ind w:left="1960" w:hanging="656"/>
        <w:spacing w:after="0"/>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following part of the Available Commitments immediately:</w:t>
      </w:r>
    </w:p>
    <w:p>
      <w:pPr>
        <w:spacing w:after="0" w:line="225" w:lineRule="exact"/>
        <w:rPr>
          <w:rFonts w:ascii="Times New Roman" w:cs="Times New Roman" w:eastAsia="Times New Roman" w:hAnsi="Times New Roman"/>
          <w:sz w:val="18"/>
          <w:szCs w:val="18"/>
          <w:color w:val="auto"/>
        </w:rPr>
      </w:pPr>
    </w:p>
    <w:p>
      <w:pPr>
        <w:ind w:left="2600" w:hanging="648"/>
        <w:spacing w:after="0" w:line="261" w:lineRule="auto"/>
        <w:tabs>
          <w:tab w:leader="none" w:pos="249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in respect of an Owner that owns a Ship which on the date of this Agreement is subject to a Key Charter or a Relevant Ship, the Available Commitments will be reduced by the amount which is equal to the Applicable Fraction of the Available Commitments relating to such Ship; or</w:t>
      </w:r>
    </w:p>
    <w:p>
      <w:pPr>
        <w:spacing w:after="0" w:line="179" w:lineRule="exact"/>
        <w:rPr>
          <w:rFonts w:ascii="Times New Roman" w:cs="Times New Roman" w:eastAsia="Times New Roman" w:hAnsi="Times New Roman"/>
          <w:sz w:val="18"/>
          <w:szCs w:val="18"/>
          <w:color w:val="auto"/>
        </w:rPr>
      </w:pPr>
    </w:p>
    <w:p>
      <w:pPr>
        <w:ind w:left="2600" w:hanging="648"/>
        <w:spacing w:after="0" w:line="261" w:lineRule="auto"/>
        <w:tabs>
          <w:tab w:leader="none" w:pos="249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in respect of an Owner of any other Ship, the Available Commitments will be reduced by such amount (if any) as is required to ensure that the Security Value (without taking into account the relevant Ship) will not be lower than the Minimum Value following such reduction; and</w:t>
      </w:r>
    </w:p>
    <w:p>
      <w:pPr>
        <w:spacing w:after="0" w:line="179"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part of the Loans as may be necessary to ensure that the outstanding Loans after such date will not exceed the Available Commitments (as so reduced), to be due and payable within twelve (12) Business Days from the date of such notice.</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Upon such notice being given, the Available Commitments will be immediately reduced by the amount referred to in paragraph (i) above and the part of the Loans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7" w:name="page218"/>
    <w:bookmarkEnd w:id="217"/>
    <w:p>
      <w:pPr>
        <w:ind w:left="1300"/>
        <w:spacing w:after="0"/>
        <w:rPr>
          <w:sz w:val="20"/>
          <w:szCs w:val="20"/>
          <w:color w:val="auto"/>
        </w:rPr>
      </w:pPr>
      <w:r>
        <w:rPr>
          <w:rFonts w:ascii="Times New Roman" w:cs="Times New Roman" w:eastAsia="Times New Roman" w:hAnsi="Times New Roman"/>
          <w:sz w:val="18"/>
          <w:szCs w:val="18"/>
          <w:color w:val="auto"/>
        </w:rPr>
        <w:t>paragraph (ii) above shall become due and payable within such ten (10) Business Days from the date of such notice.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gives the Agent not less than 5 Business Days' (or such shorter period as the Majority Lenders may agree) prior written notice, cancel the whole or any part (being a minimum amount of $5,000,000 and a multiple of $1,000,000) of the Available Facility.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cancellation under this clause 7.3 shall reduce the Commitments of the Lenders rateably.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Borrower may, if it gives the Agent not less than 5 Business Days' (or such shorter period as the Majority Lenders may agree) prior written notice, prepay the whole or any part of a Loan (but if in part, being an amount that reduces the amount of the relevant Loan by a minimum amount of $5,000,000) and is a multiple of $1,000,000, on the last day of an Interest Period in respect of the amount to be prepaid or at any other time. If a prepayment is made on a day other than the last day of an Interest Period, the Borrower may make up to four (4) such prepayments during a calendar year without any prepayment fee. If more than four (4) such voluntary prepayments are made during the same calendar year, the Borrower shall, in respect of each such additional prepayment, pay the Agent (for its own account) a prepayment fee of $5,000.</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Right of cancellation and prepayment in relation to a single Lender</w:t>
      </w:r>
    </w:p>
    <w:p>
      <w:pPr>
        <w:spacing w:after="0" w:line="229" w:lineRule="exact"/>
        <w:rPr>
          <w:sz w:val="20"/>
          <w:szCs w:val="20"/>
          <w:color w:val="auto"/>
        </w:rPr>
      </w:pPr>
    </w:p>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sum payable to any Lender by an Obligor is required to be increased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claims indemnification from the Borrower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xml:space="preserve"> or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Borrower may, whilst the circumstance giving rise to the requirement for that increase or indemnification continues, give the Agent notice of cancellation of the Commitment of that Lender and its intention to procure the repayment of that Lender's participation in the Loans.</w:t>
      </w:r>
    </w:p>
    <w:p>
      <w:pPr>
        <w:spacing w:after="0" w:line="176" w:lineRule="exact"/>
        <w:rPr>
          <w:sz w:val="20"/>
          <w:szCs w:val="20"/>
          <w:color w:val="auto"/>
        </w:rPr>
      </w:pPr>
    </w:p>
    <w:p>
      <w:pPr>
        <w:ind w:left="1300" w:right="2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notice referred to in paragraph (a) above, the Available Commitment of that Lender shall immediately be reduced to zero.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day of each Interest Period which ends after the Borrower has given notice under paragraph (a) above in relation to a Lender (or, if earlier, the date specified by the Borrower in that notice), the Borrower shall repay that Lender's participation in the relevant Loan together with all interest and other amounts accrued under the Finance Documents which is then owing to it and that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corresponding Commitment shall be immediately cancelled in the amount of the participations repaid.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Right of cancellation in relation to a Defaulting Lender</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becomes a Defaulting Lender, the Borrower may, at any time whilst that Lender continues to be a Defaulting Lender give the Agent 10 Business Days' notice of cancellation of the Available Commitment of that Lender.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notice becoming effective, the Available Commitment of the Defaulting Lender shall immediately be reduced to zero and the remaining undrawn Total Commitments shall each be reduced rateably and the Agent shall as soon as practicable after receipt of such notice, notify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42" w:right="999" w:bottom="1440" w:gutter="0" w:footer="0" w:header="0"/>
        </w:sectPr>
      </w:pPr>
    </w:p>
    <w:bookmarkStart w:id="218" w:name="page219"/>
    <w:bookmarkEnd w:id="21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Replacement of Lender</w:t>
      </w:r>
    </w:p>
    <w:p>
      <w:pPr>
        <w:spacing w:after="0" w:line="229" w:lineRule="exact"/>
        <w:rPr>
          <w:sz w:val="20"/>
          <w:szCs w:val="20"/>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 Non-Consenting Lender (as defined in paragraph (d) below); or</w:t>
      </w:r>
    </w:p>
    <w:p>
      <w:pPr>
        <w:spacing w:after="0" w:line="223"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becomes obliged to repay any amount in accordance with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xml:space="preserve"> to any Lender; or</w:t>
      </w:r>
    </w:p>
    <w:p>
      <w:pPr>
        <w:spacing w:after="0" w:line="158"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circumstances set out in paragraph (a) of clause 7.5 </w:t>
      </w:r>
      <w:r>
        <w:rPr>
          <w:rFonts w:ascii="Times New Roman" w:cs="Times New Roman" w:eastAsia="Times New Roman" w:hAnsi="Times New Roman"/>
          <w:sz w:val="18"/>
          <w:szCs w:val="18"/>
          <w:i w:val="1"/>
          <w:iCs w:val="1"/>
          <w:color w:val="auto"/>
        </w:rPr>
        <w:t>(Right of cancellation and prepayment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 to a single Lender) </w:t>
      </w:r>
      <w:r>
        <w:rPr>
          <w:rFonts w:ascii="Times New Roman" w:cs="Times New Roman" w:eastAsia="Times New Roman" w:hAnsi="Times New Roman"/>
          <w:sz w:val="18"/>
          <w:szCs w:val="18"/>
          <w:color w:val="auto"/>
        </w:rPr>
        <w:t>apply to a Lender,</w:t>
      </w:r>
    </w:p>
    <w:p>
      <w:pPr>
        <w:spacing w:after="0" w:line="16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the Borrower may, on 15 Business Days' prior notice to the Agent and that Lender, replace such Lender by requiring such Lender to assign (and, to the extent permitted by law, such Lender shall assign) pursuant to clause 32 </w:t>
      </w:r>
      <w:r>
        <w:rPr>
          <w:rFonts w:ascii="Times New Roman" w:cs="Times New Roman" w:eastAsia="Times New Roman" w:hAnsi="Times New Roman"/>
          <w:sz w:val="18"/>
          <w:szCs w:val="18"/>
          <w:i w:val="1"/>
          <w:iCs w:val="1"/>
          <w:color w:val="auto"/>
        </w:rPr>
        <w:t>(Changes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Lenders) </w:t>
      </w:r>
      <w:r>
        <w:rPr>
          <w:rFonts w:ascii="Times New Roman" w:cs="Times New Roman" w:eastAsia="Times New Roman" w:hAnsi="Times New Roman"/>
          <w:sz w:val="18"/>
          <w:szCs w:val="18"/>
          <w:color w:val="auto"/>
        </w:rPr>
        <w:t>all (and not part only) of its rights under this Agreement (and any Security Document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 is a party in its capacity as a Lender) to an Eligible Institution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which confirms its willingness to assume and does assume all the obligations of the assigning Lender in accordance with clause 32 </w:t>
      </w:r>
      <w:r>
        <w:rPr>
          <w:rFonts w:ascii="Times New Roman" w:cs="Times New Roman" w:eastAsia="Times New Roman" w:hAnsi="Times New Roman"/>
          <w:sz w:val="18"/>
          <w:szCs w:val="18"/>
          <w:i w:val="1"/>
          <w:iCs w:val="1"/>
          <w:color w:val="auto"/>
        </w:rPr>
        <w:t xml:space="preserve">(Changes to the Lenders) </w:t>
      </w:r>
      <w:r>
        <w:rPr>
          <w:rFonts w:ascii="Times New Roman" w:cs="Times New Roman" w:eastAsia="Times New Roman" w:hAnsi="Times New Roman"/>
          <w:sz w:val="18"/>
          <w:szCs w:val="18"/>
          <w:color w:val="auto"/>
        </w:rPr>
        <w:t>for a purchase price in cash payable at the time of the assignment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w:t>
      </w:r>
    </w:p>
    <w:p>
      <w:pPr>
        <w:spacing w:after="0" w:line="189" w:lineRule="exact"/>
        <w:rPr>
          <w:sz w:val="20"/>
          <w:szCs w:val="20"/>
          <w:color w:val="auto"/>
        </w:rPr>
      </w:pPr>
    </w:p>
    <w:p>
      <w:pPr>
        <w:ind w:left="1960" w:hanging="656"/>
        <w:spacing w:after="0"/>
        <w:tabs>
          <w:tab w:leader="none" w:pos="1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such Lender's participation in each Loan;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interest owing to such Lender;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amounts payable to that Lender under the Finance Documents on the date of the assignment.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Lender pursuant to this clause 7.7 shall be subject to the following conditions:</w:t>
      </w:r>
    </w:p>
    <w:p>
      <w:pPr>
        <w:spacing w:after="0" w:line="225" w:lineRule="exact"/>
        <w:rPr>
          <w:sz w:val="20"/>
          <w:szCs w:val="20"/>
          <w:color w:val="auto"/>
        </w:rPr>
      </w:pPr>
    </w:p>
    <w:p>
      <w:pPr>
        <w:ind w:left="1960" w:hanging="656"/>
        <w:spacing w:after="0"/>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 or the Security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obligation to find a Replacement Lender;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Lender replaced under this clause 7.7 be required to pay or surrender any of the fees received by such Lender pursuant to the Finance Documents;</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5" w:lineRule="auto"/>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shall only be obliged to assign its rights pursuant to paragraph (a) above once it is satisfied that it has complied with all necessary </w:t>
      </w:r>
      <w:r>
        <w:rPr>
          <w:rFonts w:ascii="Arial" w:cs="Arial" w:eastAsia="Arial" w:hAnsi="Arial"/>
          <w:sz w:val="18"/>
          <w:szCs w:val="18"/>
          <w:color w:val="auto"/>
        </w:rPr>
        <w:t>”</w:t>
      </w:r>
      <w:r>
        <w:rPr>
          <w:rFonts w:ascii="Times New Roman" w:cs="Times New Roman" w:eastAsia="Times New Roman" w:hAnsi="Times New Roman"/>
          <w:sz w:val="18"/>
          <w:szCs w:val="18"/>
          <w:color w:val="auto"/>
        </w:rPr>
        <w:t>know your customer" or other similar checks under all applicable laws and regulations in relation to that assignment;</w:t>
      </w:r>
    </w:p>
    <w:p>
      <w:pPr>
        <w:spacing w:after="0" w:line="17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would in no way be in breach of any applicable laws (e.g. banking monopoly);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(or its Affiliate) in its capacity as Hedging Provider has been replaced by the same Replacement Lender (or an Affiliate) or any other Hedging Provider by the transfer of all its rights and obligations as Hedging Provider under all Hedging Contracts to such Replacement Lender (or Affiliate) or other Hedging Provider, pursuant to the provisions of the Hedging Contracts and the Finance Documents, unless the Borrower has procured the close out and termination of all relevant Hedging Transactions existing with such Hedging Provider, in each case, in a manner acceptable to the Agent and that Hedging Provider.</w:t>
      </w:r>
    </w:p>
    <w:p>
      <w:pPr>
        <w:spacing w:after="0" w:line="18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perform the checks described in paragraph (b)(iv) above as soon as reasonably practicable following delivery of a notice referred to in paragraph (a)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9" w:name="page220"/>
    <w:bookmarkEnd w:id="219"/>
    <w:p>
      <w:pPr>
        <w:ind w:left="1300"/>
        <w:spacing w:after="0"/>
        <w:rPr>
          <w:sz w:val="20"/>
          <w:szCs w:val="20"/>
          <w:color w:val="auto"/>
        </w:rPr>
      </w:pPr>
      <w:r>
        <w:rPr>
          <w:rFonts w:ascii="Times New Roman" w:cs="Times New Roman" w:eastAsia="Times New Roman" w:hAnsi="Times New Roman"/>
          <w:sz w:val="18"/>
          <w:szCs w:val="18"/>
          <w:color w:val="auto"/>
        </w:rPr>
        <w:t>shall notify the Agent and the Borrower when it is satisfied that it has complied with those checks.</w:t>
      </w:r>
    </w:p>
    <w:p>
      <w:pPr>
        <w:spacing w:after="0" w:line="225" w:lineRule="exact"/>
        <w:rPr>
          <w:sz w:val="20"/>
          <w:szCs w:val="20"/>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waiver or amendment in question requires the approval of all the Lenders;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have consented or agreed to such waiver or amendment,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 xml:space="preserve">then any Lender who does not and continues not to consent or agree to such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7"/>
          <w:szCs w:val="17"/>
          <w:b w:val="1"/>
          <w:bCs w:val="1"/>
          <w:color w:val="auto"/>
        </w:rPr>
        <w:t>Sale or Total Loss</w:t>
      </w:r>
    </w:p>
    <w:p>
      <w:pPr>
        <w:spacing w:after="0" w:line="229" w:lineRule="exact"/>
        <w:rPr>
          <w:sz w:val="20"/>
          <w:szCs w:val="20"/>
          <w:color w:val="auto"/>
        </w:rPr>
      </w:pPr>
    </w:p>
    <w:p>
      <w:pPr>
        <w:ind w:left="1300" w:right="2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Ship becomes a Total Loss before the first Utilisation, the Total Commitments shall immediately be reduced by the amount which is equal to the Applicable Fraction of the Total Commitments in relation to such Ship.</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Mortgaged Ship</w:t>
      </w:r>
      <w:r>
        <w:rPr>
          <w:rFonts w:ascii="Arial" w:cs="Arial" w:eastAsia="Arial" w:hAnsi="Arial"/>
          <w:sz w:val="18"/>
          <w:szCs w:val="18"/>
          <w:color w:val="auto"/>
        </w:rPr>
        <w:t>’</w:t>
      </w:r>
      <w:r>
        <w:rPr>
          <w:rFonts w:ascii="Times New Roman" w:cs="Times New Roman" w:eastAsia="Times New Roman" w:hAnsi="Times New Roman"/>
          <w:sz w:val="18"/>
          <w:szCs w:val="18"/>
          <w:color w:val="auto"/>
        </w:rPr>
        <w:t>s Disposal Reduction Date, either paragraph (i) or paragraph (ii) below shall apply, at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sole option and election as notified in writing by it to the Agent on or before such Disposal Reduction Date. On the relevant Disposal Reduction Date the Borrower shall ensure compliance with the provisions of such applicable paragraph provided that the option of paragraph (ii) below is available to the Borrower only on condition that the amount by which the Total Commitments are required to be reduced under paragraph (i)(A) below is higher than zero.</w:t>
      </w:r>
    </w:p>
    <w:p>
      <w:pPr>
        <w:spacing w:after="0" w:line="17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1</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95"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relevant Disposal Reduction Date, the Total Commitments will be reduced in the following amount (</w:t>
      </w:r>
      <w:r>
        <w:rPr>
          <w:rFonts w:ascii="Times New Roman" w:cs="Times New Roman" w:eastAsia="Times New Roman" w:hAnsi="Times New Roman"/>
          <w:sz w:val="18"/>
          <w:szCs w:val="18"/>
          <w:b w:val="1"/>
          <w:bCs w:val="1"/>
          <w:color w:val="auto"/>
        </w:rPr>
        <w:t>Relevant Amount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3"/>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of the Ships which on the date of this Agreement is subject to a Key Charter or a Relevant Ship, the Total Commitments will be reduced by the amount which is equal to the Applicable Fraction of the Total Commitments in relation to such Ship; and</w:t>
      </w:r>
    </w:p>
    <w:p>
      <w:pPr>
        <w:spacing w:after="0" w:line="176" w:lineRule="exact"/>
        <w:rPr>
          <w:sz w:val="20"/>
          <w:szCs w:val="20"/>
          <w:color w:val="auto"/>
        </w:rPr>
      </w:pPr>
    </w:p>
    <w:p>
      <w:pPr>
        <w:jc w:val="both"/>
        <w:ind w:left="3240" w:hanging="640"/>
        <w:spacing w:after="0" w:line="261" w:lineRule="auto"/>
        <w:tabs>
          <w:tab w:leader="none" w:pos="32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Ship, the Total Commitments will be reduced by such amount (if any) as is required to ensure that the Security Value (without taking into account the relevant Ship lost or sold) will not be lower than the Minimum Value following such reduction; and</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49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prepay such amount of the Loans as may be necessary to ensure that the outstanding Loans after such date will not exceed the Total Commitments (as so reduced).</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w:t>
      </w:r>
    </w:p>
    <w:p>
      <w:pPr>
        <w:spacing w:after="0" w:line="225" w:lineRule="exact"/>
        <w:rPr>
          <w:sz w:val="20"/>
          <w:szCs w:val="20"/>
          <w:color w:val="auto"/>
        </w:rPr>
      </w:pPr>
    </w:p>
    <w:p>
      <w:pPr>
        <w:ind w:left="1960" w:right="20" w:hanging="656"/>
        <w:spacing w:after="0" w:line="286" w:lineRule="auto"/>
        <w:tabs>
          <w:tab w:leader="none" w:pos="19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2</w:t>
      </w:r>
      <w:r>
        <w:rPr>
          <w:rFonts w:ascii="Times New Roman" w:cs="Times New Roman" w:eastAsia="Times New Roman" w:hAnsi="Times New Roman"/>
          <w:sz w:val="18"/>
          <w:szCs w:val="18"/>
          <w:color w:val="auto"/>
        </w:rPr>
        <w:t>: On the relevant Disposal Reduction Date, the Borrower shall procure (at the cost and expense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that:</w:t>
      </w:r>
    </w:p>
    <w:p>
      <w:pPr>
        <w:spacing w:after="0" w:line="154"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entity (a </w:t>
      </w:r>
      <w:r>
        <w:rPr>
          <w:rFonts w:ascii="Times New Roman" w:cs="Times New Roman" w:eastAsia="Times New Roman" w:hAnsi="Times New Roman"/>
          <w:sz w:val="18"/>
          <w:szCs w:val="18"/>
          <w:b w:val="1"/>
          <w:bCs w:val="1"/>
          <w:color w:val="auto"/>
        </w:rPr>
        <w:t>New Owner</w:t>
      </w:r>
      <w:r>
        <w:rPr>
          <w:rFonts w:ascii="Times New Roman" w:cs="Times New Roman" w:eastAsia="Times New Roman" w:hAnsi="Times New Roman"/>
          <w:sz w:val="18"/>
          <w:szCs w:val="18"/>
          <w:color w:val="auto"/>
        </w:rPr>
        <w:t>) which is incorporated in a jurisdiction approved by all Lenders and is</w:t>
      </w:r>
    </w:p>
    <w:p>
      <w:pPr>
        <w:spacing w:after="0" w:line="31" w:lineRule="exact"/>
        <w:rPr>
          <w:rFonts w:ascii="Times New Roman" w:cs="Times New Roman" w:eastAsia="Times New Roman" w:hAnsi="Times New Roman"/>
          <w:sz w:val="18"/>
          <w:szCs w:val="18"/>
          <w:color w:val="auto"/>
        </w:rPr>
      </w:pPr>
    </w:p>
    <w:p>
      <w:pPr>
        <w:ind w:left="2600"/>
        <w:spacing w:after="0" w:line="260" w:lineRule="auto"/>
        <w:tabs>
          <w:tab w:leader="none" w:pos="2885"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wholly-owned Subsidiary of the Borrower and (2) a direct wholly-owned Subsidiary of a Guarantor who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0" w:name="page221"/>
    <w:bookmarkEnd w:id="220"/>
    <w:p>
      <w:pPr>
        <w:ind w:left="2140" w:right="20"/>
        <w:spacing w:after="0" w:line="282" w:lineRule="auto"/>
        <w:rPr>
          <w:sz w:val="20"/>
          <w:szCs w:val="20"/>
          <w:color w:val="auto"/>
        </w:rPr>
      </w:pPr>
      <w:r>
        <w:rPr>
          <w:rFonts w:ascii="Times New Roman" w:cs="Times New Roman" w:eastAsia="Times New Roman" w:hAnsi="Times New Roman"/>
          <w:sz w:val="18"/>
          <w:szCs w:val="18"/>
          <w:color w:val="auto"/>
        </w:rPr>
        <w:t>an Owner, and owns a Replacement Ship has become a guarantor under this Agreement on the same terms as the Owners and on a joint and several basis with the other Guarantors;</w:t>
      </w:r>
    </w:p>
    <w:p>
      <w:pPr>
        <w:spacing w:after="0" w:line="162" w:lineRule="exact"/>
        <w:rPr>
          <w:sz w:val="20"/>
          <w:szCs w:val="20"/>
          <w:color w:val="auto"/>
        </w:rPr>
      </w:pPr>
    </w:p>
    <w:p>
      <w:pPr>
        <w:ind w:left="2140" w:hanging="648"/>
        <w:spacing w:after="0" w:line="256" w:lineRule="auto"/>
        <w:tabs>
          <w:tab w:leader="none" w:pos="2035"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New Owner and the Manager (who must be the manager of such Replacement Ship) have executed and delivered to and in favour of the Finance Parties, such security over and in relation to such Replacement Ship (including a mortgage of such Replacement Ship) which is the same as or equivalent to the existing security over and in relation to all other Mortgaged Ships, and in such form as is substantially similar to that of the Original Security Documents in respect of the other Mortgaged Ships;</w:t>
      </w:r>
    </w:p>
    <w:p>
      <w:pPr>
        <w:spacing w:after="0" w:line="187" w:lineRule="exact"/>
        <w:rPr>
          <w:rFonts w:ascii="Times New Roman" w:cs="Times New Roman" w:eastAsia="Times New Roman" w:hAnsi="Times New Roman"/>
          <w:sz w:val="18"/>
          <w:szCs w:val="18"/>
          <w:color w:val="auto"/>
        </w:rPr>
      </w:pPr>
    </w:p>
    <w:p>
      <w:pPr>
        <w:ind w:left="2140" w:hanging="648"/>
        <w:spacing w:after="0" w:line="266" w:lineRule="auto"/>
        <w:tabs>
          <w:tab w:leader="none" w:pos="2035"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New Owner and the Obligors have entered with the Finance Parties into such other documents in relation to or supplemental to this Agreement as the Majority Lenders may require to reflect the arrangements contemplated by this Clause 7.8(b)(ii) and in approved form;</w:t>
      </w:r>
    </w:p>
    <w:p>
      <w:pPr>
        <w:spacing w:after="0" w:line="175" w:lineRule="exact"/>
        <w:rPr>
          <w:rFonts w:ascii="Times New Roman" w:cs="Times New Roman" w:eastAsia="Times New Roman" w:hAnsi="Times New Roman"/>
          <w:sz w:val="18"/>
          <w:szCs w:val="18"/>
          <w:color w:val="auto"/>
        </w:rPr>
      </w:pPr>
    </w:p>
    <w:p>
      <w:pPr>
        <w:ind w:left="2140" w:hanging="648"/>
        <w:spacing w:after="0" w:line="261" w:lineRule="auto"/>
        <w:tabs>
          <w:tab w:leader="none" w:pos="2035"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have delivered to the Agent such documents and evidence of the type referred to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relation to such Replacement Ship and the said security and supplemental agreements, as the Agent may reasonably require and in all respects satisfactory to the Agent; and</w:t>
      </w:r>
    </w:p>
    <w:p>
      <w:pPr>
        <w:spacing w:after="0" w:line="179" w:lineRule="exact"/>
        <w:rPr>
          <w:rFonts w:ascii="Times New Roman" w:cs="Times New Roman" w:eastAsia="Times New Roman" w:hAnsi="Times New Roman"/>
          <w:sz w:val="18"/>
          <w:szCs w:val="18"/>
          <w:color w:val="auto"/>
        </w:rPr>
      </w:pPr>
    </w:p>
    <w:p>
      <w:pPr>
        <w:ind w:left="2140" w:hanging="648"/>
        <w:spacing w:after="0" w:line="253" w:lineRule="auto"/>
        <w:tabs>
          <w:tab w:leader="none" w:pos="2035"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the above conditions, the Security Value at that time shall not be lower than the Minimum Value and the ratio of (A) the difference of (x) the Total Commitments minus (y) the value of any additional security in the form of pledged and/or charged dollar deposits then held by the Security Agent or any other Finance Party provided under clause 7.11 (</w:t>
      </w:r>
      <w:r>
        <w:rPr>
          <w:rFonts w:ascii="Times New Roman" w:cs="Times New Roman" w:eastAsia="Times New Roman" w:hAnsi="Times New Roman"/>
          <w:sz w:val="18"/>
          <w:szCs w:val="18"/>
          <w:i w:val="1"/>
          <w:iCs w:val="1"/>
          <w:color w:val="auto"/>
        </w:rPr>
        <w:t>Mandatory prepayment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cancellation following Charter or Charter Guarantee termination</w:t>
      </w:r>
      <w:r>
        <w:rPr>
          <w:rFonts w:ascii="Times New Roman" w:cs="Times New Roman" w:eastAsia="Times New Roman" w:hAnsi="Times New Roman"/>
          <w:sz w:val="18"/>
          <w:szCs w:val="18"/>
          <w:color w:val="auto"/>
        </w:rPr>
        <w:t>) or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as most recently determined in accordance with this Agreement at that time, to (B)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Value at that time (taking into account for such purpose the market values of the Replacement Ship but not of the Mortgaged Ship lost or sold), shall be not higher than what the same ratio was before satisfaction of such conditions and the replacement of the lost or sold Mortgaged Ship by the Replacement Ship (taking into account for such purpose the market value of the Mortgaged Ship lost or sold).</w:t>
      </w:r>
    </w:p>
    <w:p>
      <w:pPr>
        <w:spacing w:after="0" w:line="19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7.8:</w:t>
      </w:r>
    </w:p>
    <w:p>
      <w:pPr>
        <w:spacing w:after="0" w:line="221" w:lineRule="exact"/>
        <w:rPr>
          <w:rFonts w:ascii="Times New Roman" w:cs="Times New Roman" w:eastAsia="Times New Roman" w:hAnsi="Times New Roman"/>
          <w:sz w:val="18"/>
          <w:szCs w:val="18"/>
          <w:color w:val="auto"/>
        </w:rPr>
      </w:pPr>
    </w:p>
    <w:p>
      <w:pPr>
        <w:ind w:left="8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Replacement Ship </w:t>
      </w:r>
      <w:r>
        <w:rPr>
          <w:rFonts w:ascii="Times New Roman" w:cs="Times New Roman" w:eastAsia="Times New Roman" w:hAnsi="Times New Roman"/>
          <w:sz w:val="18"/>
          <w:szCs w:val="18"/>
          <w:color w:val="auto"/>
        </w:rPr>
        <w:t>means, in relation to a Mortgaged Ship which is sold or has become a Total Loss and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Borrower has elected that paragraph (b)(ii) above shall apply, another vessel which is:</w:t>
      </w:r>
    </w:p>
    <w:p>
      <w:pPr>
        <w:spacing w:after="0" w:line="158"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LNG carrier;</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under a flag which is an Approved Flag State;</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Security Interests (other than Permitted Maritime Liens);</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in a reputable shipyard;</w:t>
      </w:r>
    </w:p>
    <w:p>
      <w:pPr>
        <w:spacing w:after="0" w:line="225"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all respects acceptable to all the Lenders (including as to its specifications, size, age, classification and employment); and</w:t>
      </w:r>
    </w:p>
    <w:p>
      <w:pPr>
        <w:spacing w:after="0" w:line="161" w:lineRule="exact"/>
        <w:rPr>
          <w:rFonts w:ascii="Times New Roman" w:cs="Times New Roman" w:eastAsia="Times New Roman" w:hAnsi="Times New Roman"/>
          <w:sz w:val="18"/>
          <w:szCs w:val="18"/>
          <w:color w:val="auto"/>
        </w:rPr>
      </w:pPr>
    </w:p>
    <w:p>
      <w:pPr>
        <w:jc w:val="both"/>
        <w:ind w:left="1500" w:hanging="656"/>
        <w:spacing w:after="0" w:line="266" w:lineRule="auto"/>
        <w:tabs>
          <w:tab w:leader="none" w:pos="1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Replacement Ship Mortgage Date, subject to, and delivered for service under, a charter commitment equivalent (as to remaining tenor, daily charter hire, charterer standing and credit and on other material terms) to that of the Mortgaged Ship lost or sold and otherwise in all respects acceptable to all the Lenders, but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21" w:name="page222"/>
    <w:bookmarkEnd w:id="221"/>
    <w:p>
      <w:pPr>
        <w:ind w:left="1960"/>
        <w:spacing w:after="0" w:line="282" w:lineRule="auto"/>
        <w:rPr>
          <w:sz w:val="20"/>
          <w:szCs w:val="20"/>
          <w:color w:val="auto"/>
        </w:rPr>
      </w:pPr>
      <w:r>
        <w:rPr>
          <w:rFonts w:ascii="Times New Roman" w:cs="Times New Roman" w:eastAsia="Times New Roman" w:hAnsi="Times New Roman"/>
          <w:sz w:val="18"/>
          <w:szCs w:val="18"/>
          <w:color w:val="auto"/>
        </w:rPr>
        <w:t>condition of this paragraph (vi) applies only if the Mortgaged Ship lost or sold was subject to a Key Charter at the relevant time it was lost or sold,</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which has previously been confirmed in writing by the Agent (acting on the instructions of all the Lenders) to the Borrower that it qualifies as a Replacement Ship.</w:t>
      </w:r>
    </w:p>
    <w:p>
      <w:pPr>
        <w:spacing w:after="0" w:line="158" w:lineRule="exact"/>
        <w:rPr>
          <w:sz w:val="20"/>
          <w:szCs w:val="20"/>
          <w:color w:val="auto"/>
        </w:rPr>
      </w:pPr>
    </w:p>
    <w:p>
      <w:pPr>
        <w:ind w:left="13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Replacement Ship Mortgage Date </w:t>
      </w:r>
      <w:r>
        <w:rPr>
          <w:rFonts w:ascii="Times New Roman" w:cs="Times New Roman" w:eastAsia="Times New Roman" w:hAnsi="Times New Roman"/>
          <w:sz w:val="18"/>
          <w:szCs w:val="18"/>
          <w:color w:val="auto"/>
        </w:rPr>
        <w:t>means, in relation to a Replacement Ship, the date of completion of registration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mortgage over that Replacement Ship by the relevant New Owner in a form substantially similar to a Mortgage.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Automatic cancellation</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part of the Total Commitments which has not become available by the Last Availability Date shall be automatically cancelled at close of business in London on the Last Availability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Mandatory prepayment and cancellation following non-compliance with Sanctions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Borrower or any Obligor is at any time not in compliance with the provisions of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or at any time when a representation made or repeated under clause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is not true, correct or accurate, then, without prejudice to any other rights of the Finance Parties under this Agreement and the other Finance Documents, following instructions to this effect by a Lender to the Agent, by notice of the Agent to the Borrower (with a copy to the other Lenders):</w:t>
      </w:r>
    </w:p>
    <w:p>
      <w:pPr>
        <w:spacing w:after="0" w:line="182" w:lineRule="exact"/>
        <w:rPr>
          <w:sz w:val="20"/>
          <w:szCs w:val="20"/>
          <w:color w:val="auto"/>
        </w:rPr>
      </w:pPr>
    </w:p>
    <w:p>
      <w:pPr>
        <w:ind w:left="1300" w:right="2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Commitment of that Lender will be immediately cancelled and the Total Commitments shall be reduced correspondingly;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that Lender's participation in each of the Loans in full within five (5) Business Days of such notice.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Mandatory prepayment and cancellation following Charter or Charter Guarantee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Guarantee in relation to any Key Charter of a Mortgaged Ship is cancelled or rescinded or frustrated (unless replaced by an equivalent Charter Guarantee with a Charter Guarantor with a credit rating (if any) as the credit rating of the Charter Guarantor that is being replaced or, in the absence of such credit rating, with equivalent credit standing as determined by the Majority Lenders (acting reasonably));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Charter of any Mortgaged Ship is cancelled or rescinded or (except as a result of it being a Total Loss) frustrated;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Mortgaged Ship is withdrawn from service under the relevant Key Charter before the time the Key Charter was scheduled to expire,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without the prior approval of the Majority Lenders, the Borrower shall, within 120 days after such cancellation, rescission, frustration or withdrawal (as the case may be):</w:t>
      </w:r>
    </w:p>
    <w:p>
      <w:pPr>
        <w:spacing w:after="0" w:line="161" w:lineRule="exact"/>
        <w:rPr>
          <w:sz w:val="20"/>
          <w:szCs w:val="20"/>
          <w:color w:val="auto"/>
        </w:rPr>
      </w:pPr>
    </w:p>
    <w:p>
      <w:pPr>
        <w:ind w:left="1960" w:hanging="656"/>
        <w:spacing w:after="0"/>
        <w:tabs>
          <w:tab w:leader="none" w:pos="19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discretion between (A) and (B)):</w:t>
      </w:r>
    </w:p>
    <w:p>
      <w:pPr>
        <w:spacing w:after="0" w:line="224" w:lineRule="exact"/>
        <w:rPr>
          <w:rFonts w:ascii="Times New Roman" w:cs="Times New Roman" w:eastAsia="Times New Roman" w:hAnsi="Times New Roman"/>
          <w:sz w:val="18"/>
          <w:szCs w:val="18"/>
          <w:color w:val="auto"/>
        </w:rPr>
      </w:pPr>
    </w:p>
    <w:p>
      <w:pPr>
        <w:ind w:left="2600" w:hanging="648"/>
        <w:spacing w:after="0" w:line="261" w:lineRule="auto"/>
        <w:tabs>
          <w:tab w:leader="none" w:pos="2495"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 part of the Total Commitments equal to 50% of the Applicable Fraction of the Total Commitments in relation to such Ship under clause 7.3 (</w:t>
      </w:r>
      <w:r>
        <w:rPr>
          <w:rFonts w:ascii="Times New Roman" w:cs="Times New Roman" w:eastAsia="Times New Roman" w:hAnsi="Times New Roman"/>
          <w:sz w:val="18"/>
          <w:szCs w:val="18"/>
          <w:i w:val="1"/>
          <w:iCs w:val="1"/>
          <w:color w:val="auto"/>
        </w:rPr>
        <w:t>Voluntary cancellation</w:t>
      </w:r>
      <w:r>
        <w:rPr>
          <w:rFonts w:ascii="Times New Roman" w:cs="Times New Roman" w:eastAsia="Times New Roman" w:hAnsi="Times New Roman"/>
          <w:sz w:val="18"/>
          <w:szCs w:val="18"/>
          <w:color w:val="auto"/>
        </w:rPr>
        <w:t>) and prepay such amount of the Loans as may be necessary to ensure that the outstanding Loans after such date do not exceed the Total Commitments (as so reduced);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42" w:right="999" w:bottom="1440" w:gutter="0" w:footer="0" w:header="0"/>
        </w:sectPr>
      </w:pPr>
    </w:p>
    <w:bookmarkStart w:id="222" w:name="page223"/>
    <w:bookmarkEnd w:id="222"/>
    <w:p>
      <w:pPr>
        <w:ind w:left="2600" w:right="20" w:hanging="648"/>
        <w:spacing w:after="0" w:line="282" w:lineRule="auto"/>
        <w:tabs>
          <w:tab w:leader="none" w:pos="249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Finance Parties additional security over cash (in approved form) in an amount of dollars equal to 50% of such Applicable Fraction of the Total Commitments in relation to such Ship; or</w:t>
      </w:r>
    </w:p>
    <w:p>
      <w:pPr>
        <w:spacing w:after="0" w:line="157" w:lineRule="exact"/>
        <w:rPr>
          <w:rFonts w:ascii="Times New Roman" w:cs="Times New Roman" w:eastAsia="Times New Roman" w:hAnsi="Times New Roman"/>
          <w:sz w:val="18"/>
          <w:szCs w:val="18"/>
          <w:color w:val="auto"/>
        </w:rPr>
      </w:pPr>
    </w:p>
    <w:p>
      <w:pPr>
        <w:jc w:val="both"/>
        <w:ind w:left="1960" w:hanging="656"/>
        <w:spacing w:after="0" w:line="262" w:lineRule="auto"/>
        <w:tabs>
          <w:tab w:leader="none" w:pos="19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that the relevant Owner has entered into an approved charter commitment (a </w:t>
      </w:r>
      <w:r>
        <w:rPr>
          <w:rFonts w:ascii="Times New Roman" w:cs="Times New Roman" w:eastAsia="Times New Roman" w:hAnsi="Times New Roman"/>
          <w:sz w:val="18"/>
          <w:szCs w:val="18"/>
          <w:b w:val="1"/>
          <w:bCs w:val="1"/>
          <w:color w:val="auto"/>
        </w:rPr>
        <w:t>Replacement Charter</w:t>
      </w:r>
      <w:r>
        <w:rPr>
          <w:rFonts w:ascii="Times New Roman" w:cs="Times New Roman" w:eastAsia="Times New Roman" w:hAnsi="Times New Roman"/>
          <w:sz w:val="18"/>
          <w:szCs w:val="18"/>
          <w:color w:val="auto"/>
        </w:rPr>
        <w:t>) in respect of the relevant Ship in accordance with clause 26.8 (</w:t>
      </w:r>
      <w:r>
        <w:rPr>
          <w:rFonts w:ascii="Times New Roman" w:cs="Times New Roman" w:eastAsia="Times New Roman" w:hAnsi="Times New Roman"/>
          <w:sz w:val="18"/>
          <w:szCs w:val="18"/>
          <w:i w:val="1"/>
          <w:iCs w:val="1"/>
          <w:color w:val="auto"/>
        </w:rPr>
        <w:t>Termination Cure</w:t>
      </w:r>
      <w:r>
        <w:rPr>
          <w:rFonts w:ascii="Times New Roman" w:cs="Times New Roman" w:eastAsia="Times New Roman" w:hAnsi="Times New Roman"/>
          <w:sz w:val="18"/>
          <w:szCs w:val="18"/>
          <w:color w:val="auto"/>
        </w:rPr>
        <w:t>) and the relevant Ship has been delivered for service thereunder, and that the Owner shall otherwise be in compliance with clause 22.8 (</w:t>
      </w:r>
      <w:r>
        <w:rPr>
          <w:rFonts w:ascii="Times New Roman" w:cs="Times New Roman" w:eastAsia="Times New Roman" w:hAnsi="Times New Roman"/>
          <w:sz w:val="18"/>
          <w:szCs w:val="18"/>
          <w:i w:val="1"/>
          <w:iCs w:val="1"/>
          <w:color w:val="auto"/>
        </w:rPr>
        <w:t>Chartering</w:t>
      </w:r>
      <w:r>
        <w:rPr>
          <w:rFonts w:ascii="Times New Roman" w:cs="Times New Roman" w:eastAsia="Times New Roman" w:hAnsi="Times New Roman"/>
          <w:sz w:val="18"/>
          <w:szCs w:val="18"/>
          <w:color w:val="auto"/>
        </w:rPr>
        <w:t>) in respect of the same and which:</w:t>
      </w:r>
    </w:p>
    <w:p>
      <w:pPr>
        <w:spacing w:after="0" w:line="180" w:lineRule="exact"/>
        <w:rPr>
          <w:rFonts w:ascii="Times New Roman" w:cs="Times New Roman" w:eastAsia="Times New Roman" w:hAnsi="Times New Roman"/>
          <w:sz w:val="18"/>
          <w:szCs w:val="18"/>
          <w:color w:val="auto"/>
        </w:rPr>
      </w:pPr>
    </w:p>
    <w:p>
      <w:pPr>
        <w:ind w:left="2600" w:hanging="648"/>
        <w:spacing w:after="0" w:line="260" w:lineRule="auto"/>
        <w:tabs>
          <w:tab w:leader="none" w:pos="249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 charterer which is not a Non Acceptable Charterer and with a credit rating of not less than the lower of (x) BBB- or its equivalent by at least one of Standard and Poor</w:t>
      </w:r>
      <w:r>
        <w:rPr>
          <w:rFonts w:ascii="Arial" w:cs="Arial" w:eastAsia="Arial" w:hAnsi="Arial"/>
          <w:sz w:val="18"/>
          <w:szCs w:val="18"/>
          <w:color w:val="auto"/>
        </w:rPr>
        <w:t>’</w:t>
      </w:r>
      <w:r>
        <w:rPr>
          <w:rFonts w:ascii="Times New Roman" w:cs="Times New Roman" w:eastAsia="Times New Roman" w:hAnsi="Times New Roman"/>
          <w:sz w:val="18"/>
          <w:szCs w:val="18"/>
          <w:color w:val="auto"/>
        </w:rPr>
        <w:t>s, Moody</w:t>
      </w:r>
      <w:r>
        <w:rPr>
          <w:rFonts w:ascii="Arial" w:cs="Arial" w:eastAsia="Arial" w:hAnsi="Arial"/>
          <w:sz w:val="18"/>
          <w:szCs w:val="18"/>
          <w:color w:val="auto"/>
        </w:rPr>
        <w:t>’</w:t>
      </w:r>
      <w:r>
        <w:rPr>
          <w:rFonts w:ascii="Times New Roman" w:cs="Times New Roman" w:eastAsia="Times New Roman" w:hAnsi="Times New Roman"/>
          <w:sz w:val="18"/>
          <w:szCs w:val="18"/>
          <w:color w:val="auto"/>
        </w:rPr>
        <w:t>s or Fitch and (y) the credit rating (if any) of the Charterer and, where applicable, the Charter Guarantor of the Charter that is being replaced; and</w:t>
      </w:r>
    </w:p>
    <w:p>
      <w:pPr>
        <w:spacing w:after="0" w:line="182" w:lineRule="exact"/>
        <w:rPr>
          <w:rFonts w:ascii="Times New Roman" w:cs="Times New Roman" w:eastAsia="Times New Roman" w:hAnsi="Times New Roman"/>
          <w:sz w:val="18"/>
          <w:szCs w:val="18"/>
          <w:color w:val="auto"/>
        </w:rPr>
      </w:pPr>
    </w:p>
    <w:p>
      <w:pPr>
        <w:ind w:left="2600" w:hanging="648"/>
        <w:spacing w:after="0" w:line="266" w:lineRule="auto"/>
        <w:tabs>
          <w:tab w:leader="none" w:pos="249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to the satisfaction of the Majority Lenders for daily charter rates which are not more than 20% lower than the daily charter rates payable under the Charter of the relevant Ship that is being replaced at the time of the cancellation, rescission, frustration or withdrawal (as applicable); and</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9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fixed charter term of no less than two (2) years, without taking into account any option to extend; and</w:t>
      </w:r>
    </w:p>
    <w:p>
      <w:pPr>
        <w:spacing w:after="0" w:line="161" w:lineRule="exact"/>
        <w:rPr>
          <w:rFonts w:ascii="Times New Roman" w:cs="Times New Roman" w:eastAsia="Times New Roman" w:hAnsi="Times New Roman"/>
          <w:sz w:val="18"/>
          <w:szCs w:val="18"/>
          <w:color w:val="auto"/>
        </w:rPr>
      </w:pPr>
    </w:p>
    <w:p>
      <w:pPr>
        <w:ind w:left="2600" w:hanging="648"/>
        <w:spacing w:after="0" w:line="266" w:lineRule="auto"/>
        <w:tabs>
          <w:tab w:leader="none" w:pos="249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bareboat or demise charter or other charter commitment which passes possession and operational control of the relevant Ship to another person, unless otherwise agreed by the Agent (acting on the instructions of all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is otherwise acceptable in form and substance in all respects to the Majority Lenders acting reasonably.</w:t>
      </w:r>
    </w:p>
    <w:p>
      <w:pPr>
        <w:spacing w:after="0" w:line="221" w:lineRule="exact"/>
        <w:rPr>
          <w:sz w:val="20"/>
          <w:szCs w:val="20"/>
          <w:color w:val="auto"/>
        </w:rPr>
      </w:pPr>
    </w:p>
    <w:p>
      <w:pPr>
        <w:ind w:left="660" w:hanging="652"/>
        <w:spacing w:after="0"/>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Notices of cancellation and prepayment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notice of cancellation or prepayment given by any Party under clause 7 shall be irrevocable and, unless a contrary indication appears in this Agreement, shall specify the date or dates upon which the relevant cancellation or prepayment is to be made and the amount of that cancellation or prepayment.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without premium or penalty.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Reborrowing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Unless a contrary indication appears in this Agreement, any part of the Facility which is prepaid or repaid may be re-borrowed in accordance with the terms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not repay or prepay all or any part of the Loans or cancel all or any part of the Commitments except at the times and in the manner expressly provided for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 of the Total Commitments cancelled under this Agreement may be subsequently reinstated.</w:t>
      </w:r>
    </w:p>
    <w:p>
      <w:pPr>
        <w:sectPr>
          <w:pgSz w:w="11900" w:h="16838" w:orient="portrait"/>
          <w:cols w:equalWidth="0" w:num="1">
            <w:col w:w="9920"/>
          </w:cols>
          <w:pgMar w:left="980" w:top="124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42" w:right="999" w:bottom="1440" w:gutter="0" w:footer="0" w:header="0"/>
          <w:type w:val="continuous"/>
        </w:sectPr>
      </w:pPr>
    </w:p>
    <w:bookmarkStart w:id="223" w:name="page224"/>
    <w:bookmarkEnd w:id="22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If the Agent receives a notice under clause 7 it shall promptly forward a copy of that notice to either the Borrower or the affected Lender, as appropriate.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7"/>
          <w:szCs w:val="17"/>
          <w:b w:val="1"/>
          <w:bCs w:val="1"/>
          <w:color w:val="auto"/>
        </w:rPr>
        <w:t>Application of cancellations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If the Total Commitments are partially reduced under this Agreement (other than under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xml:space="preserve"> clause 7.5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cancellation and prepayment in relation to a single Lender) </w:t>
      </w:r>
      <w:r>
        <w:rPr>
          <w:rFonts w:ascii="Times New Roman" w:cs="Times New Roman" w:eastAsia="Times New Roman" w:hAnsi="Times New Roman"/>
          <w:sz w:val="18"/>
          <w:szCs w:val="18"/>
          <w:color w:val="auto"/>
        </w:rPr>
        <w:t>and clause 7.10 (</w:t>
      </w:r>
      <w:r>
        <w:rPr>
          <w:rFonts w:ascii="Times New Roman" w:cs="Times New Roman" w:eastAsia="Times New Roman" w:hAnsi="Times New Roman"/>
          <w:sz w:val="18"/>
          <w:szCs w:val="18"/>
          <w:i w:val="1"/>
          <w:iCs w:val="1"/>
          <w:color w:val="auto"/>
        </w:rPr>
        <w:t>Mandatory prepayment and cancellation following non-compliance with Sanctions</w:t>
      </w:r>
      <w:r>
        <w:rPr>
          <w:rFonts w:ascii="Times New Roman" w:cs="Times New Roman" w:eastAsia="Times New Roman" w:hAnsi="Times New Roman"/>
          <w:sz w:val="18"/>
          <w:szCs w:val="18"/>
          <w:color w:val="auto"/>
        </w:rPr>
        <w:t>)), the Commitments of the Lenders shall be reduced rateably.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Application of prepayments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required as a result of a cancellation in full of an individual Lender's Commitment under clause 7.1 </w:t>
      </w:r>
      <w:r>
        <w:rPr>
          <w:rFonts w:ascii="Times New Roman" w:cs="Times New Roman" w:eastAsia="Times New Roman" w:hAnsi="Times New Roman"/>
          <w:sz w:val="18"/>
          <w:szCs w:val="18"/>
          <w:i w:val="1"/>
          <w:iCs w:val="1"/>
          <w:color w:val="auto"/>
        </w:rPr>
        <w:t xml:space="preserve">(Illegality), </w:t>
      </w:r>
      <w:r>
        <w:rPr>
          <w:rFonts w:ascii="Times New Roman" w:cs="Times New Roman" w:eastAsia="Times New Roman" w:hAnsi="Times New Roman"/>
          <w:sz w:val="18"/>
          <w:szCs w:val="18"/>
          <w:color w:val="auto"/>
        </w:rPr>
        <w:t>clause 7.5</w:t>
      </w:r>
      <w:r>
        <w:rPr>
          <w:rFonts w:ascii="Times New Roman" w:cs="Times New Roman" w:eastAsia="Times New Roman" w:hAnsi="Times New Roman"/>
          <w:sz w:val="18"/>
          <w:szCs w:val="18"/>
          <w:i w:val="1"/>
          <w:iCs w:val="1"/>
          <w:color w:val="auto"/>
        </w:rPr>
        <w:t xml:space="preserve"> (Right of cancellation and prepayment in relation to a single Lender) </w:t>
      </w:r>
      <w:r>
        <w:rPr>
          <w:rFonts w:ascii="Times New Roman" w:cs="Times New Roman" w:eastAsia="Times New Roman" w:hAnsi="Times New Roman"/>
          <w:sz w:val="18"/>
          <w:szCs w:val="18"/>
          <w:color w:val="auto"/>
        </w:rPr>
        <w:t>or clause 7.10 (</w:t>
      </w:r>
      <w:r>
        <w:rPr>
          <w:rFonts w:ascii="Times New Roman" w:cs="Times New Roman" w:eastAsia="Times New Roman" w:hAnsi="Times New Roman"/>
          <w:sz w:val="18"/>
          <w:szCs w:val="18"/>
          <w:i w:val="1"/>
          <w:iCs w:val="1"/>
          <w:color w:val="auto"/>
        </w:rPr>
        <w:t>Mandatory prepayment and cancellation following non-compliance with Sanctions</w:t>
      </w:r>
      <w:r>
        <w:rPr>
          <w:rFonts w:ascii="Times New Roman" w:cs="Times New Roman" w:eastAsia="Times New Roman" w:hAnsi="Times New Roman"/>
          <w:sz w:val="18"/>
          <w:szCs w:val="18"/>
          <w:color w:val="auto"/>
        </w:rPr>
        <w:t>) shall be applied in prepaying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participation in each of the Loans.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prepayment shall be applied pro rata to each Lender's participation in each of the Loans.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b w:val="1"/>
          <w:bCs w:val="1"/>
          <w:color w:val="auto"/>
        </w:rPr>
        <w:t>Removal of Lender from security</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Upon cancellation and prepayment in full of an individual Lender's Commitment under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xml:space="preserve">, clause 7.5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cancellation and prepayment in relation to a single Lender</w:t>
      </w:r>
      <w:r>
        <w:rPr>
          <w:rFonts w:ascii="Times New Roman" w:cs="Times New Roman" w:eastAsia="Times New Roman" w:hAnsi="Times New Roman"/>
          <w:sz w:val="18"/>
          <w:szCs w:val="18"/>
          <w:color w:val="auto"/>
        </w:rPr>
        <w:t>) or clause 7.10 (</w:t>
      </w:r>
      <w:r>
        <w:rPr>
          <w:rFonts w:ascii="Times New Roman" w:cs="Times New Roman" w:eastAsia="Times New Roman" w:hAnsi="Times New Roman"/>
          <w:sz w:val="18"/>
          <w:szCs w:val="18"/>
          <w:i w:val="1"/>
          <w:iCs w:val="1"/>
          <w:color w:val="auto"/>
        </w:rPr>
        <w:t>Mandatory prepayment and cancellation following non-compliance with Sanctions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Lender and the other Parties must promptly take (and the Borrower shall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other relevant Obligor promptly takes) whatever action the Agent may, in its reasonable opinion, deem necessary for the purpose of removing that Lender as a party to and beneficiary of any Security Documents granted in favour of (among others)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38" w:right="99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5 - Costs of Utilisation</w:t>
      </w:r>
    </w:p>
    <w:p>
      <w:pPr>
        <w:spacing w:after="0" w:line="225" w:lineRule="exact"/>
        <w:rPr>
          <w:sz w:val="20"/>
          <w:szCs w:val="20"/>
          <w:color w:val="auto"/>
        </w:rPr>
      </w:pPr>
    </w:p>
    <w:p>
      <w:pPr>
        <w:ind w:left="660" w:hanging="652"/>
        <w:spacing w:after="0"/>
        <w:tabs>
          <w:tab w:leader="none" w:pos="6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9" w:lineRule="exact"/>
        <w:rPr>
          <w:sz w:val="20"/>
          <w:szCs w:val="20"/>
          <w:color w:val="auto"/>
        </w:rPr>
      </w:pPr>
    </w:p>
    <w:p>
      <w:pPr>
        <w:ind w:left="1300" w:hanging="644"/>
        <w:spacing w:after="0" w:line="282"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on each Loan (or any relevant part of the same which has a separate Interest Period) for any day during an Interest Period relating to it is the percentage rate per annum which is the aggregate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Compounded Reference Rate for that day.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day during an Interest Period for a Loan (or any relevant part of it) is not an RFR Banking Day, the rate of interest on that Loan (or any relevant part of it) for that day will be the rate applicable to the immediately preceding RFR Banking Day.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pay accrued interest on each Loan on the last day of each Interest Period.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fails to pay any amount payable by it under a Finance Document (other than a Hedging Contract) to a Finance Party on its due date, interest shall accrue on the overdue amount from the due date up to the date of actual payment (both before and after judgment) at a rate which is 2 per cent per annum higher than the rate which would have been payable if the overdue amount had, during the period of non-payment, constituted a Loan for successive Interest Periods, each of a duration selected by the Agent (acting reasonably).</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accruing under this clause 9.3 shall be immediately payable by the Obligors on demand by the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payable under this clause 9.3 (if unpaid) arising on an overdue amount will be compounded with the overdue amount at the end of each Interest Period applicable to that overdue amount but will remain immediately due and payable.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Notifications of rates of interest</w:t>
      </w:r>
    </w:p>
    <w:p>
      <w:pPr>
        <w:spacing w:after="0" w:line="229" w:lineRule="exact"/>
        <w:rPr>
          <w:sz w:val="20"/>
          <w:szCs w:val="20"/>
          <w:color w:val="auto"/>
        </w:rPr>
      </w:pPr>
    </w:p>
    <w:p>
      <w:pPr>
        <w:ind w:left="1300" w:hanging="644"/>
        <w:spacing w:after="0"/>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upon an Interest Payment being determinable notify: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that Interest Payment;</w:t>
      </w:r>
    </w:p>
    <w:p>
      <w:pPr>
        <w:spacing w:after="0" w:line="224" w:lineRule="exact"/>
        <w:rPr>
          <w:rFonts w:ascii="Times New Roman" w:cs="Times New Roman" w:eastAsia="Times New Roman" w:hAnsi="Times New Roman"/>
          <w:sz w:val="18"/>
          <w:szCs w:val="18"/>
          <w:color w:val="auto"/>
        </w:rPr>
      </w:pPr>
    </w:p>
    <w:p>
      <w:pPr>
        <w:ind w:left="1960" w:right="20" w:hanging="656"/>
        <w:spacing w:after="0" w:line="281" w:lineRule="auto"/>
        <w:tabs>
          <w:tab w:leader="none" w:pos="19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Lender of the proportion of that Interest Payment which relates to that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s participation in the relevant Loan; and</w:t>
      </w:r>
    </w:p>
    <w:p>
      <w:pPr>
        <w:spacing w:after="0" w:line="162"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Lenders and the Borrower of each applicable rate of interest relating to the determination of that Interest Payment.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9.4 shall not require the Agent to make any notification to any Party on a day which is not a Business Day.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Sustainability Margin Adjustment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clause 9.5, the Borrower may deliver to the Agent and the Sustainability Co-ordinator prior to 31 July of each calendar year (but starting from 31 July 2025 for the calendar year ending 31 December 2024), a Sustainability Certificate for the prior calendar year. Margin (as specified in paragraph (a) of its definition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each calendar year during the Facility Period will be determined and</w:t>
      </w:r>
    </w:p>
    <w:p>
      <w:pPr>
        <w:sectPr>
          <w:pgSz w:w="11900" w:h="16838" w:orient="portrait"/>
          <w:cols w:equalWidth="0" w:num="1">
            <w:col w:w="9920"/>
          </w:cols>
          <w:pgMar w:left="980" w:top="108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type w:val="continuous"/>
        </w:sectPr>
      </w:pPr>
    </w:p>
    <w:bookmarkStart w:id="225" w:name="page226"/>
    <w:bookmarkEnd w:id="225"/>
    <w:p>
      <w:pPr>
        <w:ind w:left="840" w:right="20"/>
        <w:spacing w:after="0" w:line="282" w:lineRule="auto"/>
        <w:rPr>
          <w:sz w:val="20"/>
          <w:szCs w:val="20"/>
          <w:color w:val="auto"/>
        </w:rPr>
      </w:pPr>
      <w:r>
        <w:rPr>
          <w:rFonts w:ascii="Times New Roman" w:cs="Times New Roman" w:eastAsia="Times New Roman" w:hAnsi="Times New Roman"/>
          <w:sz w:val="18"/>
          <w:szCs w:val="18"/>
          <w:color w:val="auto"/>
        </w:rPr>
        <w:t>adjusted in accordance with the terms set out below and references to ‘Margin’ in this Agreement shall be construed accordingly.</w:t>
      </w:r>
    </w:p>
    <w:p>
      <w:pPr>
        <w:spacing w:after="0" w:line="162" w:lineRule="exact"/>
        <w:rPr>
          <w:sz w:val="20"/>
          <w:szCs w:val="20"/>
          <w:color w:val="auto"/>
        </w:rPr>
      </w:pPr>
    </w:p>
    <w:p>
      <w:pPr>
        <w:jc w:val="both"/>
        <w:ind w:left="840" w:hanging="644"/>
        <w:spacing w:after="0" w:line="261" w:lineRule="auto"/>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1 September of each calendar year, the Margin shall increase or decrease subject to achievement by the Borrower of the two Key Performance Indicators (rounded up to two decimal places) as provided in the Sustainability Certificate for the prior calendar year (a </w:t>
      </w:r>
      <w:r>
        <w:rPr>
          <w:rFonts w:ascii="Times New Roman" w:cs="Times New Roman" w:eastAsia="Times New Roman" w:hAnsi="Times New Roman"/>
          <w:sz w:val="18"/>
          <w:szCs w:val="18"/>
          <w:b w:val="1"/>
          <w:bCs w:val="1"/>
          <w:color w:val="auto"/>
        </w:rPr>
        <w:t>Sustainability Margin Adjustment</w:t>
      </w:r>
      <w:r>
        <w:rPr>
          <w:rFonts w:ascii="Times New Roman" w:cs="Times New Roman" w:eastAsia="Times New Roman" w:hAnsi="Times New Roman"/>
          <w:sz w:val="18"/>
          <w:szCs w:val="18"/>
          <w:color w:val="auto"/>
        </w:rPr>
        <w:t>). The Sustainability Margin Adjustment for a calendar year shall be:</w:t>
      </w:r>
    </w:p>
    <w:p>
      <w:pPr>
        <w:spacing w:after="0" w:line="179"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0.05% per annum decrease of the Margin to 1.95% per annum if two Key Performance Indicators are met for the prior calendar year;</w:t>
      </w:r>
    </w:p>
    <w:p>
      <w:pPr>
        <w:spacing w:after="0" w:line="16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0.025% per annum decrease of the Margin to 1.975% per annum if one Key Performance Indicator is met for the prior calendar year;</w:t>
      </w:r>
    </w:p>
    <w:p>
      <w:pPr>
        <w:spacing w:after="0" w:line="16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0.05% per annum increase of the Margin to 2.05% per annum if no Key Performance Indicator is met for the prior calendar year.</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Margin Adjustment for any calendar year shall at no time exceed 0.05% as a decrease or 0.05% as an increase from the Margin.</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furnish a Sustainability Certificate for any calendar year in accordance with paragraph (a) of this clause 9.5, the Sustainability Margin Adjustment shall be an increase of the Margin by 0.05%. The Borrower may elect not to furnish a Sustainability Certificate and such election will not constitute a Default or an Event of Default.</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fails to furnish a Sustainability Certificate for two consecutive calendar years in accordance with paragraph (a) of this clause 9.5; or</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Borrower fail to agree to new Key Performance Indicator 1 goals in accordance with paragraph (k) below,</w:t>
      </w:r>
    </w:p>
    <w:p>
      <w:pPr>
        <w:spacing w:after="0" w:line="16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then the Agent may, and shall if so directed by any Lender, by notice to the Borrower declassify the Facility as a “sustainability-linked loan” and the applicable Margin will be 2.00% per annum with no further Sustainability Margin Adjustment or other increases or decreases.</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With effect on and from the date of such notice of declassification (the </w:t>
      </w:r>
      <w:r>
        <w:rPr>
          <w:rFonts w:ascii="Times New Roman" w:cs="Times New Roman" w:eastAsia="Times New Roman" w:hAnsi="Times New Roman"/>
          <w:sz w:val="18"/>
          <w:szCs w:val="18"/>
          <w:b w:val="1"/>
          <w:bCs w:val="1"/>
          <w:color w:val="auto"/>
        </w:rPr>
        <w:t>Declassification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00" w:hanging="656"/>
        <w:spacing w:after="0" w:line="282" w:lineRule="auto"/>
        <w:tabs>
          <w:tab w:leader="none" w:pos="15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9.5 and each related sustainability margin adjustment provision in this Agreement shall cease to apply;</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Sustainability Margin Adjustment will apply to the Loans; and</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will no longer be classified as a “sustainability-linked loan”.</w:t>
      </w:r>
    </w:p>
    <w:p>
      <w:pPr>
        <w:spacing w:after="0" w:line="22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Declassification Date, the Facility may not be re-classified as a “sustainability- linked loan: without the prior written consent of all the Lenders.</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delivers a Sustainability Certificate to the Agent and the Sustainability Co- ordinator, the Borrower shall provide the Agent and the Sustainability Co-ordinator with any additional clarification regarding such Sustainability Certificate as the Agent or the Sustainability Co-ordinator shall from time to time reasonably require.</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Sustainability Certificate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26" w:name="page227"/>
    <w:bookmarkEnd w:id="226"/>
    <w:p>
      <w:pPr>
        <w:ind w:left="1960" w:hanging="656"/>
        <w:spacing w:after="0" w:line="282" w:lineRule="auto"/>
        <w:tabs>
          <w:tab w:leader="none" w:pos="19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 calculation of the Key Performance Indicators and indicate whether each Key Performance Indicator has been met;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out (in reasonable detail) computations as to compliance with the Sustainability Performance Targets which will be verified by a third party verifier appointed by the Borrower;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calculation of the Key Performance Indicator 1, be based on data verified by a Recognized Organization (as defined in Schedule 11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chief executive officer or the chief financial officer of the Borrower or, in his or her absence, by two directors of the Borrower.</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becoming aware of it, give written notice to the Agent and the Sustainability Co-ordinator of any material error in a Sustainability Certificate (including reasonable details as to the nature and extent of the error).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undertakes to execute (or procure the execution of) any documentation supplemental to this Agreement and any other Finance Document as the Agent may in its discretion reasonably require for the purposes of adjusting this clause 9 and/or Schedule 11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 consequent to an agreement with the Agent in accordance with clause 9.5(a) and/or reflecting an amendment to the rate of Margin.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agree that, upon any further revision of the IMO Revised GHG Reduction Strategy in place at the date of this Agreement, they shall enter into good faith negotiations for a period of up to 45 Business Days, with a view to resetting the Key Performance Indicator 1 goals so that the Fleet (as defined in Schedule 11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 will always outperform the applicable targets of any such revised IMO Revised GHG Reduction Strategy.</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elsewhere or otherwise defined in this Agreement, expressions used in this clause 9.5 shall have the meaning given to them in Schedule 11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Interest Periods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229" w:lineRule="exact"/>
        <w:rPr>
          <w:sz w:val="20"/>
          <w:szCs w:val="20"/>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select an Interest Period for a Loan in the Utilisation Request for that Loan.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10, the Borrower may select an Interest Period of any period specified in the Reference Rate Terms or any other period agreed between the Borrower, the Agent and all the Lenders.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select an Interest Period for a Loan in accordance with paragraph (b) above, the relevant Interest Period will, subject to clause 10.2 (</w:t>
      </w:r>
      <w:r>
        <w:rPr>
          <w:rFonts w:ascii="Times New Roman" w:cs="Times New Roman" w:eastAsia="Times New Roman" w:hAnsi="Times New Roman"/>
          <w:sz w:val="18"/>
          <w:szCs w:val="18"/>
          <w:i w:val="1"/>
          <w:iCs w:val="1"/>
          <w:color w:val="auto"/>
        </w:rPr>
        <w:t>Interest Periods overrunning Reduction Dates</w:t>
      </w:r>
      <w:r>
        <w:rPr>
          <w:rFonts w:ascii="Times New Roman" w:cs="Times New Roman" w:eastAsia="Times New Roman" w:hAnsi="Times New Roman"/>
          <w:sz w:val="18"/>
          <w:szCs w:val="18"/>
          <w:color w:val="auto"/>
        </w:rPr>
        <w:t>), be the period specified in the Reference Rate Terms.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Final Reduction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for a Loan shall start on its Utilisation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has one Interest Period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7" w:name="page228"/>
    <w:bookmarkEnd w:id="22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Interest Periods overrunning Reduction Dates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Borrower may not select an Interest Period for a Loan which would overrun any later Reduction Date where the making of that Loan for such Interest Period would result in the total amount of outstanding Loans maturing after that date exceeding the Total Commitments as scheduled to be reduced on or by that date under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 If the Borrower seeks to select such an Interest Period, the relevant Loan shall nevertheless be advanced but the Interest Period for that Loan shall run from its Utilisation until the relevant Reduction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rules specified as “Business Day Conventions” in the Reference Rate Terms shall apply to each Interest Period for the Loans and each Unpaid Sum.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Commitment commission</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to the Agent (for the account of each Lender) a fee in dollars computed at a rate per annum equal to 35% of the applicable Margin on that Lender's Available Commitment calculated on a daily basis from the date of this Agreement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the accrued commitment commission on each 31 March, 30 June, 30 September and 31 December of each calendar year, on the Last Availability Date and, if cancelled in full, on the cancelled amount of the relevant Lender's Available Commitment at the time the cancellation is effective.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fee is payable to the Agent (for the account of a Lender) on any Available Commitment of that Lender for any day on which that Lender is a Defaulting Lender.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Arrangement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pay to the Arrangers an arrangement fee in the amount and at the times agreed in one or more Fee Letters.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b w:val="1"/>
          <w:bCs w:val="1"/>
          <w:color w:val="auto"/>
        </w:rPr>
        <w:t>Agency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pay to the Agent (for its own account) an agency fee in the amount and at the times agreed in a Fee Letter.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Other fees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Borrower shall pay any other fees (including those to be agreed at the relevant Extension Options contemplated in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 set out in a Fee Letter in the amount and at the times agreed in the applicable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6 - Additional Payment Obligations</w:t>
      </w:r>
    </w:p>
    <w:p>
      <w:pPr>
        <w:spacing w:after="0" w:line="225" w:lineRule="exact"/>
        <w:rPr>
          <w:sz w:val="20"/>
          <w:szCs w:val="20"/>
          <w:color w:val="auto"/>
        </w:rPr>
      </w:pPr>
    </w:p>
    <w:p>
      <w:pPr>
        <w:ind w:right="7000" w:firstLine="8"/>
        <w:spacing w:after="0" w:line="503" w:lineRule="auto"/>
        <w:tabs>
          <w:tab w:leader="none" w:pos="648"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gross-up and indemnities 12.1 Definitions</w:t>
      </w:r>
    </w:p>
    <w:p>
      <w:pPr>
        <w:ind w:left="1300" w:hanging="644"/>
        <w:spacing w:after="0"/>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221" w:lineRule="exact"/>
        <w:rPr>
          <w:rFonts w:ascii="Times New Roman" w:cs="Times New Roman" w:eastAsia="Times New Roman" w:hAnsi="Times New Roman"/>
          <w:sz w:val="18"/>
          <w:szCs w:val="18"/>
          <w:color w:val="auto"/>
        </w:rPr>
      </w:pPr>
    </w:p>
    <w:p>
      <w:pPr>
        <w:jc w:val="both"/>
        <w:ind w:left="130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Protected Party </w:t>
      </w:r>
      <w:r>
        <w:rPr>
          <w:rFonts w:ascii="Times New Roman" w:cs="Times New Roman" w:eastAsia="Times New Roman" w:hAnsi="Times New Roman"/>
          <w:sz w:val="18"/>
          <w:szCs w:val="18"/>
          <w:color w:val="auto"/>
        </w:rPr>
        <w:t>means a Finance Party or, in relation to clause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(Indemnity concerning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clause 14.7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insofar as it relates to interest on any amount demanded by that Indemnified Person under clause 14.4</w:t>
      </w:r>
      <w:r>
        <w:rPr>
          <w:rFonts w:ascii="Times New Roman" w:cs="Times New Roman" w:eastAsia="Times New Roman" w:hAnsi="Times New Roman"/>
          <w:sz w:val="18"/>
          <w:szCs w:val="18"/>
          <w:i w:val="1"/>
          <w:iCs w:val="1"/>
          <w:color w:val="auto"/>
        </w:rPr>
        <w:t xml:space="preserve"> (Indemnity concerning security)</w:t>
      </w:r>
      <w:r>
        <w:rPr>
          <w:rFonts w:ascii="Times New Roman" w:cs="Times New Roman" w:eastAsia="Times New Roman" w:hAnsi="Times New Roman"/>
          <w:sz w:val="18"/>
          <w:szCs w:val="18"/>
          <w:color w:val="auto"/>
        </w:rPr>
        <w:t>, any Indemnified Person, which is or will be subject to any liability, or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any payment, for or on account of Tax in relation to a sum received or receivable (or any sum deemed for the purposes of Tax to be received or receivable) under a Finance Document.</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Credit </w:t>
      </w:r>
      <w:r>
        <w:rPr>
          <w:rFonts w:ascii="Times New Roman" w:cs="Times New Roman" w:eastAsia="Times New Roman" w:hAnsi="Times New Roman"/>
          <w:sz w:val="18"/>
          <w:szCs w:val="18"/>
          <w:color w:val="auto"/>
        </w:rPr>
        <w:t>means a credit against, relief or remission for, or repayment of any Tax.</w:t>
      </w:r>
    </w:p>
    <w:p>
      <w:pPr>
        <w:spacing w:after="0" w:line="225"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Deduction </w:t>
      </w:r>
      <w:r>
        <w:rPr>
          <w:rFonts w:ascii="Times New Roman" w:cs="Times New Roman" w:eastAsia="Times New Roman" w:hAnsi="Times New Roman"/>
          <w:sz w:val="18"/>
          <w:szCs w:val="18"/>
          <w:color w:val="auto"/>
        </w:rPr>
        <w:t>means a deduction or withholding for or on account of Tax from a payment under a Finance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 Hedging Contract) other than a FATCA Deduction.</w:t>
      </w:r>
    </w:p>
    <w:p>
      <w:pPr>
        <w:spacing w:after="0" w:line="154"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Payment </w:t>
      </w:r>
      <w:r>
        <w:rPr>
          <w:rFonts w:ascii="Times New Roman" w:cs="Times New Roman" w:eastAsia="Times New Roman" w:hAnsi="Times New Roman"/>
          <w:sz w:val="18"/>
          <w:szCs w:val="18"/>
          <w:color w:val="auto"/>
        </w:rPr>
        <w:t>means either the increase in a payment made by an Obligor to a Finance Party under clause 12.2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gross-up) </w:t>
      </w:r>
      <w:r>
        <w:rPr>
          <w:rFonts w:ascii="Times New Roman" w:cs="Times New Roman" w:eastAsia="Times New Roman" w:hAnsi="Times New Roman"/>
          <w:sz w:val="18"/>
          <w:szCs w:val="18"/>
          <w:color w:val="auto"/>
        </w:rPr>
        <w:t>or a payment under clause 12.3</w:t>
      </w:r>
      <w:r>
        <w:rPr>
          <w:rFonts w:ascii="Times New Roman" w:cs="Times New Roman" w:eastAsia="Times New Roman" w:hAnsi="Times New Roman"/>
          <w:sz w:val="18"/>
          <w:szCs w:val="18"/>
          <w:i w:val="1"/>
          <w:iCs w:val="1"/>
          <w:color w:val="auto"/>
        </w:rPr>
        <w:t xml:space="preserve"> (Tax indemnity)</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contrary indication appears, in this clause 12 a reference to </w:t>
      </w:r>
      <w:r>
        <w:rPr>
          <w:rFonts w:ascii="Times New Roman" w:cs="Times New Roman" w:eastAsia="Times New Roman" w:hAnsi="Times New Roman"/>
          <w:sz w:val="18"/>
          <w:szCs w:val="18"/>
          <w:b w:val="1"/>
          <w:bCs w:val="1"/>
          <w:color w:val="auto"/>
        </w:rPr>
        <w:t>determines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xml:space="preserve"> means a determination made in the absolute discretion of the person making the determination acting in good faith.</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ind w:left="1300" w:hanging="644"/>
        <w:spacing w:after="0" w:line="282"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make all payments to be made by it under any Finance Document without any Tax Deduction, unless a Tax Deduction is required by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to (e) above shall not apply in respect of any payments under any Hedging Contract, where the gross-up provisions of the relevant Hedging Master Agreement itself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9" w:name="page230"/>
    <w:bookmarkEnd w:id="22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who is a Party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225" w:lineRule="exact"/>
        <w:rPr>
          <w:rFonts w:ascii="Times New Roman" w:cs="Times New Roman" w:eastAsia="Times New Roman" w:hAnsi="Times New Roman"/>
          <w:sz w:val="18"/>
          <w:szCs w:val="18"/>
          <w:color w:val="auto"/>
        </w:rPr>
      </w:pPr>
    </w:p>
    <w:p>
      <w:pPr>
        <w:ind w:left="2480" w:right="20" w:hanging="501"/>
        <w:spacing w:after="0" w:line="282" w:lineRule="auto"/>
        <w:tabs>
          <w:tab w:leader="none" w:pos="248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61" w:lineRule="exact"/>
        <w:rPr>
          <w:rFonts w:ascii="Times New Roman" w:cs="Times New Roman" w:eastAsia="Times New Roman" w:hAnsi="Times New Roman"/>
          <w:sz w:val="18"/>
          <w:szCs w:val="18"/>
          <w:color w:val="auto"/>
        </w:rPr>
      </w:pPr>
    </w:p>
    <w:p>
      <w:pPr>
        <w:ind w:left="2480" w:hanging="501"/>
        <w:spacing w:after="0" w:line="282" w:lineRule="auto"/>
        <w:tabs>
          <w:tab w:leader="none" w:pos="248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Party's Facility Office is located in respect of amounts received or receivable in that jurisdiction,</w:t>
      </w:r>
    </w:p>
    <w:p>
      <w:pPr>
        <w:spacing w:after="0" w:line="162" w:lineRule="exact"/>
        <w:rPr>
          <w:sz w:val="20"/>
          <w:szCs w:val="20"/>
          <w:color w:val="auto"/>
        </w:rPr>
      </w:pPr>
    </w:p>
    <w:p>
      <w:pPr>
        <w:ind w:left="198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 or</w:t>
      </w:r>
    </w:p>
    <w:p>
      <w:pPr>
        <w:spacing w:after="0" w:line="162" w:lineRule="exact"/>
        <w:rPr>
          <w:sz w:val="20"/>
          <w:szCs w:val="20"/>
          <w:color w:val="auto"/>
        </w:rPr>
      </w:pPr>
    </w:p>
    <w:p>
      <w:pPr>
        <w:ind w:left="1960" w:hanging="656"/>
        <w:spacing w:after="0"/>
        <w:tabs>
          <w:tab w:leader="none" w:pos="19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223" w:lineRule="exact"/>
        <w:rPr>
          <w:rFonts w:ascii="Times New Roman" w:cs="Times New Roman" w:eastAsia="Times New Roman" w:hAnsi="Times New Roman"/>
          <w:sz w:val="18"/>
          <w:szCs w:val="18"/>
          <w:color w:val="auto"/>
        </w:rPr>
      </w:pPr>
    </w:p>
    <w:p>
      <w:pPr>
        <w:ind w:left="2480" w:hanging="501"/>
        <w:spacing w:after="0" w:line="284" w:lineRule="auto"/>
        <w:tabs>
          <w:tab w:leader="none" w:pos="2480"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 gross- up</w:t>
      </w:r>
      <w:r>
        <w:rPr>
          <w:rFonts w:ascii="Times New Roman" w:cs="Times New Roman" w:eastAsia="Times New Roman" w:hAnsi="Times New Roman"/>
          <w:sz w:val="18"/>
          <w:szCs w:val="18"/>
          <w:color w:val="auto"/>
        </w:rPr>
        <w:t>), clause 12.6 (</w:t>
      </w:r>
      <w:r>
        <w:rPr>
          <w:rFonts w:ascii="Times New Roman" w:cs="Times New Roman" w:eastAsia="Times New Roman" w:hAnsi="Times New Roman"/>
          <w:sz w:val="18"/>
          <w:szCs w:val="18"/>
          <w:i w:val="1"/>
          <w:iCs w:val="1"/>
          <w:color w:val="auto"/>
        </w:rPr>
        <w:t>Stamp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or clause 12.7 (</w:t>
      </w:r>
      <w:r>
        <w:rPr>
          <w:rFonts w:ascii="Times New Roman" w:cs="Times New Roman" w:eastAsia="Times New Roman" w:hAnsi="Times New Roman"/>
          <w:sz w:val="18"/>
          <w:szCs w:val="18"/>
          <w:i w:val="1"/>
          <w:iCs w:val="1"/>
          <w:color w:val="auto"/>
        </w:rPr>
        <w:t>Value added tax</w:t>
      </w:r>
      <w:r>
        <w:rPr>
          <w:rFonts w:ascii="Times New Roman" w:cs="Times New Roman" w:eastAsia="Times New Roman" w:hAnsi="Times New Roman"/>
          <w:sz w:val="18"/>
          <w:szCs w:val="18"/>
          <w:color w:val="auto"/>
        </w:rPr>
        <w:t>); or</w:t>
      </w:r>
    </w:p>
    <w:p>
      <w:pPr>
        <w:spacing w:after="0" w:line="158" w:lineRule="exact"/>
        <w:rPr>
          <w:rFonts w:ascii="Times New Roman" w:cs="Times New Roman" w:eastAsia="Times New Roman" w:hAnsi="Times New Roman"/>
          <w:sz w:val="18"/>
          <w:szCs w:val="18"/>
          <w:color w:val="auto"/>
        </w:rPr>
      </w:pPr>
    </w:p>
    <w:p>
      <w:pPr>
        <w:ind w:left="2480" w:right="20" w:hanging="501"/>
        <w:spacing w:after="0" w:line="284" w:lineRule="auto"/>
        <w:tabs>
          <w:tab w:leader="none" w:pos="2480"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is compensated for by a payment under clause 12.5 (</w:t>
      </w:r>
      <w:r>
        <w:rPr>
          <w:rFonts w:ascii="Times New Roman" w:cs="Times New Roman" w:eastAsia="Times New Roman" w:hAnsi="Times New Roman"/>
          <w:sz w:val="18"/>
          <w:szCs w:val="18"/>
          <w:i w:val="1"/>
          <w:iCs w:val="1"/>
          <w:color w:val="auto"/>
        </w:rPr>
        <w:t>Indemnities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Tax basis</w:t>
      </w:r>
      <w:r>
        <w:rPr>
          <w:rFonts w:ascii="Times New Roman" w:cs="Times New Roman" w:eastAsia="Times New Roman" w:hAnsi="Times New Roman"/>
          <w:sz w:val="18"/>
          <w:szCs w:val="18"/>
          <w:color w:val="auto"/>
        </w:rPr>
        <w:t>); or</w:t>
      </w:r>
    </w:p>
    <w:p>
      <w:pPr>
        <w:spacing w:after="0" w:line="160" w:lineRule="exact"/>
        <w:rPr>
          <w:rFonts w:ascii="Times New Roman" w:cs="Times New Roman" w:eastAsia="Times New Roman" w:hAnsi="Times New Roman"/>
          <w:sz w:val="18"/>
          <w:szCs w:val="18"/>
          <w:color w:val="auto"/>
        </w:rPr>
      </w:pPr>
    </w:p>
    <w:p>
      <w:pPr>
        <w:ind w:left="2480" w:right="20" w:hanging="501"/>
        <w:spacing w:after="0" w:line="282" w:lineRule="auto"/>
        <w:tabs>
          <w:tab w:leader="none" w:pos="2480"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relates to a FATCA Deduction required to be made by a Party or any Obligor which is not a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an Obligor under this clause 12.3, notify the Agent.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Obligor makes a Tax Payment and the relevant Finance Party determines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(A) to an increased payment of which that Tax Payment forms part, (B) to that Tax Payment or (C) to a Tax Deduction in consequence of which that Tax Payment was required;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that Obligor which that Finance Party determines will leave it (after that payment) in the same after-Tax position as it would have been in had the Tax Payment not been required to be made by that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Indemnities on after Tax basis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sum payable to any Protected Party by the Borrower under any Finance Document by way of indemnity or reimbursement proves to be insufficient, by reason of any Tax suffered thereon, for that Protected Party to discharge the corresponding liability to a third party, or to reimburse that Protected Party for the cost incurred by 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0" w:name="page231"/>
    <w:bookmarkEnd w:id="230"/>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discharging the corresponding liability to a third party, the Borrower shall pay that Protected Party such additional sum as (after taking into account any Tax suffered by that Protected Party on such additional sum) shall be required to make up the relevant deficit.</w:t>
      </w:r>
    </w:p>
    <w:p>
      <w:pPr>
        <w:spacing w:after="0" w:line="172" w:lineRule="exact"/>
        <w:rPr>
          <w:sz w:val="20"/>
          <w:szCs w:val="20"/>
          <w:color w:val="auto"/>
        </w:rPr>
      </w:pPr>
    </w:p>
    <w:p>
      <w:pPr>
        <w:jc w:val="both"/>
        <w:ind w:left="1300" w:hanging="644"/>
        <w:spacing w:after="0" w:line="259" w:lineRule="auto"/>
        <w:tabs>
          <w:tab w:leader="none" w:pos="13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any sum (the </w:t>
      </w:r>
      <w:r>
        <w:rPr>
          <w:rFonts w:ascii="Times New Roman" w:cs="Times New Roman" w:eastAsia="Times New Roman" w:hAnsi="Times New Roman"/>
          <w:sz w:val="18"/>
          <w:szCs w:val="18"/>
          <w:b w:val="1"/>
          <w:bCs w:val="1"/>
          <w:color w:val="auto"/>
        </w:rPr>
        <w:t>Indemnity Sum</w:t>
      </w:r>
      <w:r>
        <w:rPr>
          <w:rFonts w:ascii="Times New Roman" w:cs="Times New Roman" w:eastAsia="Times New Roman" w:hAnsi="Times New Roman"/>
          <w:sz w:val="18"/>
          <w:szCs w:val="18"/>
          <w:color w:val="auto"/>
        </w:rPr>
        <w:t xml:space="preserve">) constituting (directly or indirectly) an indemnity to any Protected Party but paid by the Borrower to any person other than that Protected Party, shall be treated as taxable in the hands of the Protected Party, the Borrower shall pay to that Protected Party such sum (the </w:t>
      </w:r>
      <w:r>
        <w:rPr>
          <w:rFonts w:ascii="Times New Roman" w:cs="Times New Roman" w:eastAsia="Times New Roman" w:hAnsi="Times New Roman"/>
          <w:sz w:val="18"/>
          <w:szCs w:val="18"/>
          <w:b w:val="1"/>
          <w:bCs w:val="1"/>
          <w:color w:val="auto"/>
        </w:rPr>
        <w:t>Compensating Sum</w:t>
      </w:r>
      <w:r>
        <w:rPr>
          <w:rFonts w:ascii="Times New Roman" w:cs="Times New Roman" w:eastAsia="Times New Roman" w:hAnsi="Times New Roman"/>
          <w:sz w:val="18"/>
          <w:szCs w:val="18"/>
          <w:color w:val="auto"/>
        </w:rPr>
        <w:t>) as (after taking into account any Tax suffered by that Protected Party on the Compensating Sum) shall reimburse that Protected Party for any Tax suffered by it in respect of the Indemnity Sum.</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paragraphs (a) and (b) above, a sum shall be deemed to be taxable in the hands of a Protected Party if it falls to be taken into account in computing the profits or gains of that Protected Party for the purposes of Tax and, if so, that Protected Party shall be deemed to have suffered Tax on the relevant sum at the rate of Tax applicable to that Protected Party's profits or gains for the period in which the payment of the relevant sum falls to be taken into account for the purposes of such Tax.</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b w:val="1"/>
          <w:bCs w:val="1"/>
          <w:color w:val="auto"/>
        </w:rPr>
        <w:t>Stamp taxes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Value added tax</w:t>
      </w:r>
    </w:p>
    <w:p>
      <w:pPr>
        <w:spacing w:after="0" w:line="229" w:lineRule="exact"/>
        <w:rPr>
          <w:sz w:val="20"/>
          <w:szCs w:val="20"/>
          <w:color w:val="auto"/>
        </w:rPr>
      </w:pPr>
    </w:p>
    <w:p>
      <w:pPr>
        <w:jc w:val="both"/>
        <w:ind w:left="1300" w:hanging="644"/>
        <w:spacing w:after="0" w:line="273" w:lineRule="auto"/>
        <w:tabs>
          <w:tab w:leader="none" w:pos="1300"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12.7(b)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67" w:lineRule="exact"/>
        <w:rPr>
          <w:rFonts w:ascii="Times New Roman" w:cs="Times New Roman" w:eastAsia="Times New Roman" w:hAnsi="Times New Roman"/>
          <w:sz w:val="17"/>
          <w:szCs w:val="17"/>
          <w:color w:val="auto"/>
        </w:rPr>
      </w:pPr>
    </w:p>
    <w:p>
      <w:pPr>
        <w:jc w:val="both"/>
        <w:ind w:left="1300" w:hanging="644"/>
        <w:spacing w:after="0" w:line="262"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xml:space="preserve">)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xml:space="preserve">) under a Finance Document, and any party to a Finance Document other than the Recipient (the </w:t>
      </w:r>
      <w:r>
        <w:rPr>
          <w:rFonts w:ascii="Times New Roman" w:cs="Times New Roman" w:eastAsia="Times New Roman" w:hAnsi="Times New Roman"/>
          <w:sz w:val="18"/>
          <w:szCs w:val="18"/>
          <w:b w:val="1"/>
          <w:b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required by the terms of any Finance Document to pay an amount equal to the consideration for such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Supplier (rather than being required to reimburse or indemnify the Recipient in respect of that consideration):</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(i) applies) promptly pay to the Subject Party an amount equal to any credit or repayment the Recipient receives from the relevant tax authority which the Recipient reasonably determines relates to the VAT chargeable on that supply; and</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it to reimburse or indemnify a Finance Party for any cost or expense, that party shall reimburse or indemnify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31" w:name="page232"/>
    <w:bookmarkEnd w:id="231"/>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clause 12.7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Business Days of a reasonable request by another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225" w:lineRule="exact"/>
        <w:rPr>
          <w:rFonts w:ascii="Times New Roman" w:cs="Times New Roman" w:eastAsia="Times New Roman" w:hAnsi="Times New Roman"/>
          <w:sz w:val="18"/>
          <w:szCs w:val="18"/>
          <w:color w:val="auto"/>
        </w:rPr>
      </w:pPr>
    </w:p>
    <w:p>
      <w:pPr>
        <w:ind w:left="2480" w:hanging="501"/>
        <w:spacing w:after="0"/>
        <w:tabs>
          <w:tab w:leader="none" w:pos="248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225" w:lineRule="exact"/>
        <w:rPr>
          <w:rFonts w:ascii="Times New Roman" w:cs="Times New Roman" w:eastAsia="Times New Roman" w:hAnsi="Times New Roman"/>
          <w:sz w:val="18"/>
          <w:szCs w:val="18"/>
          <w:color w:val="auto"/>
        </w:rPr>
      </w:pPr>
    </w:p>
    <w:p>
      <w:pPr>
        <w:ind w:left="2480" w:hanging="501"/>
        <w:spacing w:after="0"/>
        <w:tabs>
          <w:tab w:leader="none" w:pos="248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225" w:lineRule="exact"/>
        <w:rPr>
          <w:rFonts w:ascii="Times New Roman" w:cs="Times New Roman" w:eastAsia="Times New Roman" w:hAnsi="Times New Roman"/>
          <w:sz w:val="18"/>
          <w:szCs w:val="18"/>
          <w:color w:val="auto"/>
        </w:rPr>
      </w:pPr>
    </w:p>
    <w:p>
      <w:pPr>
        <w:ind w:left="1960" w:hanging="656"/>
        <w:spacing w:after="0" w:line="312" w:lineRule="auto"/>
        <w:tabs>
          <w:tab w:leader="none" w:pos="1960"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to that other Party such forms, documentation and other information relating to its status under FATCA as that other Party reasonably requests for the purposes of that other Party's compliance with FATCA; and</w:t>
      </w:r>
    </w:p>
    <w:p>
      <w:pPr>
        <w:spacing w:after="0" w:line="139" w:lineRule="exact"/>
        <w:rPr>
          <w:rFonts w:ascii="Times New Roman" w:cs="Times New Roman" w:eastAsia="Times New Roman" w:hAnsi="Times New Roman"/>
          <w:sz w:val="17"/>
          <w:szCs w:val="17"/>
          <w:color w:val="auto"/>
        </w:rPr>
      </w:pPr>
    </w:p>
    <w:p>
      <w:pPr>
        <w:jc w:val="both"/>
        <w:ind w:left="1960" w:right="20" w:hanging="656"/>
        <w:spacing w:after="0" w:line="266" w:lineRule="auto"/>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paragraphs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229" w:lineRule="exact"/>
        <w:rPr>
          <w:sz w:val="20"/>
          <w:szCs w:val="20"/>
          <w:color w:val="auto"/>
        </w:rPr>
      </w:pPr>
    </w:p>
    <w:p>
      <w:pPr>
        <w:ind w:left="1300" w:hanging="644"/>
        <w:spacing w:after="0" w:line="282"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32" w:name="page233"/>
    <w:bookmarkEnd w:id="232"/>
    <w:p>
      <w:pPr>
        <w:ind w:left="1300"/>
        <w:spacing w:after="0" w:line="282" w:lineRule="auto"/>
        <w:rPr>
          <w:sz w:val="20"/>
          <w:szCs w:val="20"/>
          <w:color w:val="auto"/>
        </w:rPr>
      </w:pPr>
      <w:r>
        <w:rPr>
          <w:rFonts w:ascii="Times New Roman" w:cs="Times New Roman" w:eastAsia="Times New Roman" w:hAnsi="Times New Roman"/>
          <w:sz w:val="18"/>
          <w:szCs w:val="18"/>
          <w:color w:val="auto"/>
        </w:rPr>
        <w:t>to increase any payment in respect of which it makes such a FATCA Deduction or otherwise compensate the recipient of the payment for that FATCA Deduction.</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72" w:lineRule="exact"/>
        <w:rPr>
          <w:sz w:val="20"/>
          <w:szCs w:val="20"/>
          <w:color w:val="auto"/>
        </w:rPr>
      </w:pPr>
    </w:p>
    <w:p>
      <w:pPr>
        <w:jc w:val="both"/>
        <w:ind w:right="8060" w:firstLine="8"/>
        <w:spacing w:after="0" w:line="531" w:lineRule="auto"/>
        <w:tabs>
          <w:tab w:leader="none" w:pos="648" w:val="left"/>
        </w:tabs>
        <w:numPr>
          <w:ilvl w:val="0"/>
          <w:numId w:val="2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Increased Costs 13.1 Increased costs</w:t>
      </w:r>
    </w:p>
    <w:p>
      <w:pPr>
        <w:jc w:val="both"/>
        <w:ind w:left="1300" w:hanging="644"/>
        <w:spacing w:after="0" w:line="267" w:lineRule="auto"/>
        <w:tabs>
          <w:tab w:leader="none" w:pos="13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13.3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five Business Days of a demand by the Agent, pay for the account of a Finance Party the amount of any Increased Cost incurred by that Finance Party or any of its Affiliates which:</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as a result of (A) the introduction of or any change in (or in the interpretation, administration or application of) any law or regulation or (B) compliance with any law or regulation in either case made after the date of this Agreement; and/or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Basel III Increased Cost and is generally ascribed to borrowers as a matter of market practice.</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Agreement </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xml:space="preserve"> means:</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on a Finance Party's (or its Affiliate's) overall capital;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227" w:lineRule="exact"/>
        <w:rPr>
          <w:sz w:val="20"/>
          <w:szCs w:val="20"/>
          <w:color w:val="auto"/>
        </w:rPr>
      </w:pPr>
    </w:p>
    <w:p>
      <w:pPr>
        <w:ind w:left="1300" w:right="20" w:hanging="644"/>
        <w:spacing w:after="0" w:line="284"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Finance Party intending to make a claim pursuant to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shall notify the Agent of the event giving rise to the claim, following which the Agent shall promptly notify the Borrower.</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and basis of calculation of its Increased Costs.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1300" w:hanging="644"/>
        <w:spacing w:after="0"/>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does not apply to any Increased Cost which is:</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 or</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compensated for by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xml:space="preserve"> (or would have been compensated for under clause 12.3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indemnity) </w:t>
      </w:r>
      <w:r>
        <w:rPr>
          <w:rFonts w:ascii="Times New Roman" w:cs="Times New Roman" w:eastAsia="Times New Roman" w:hAnsi="Times New Roman"/>
          <w:sz w:val="18"/>
          <w:szCs w:val="18"/>
          <w:color w:val="auto"/>
        </w:rPr>
        <w:t>but was not so compensated solely because any of the exclusions in paragraph (b) of clause 12.3</w:t>
      </w:r>
      <w:r>
        <w:rPr>
          <w:rFonts w:ascii="Times New Roman" w:cs="Times New Roman" w:eastAsia="Times New Roman" w:hAnsi="Times New Roman"/>
          <w:sz w:val="18"/>
          <w:szCs w:val="18"/>
          <w:i w:val="1"/>
          <w:iCs w:val="1"/>
          <w:color w:val="auto"/>
        </w:rPr>
        <w:t xml:space="preserve"> (Tax indemnity) </w:t>
      </w:r>
      <w:r>
        <w:rPr>
          <w:rFonts w:ascii="Times New Roman" w:cs="Times New Roman" w:eastAsia="Times New Roman" w:hAnsi="Times New Roman"/>
          <w:sz w:val="18"/>
          <w:szCs w:val="18"/>
          <w:color w:val="auto"/>
        </w:rPr>
        <w:t>applied);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33" w:name="page234"/>
    <w:bookmarkEnd w:id="233"/>
    <w:p>
      <w:pPr>
        <w:ind w:left="1300" w:right="20" w:hanging="644"/>
        <w:spacing w:after="0" w:line="282" w:lineRule="auto"/>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paragraph (a) above, a reference to a Tax Deduction has the same meaning given to the term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7700" w:firstLine="8"/>
        <w:spacing w:after="0" w:line="500" w:lineRule="auto"/>
        <w:tabs>
          <w:tab w:leader="none" w:pos="648"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 14.1 Currency indemnity</w:t>
      </w:r>
    </w:p>
    <w:p>
      <w:pPr>
        <w:spacing w:after="0" w:line="1" w:lineRule="exact"/>
        <w:rPr>
          <w:rFonts w:ascii="Times New Roman" w:cs="Times New Roman" w:eastAsia="Times New Roman" w:hAnsi="Times New Roman"/>
          <w:sz w:val="18"/>
          <w:szCs w:val="18"/>
          <w:b w:val="1"/>
          <w:bCs w:val="1"/>
          <w:color w:val="auto"/>
        </w:rPr>
      </w:pPr>
    </w:p>
    <w:p>
      <w:pPr>
        <w:jc w:val="both"/>
        <w:ind w:left="1300" w:hanging="644"/>
        <w:spacing w:after="0" w:line="268" w:lineRule="auto"/>
        <w:tabs>
          <w:tab w:leader="none" w:pos="13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xml:space="preserve">),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xml:space="preserve">) in which that Sum is payable into another currency (the </w:t>
      </w:r>
      <w:r>
        <w:rPr>
          <w:rFonts w:ascii="Times New Roman" w:cs="Times New Roman" w:eastAsia="Times New Roman" w:hAnsi="Times New Roman"/>
          <w:sz w:val="18"/>
          <w:szCs w:val="18"/>
          <w:b w:val="1"/>
          <w:bCs w:val="1"/>
          <w:color w:val="auto"/>
        </w:rPr>
        <w:t>Second 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 and/or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 Finance Party in case an Obligor is non-compliant with Sanctions or subject to secondary sanctions,</w:t>
      </w:r>
    </w:p>
    <w:p>
      <w:pPr>
        <w:spacing w:after="0" w:line="16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that Obligor shall, as an independent obligation, within five (5)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3" w:lineRule="exact"/>
        <w:rPr>
          <w:sz w:val="20"/>
          <w:szCs w:val="20"/>
          <w:color w:val="auto"/>
        </w:rPr>
      </w:pPr>
    </w:p>
    <w:p>
      <w:pPr>
        <w:ind w:left="1300" w:hanging="644"/>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60" w:hanging="11"/>
        <w:spacing w:after="0" w:line="282" w:lineRule="auto"/>
        <w:rPr>
          <w:sz w:val="20"/>
          <w:szCs w:val="20"/>
          <w:color w:val="auto"/>
        </w:rPr>
      </w:pPr>
      <w:r>
        <w:rPr>
          <w:rFonts w:ascii="Times New Roman" w:cs="Times New Roman" w:eastAsia="Times New Roman" w:hAnsi="Times New Roman"/>
          <w:sz w:val="18"/>
          <w:szCs w:val="18"/>
          <w:color w:val="auto"/>
        </w:rPr>
        <w:t>The Borrower shall (or shall procure that another Obligor will), within five Business Days of demand by a Finance Party, indemnify each Finance Party against any and all Losses incurred by that Finance Party as a result of:</w:t>
      </w:r>
    </w:p>
    <w:p>
      <w:pPr>
        <w:spacing w:after="0" w:line="162" w:lineRule="exact"/>
        <w:rPr>
          <w:sz w:val="20"/>
          <w:szCs w:val="20"/>
          <w:color w:val="auto"/>
        </w:rPr>
      </w:pPr>
    </w:p>
    <w:p>
      <w:pPr>
        <w:ind w:left="1300" w:hanging="644"/>
        <w:spacing w:after="0"/>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an Obligor to pay any amount due under a Finance Document on its due date, including without limitation, any and all Losses arising as a result of clause 39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Utilisation requested by the Borrower in a Utilisation Request but not made by reason of the operation of any one or more of the provisions of this Agreement (other than by reason of default or negligence by that Finance Party alone);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Indemnity to the Agent, the Security Agent and the Sustainability Co-ordinator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promptly indemnify the Agent, the Security Agent and the Sustainability Co- ordinator against:</w:t>
      </w:r>
    </w:p>
    <w:p>
      <w:pPr>
        <w:spacing w:after="0" w:line="225" w:lineRule="exact"/>
        <w:rPr>
          <w:sz w:val="20"/>
          <w:szCs w:val="20"/>
          <w:color w:val="auto"/>
        </w:rPr>
      </w:pPr>
    </w:p>
    <w:p>
      <w:pPr>
        <w:ind w:left="1300" w:right="20" w:hanging="644"/>
        <w:spacing w:after="0" w:line="282" w:lineRule="auto"/>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Losses (together with any applicable VAT) incurred by the Agent, the Security Agent or the Sustainability Co-ordinator (acting reasonably) as a result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34" w:name="page235"/>
    <w:bookmarkEnd w:id="234"/>
    <w:p>
      <w:pPr>
        <w:ind w:left="1960" w:right="20" w:hanging="656"/>
        <w:spacing w:after="0" w:line="282" w:lineRule="auto"/>
        <w:tabs>
          <w:tab w:leader="none" w:pos="19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instruction or communication which it reasonably believes to be genuine, correct and appropriately authorised;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insurance consultants, ship managers, valuers, surveyors or other professional advisers or experts as permitted under the Finance Documents;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Agent, the Security Agent or the Sustainability Co-ordinator or any of its or their respective representatives, agents or contractors in connection with any powers conferred by any Security Document to remedy any breach of any Obligor's obligations under the Finance Documents,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Losses (including, without limitation, in respect of liability for negligence or any other category of liability whatsoever) incurred by the Agent, the Security Agent or the Sustainability Co-ordinator (otherwise than by reason of the Agent's, the Security Agent's or the Sustainability Co-ordinator’s gross negligence or wilful misconduct) (or, in the case of any cost, loss or liability pursuant to clause 40.12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xml:space="preserve"> notwithstanding the Agent's or the Security Agent's or the Sustainability Co-ordinator’s negligence, gross negligence or any other category of liability whatsoever but not including any claim based on the fraud of the Agent) in acting as Agent or the Security Agent or the Sustainability Co-ordinator under the Finance Documents.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Indemnity concerning security</w:t>
      </w:r>
    </w:p>
    <w:p>
      <w:pPr>
        <w:spacing w:after="0" w:line="229" w:lineRule="exact"/>
        <w:rPr>
          <w:sz w:val="20"/>
          <w:szCs w:val="20"/>
          <w:color w:val="auto"/>
        </w:rPr>
      </w:pPr>
    </w:p>
    <w:p>
      <w:pPr>
        <w:ind w:left="1300" w:right="20" w:hanging="644"/>
        <w:spacing w:after="0" w:line="282" w:lineRule="auto"/>
        <w:tabs>
          <w:tab w:leader="none" w:pos="13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procure that another Obligor will) promptly indemnify each Indemnified Person against any and all Losses (together with any applicable VAT) incurred by it as a result of:</w:t>
      </w:r>
    </w:p>
    <w:p>
      <w:pPr>
        <w:spacing w:after="0" w:line="159"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Borrower to comply with its obligations under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xml:space="preserve"> or any similar provision in any other Finance Document;</w:t>
      </w:r>
    </w:p>
    <w:p>
      <w:pPr>
        <w:spacing w:after="0" w:line="160"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holding, protection or enforcement of the Transaction Security;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purported exercise of any of the rights, powers, discretions, authorities and remedies vested in the Security Agent and/or any other Finance Party in whose favour any Security Document has been granted and each Receiver and each Delegate by the Finance Documents or by law (otherwise, in each case, than by reason of the relevant Security Agent's and/or other Finance Party’s, Receiver's or Delegate's gross negligence or wilful misconduct);</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by any Obligor in the performance of any of the obligations expressed to be assumed by it in the Finance Documents;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misconduct of that Indemnified Person);</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insurance consultants, ship managers, valuers, surveyors or other professional advisers or experts as permitted under the Finance Documents;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and/or any other Finance Party in whose favour any Security Document has been granted, any Receiver and any Delegate) acting as Security Agent and/or as holder of any of the Transaction Security, Receiver or Delegate under the Finance Documents or which otherwise relates to the Charged Property (otherwise, in each case, than by reason of the relevant Security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35" w:name="page236"/>
    <w:bookmarkEnd w:id="235"/>
    <w:p>
      <w:pPr>
        <w:ind w:left="1960"/>
        <w:spacing w:after="0"/>
        <w:rPr>
          <w:sz w:val="20"/>
          <w:szCs w:val="20"/>
          <w:color w:val="auto"/>
        </w:rPr>
      </w:pPr>
      <w:r>
        <w:rPr>
          <w:rFonts w:ascii="Times New Roman" w:cs="Times New Roman" w:eastAsia="Times New Roman" w:hAnsi="Times New Roman"/>
          <w:sz w:val="18"/>
          <w:szCs w:val="18"/>
          <w:color w:val="auto"/>
        </w:rPr>
        <w:t>and/or other Finance Party’s, Receiver's or Delegate's gross negligence or wilful misconduct).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may, in priority to any payment to the other Finance Parties, indemnify itself out of the Charged Property in respect of, and pay and retain, all sums necessary to give effect to the indemnity in this clause 14.4 and shall have a lien on the Transaction Security and the proceeds of the enforcement of the Transaction Security for all moneys payable to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Continuation of indemnities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indemnities by the Borrower in favour of any Indemnified Persons contained in this Agreement shall continue in full force and effect notwithstanding any breach by any Finance Party or any of the Borrower of the terms of this Agreement, the repayment or prepayment of the Loans, the cancellation of the Total Commitments or the repudiation by any Finance Party or the Borrower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b w:val="1"/>
          <w:bCs w:val="1"/>
          <w:color w:val="auto"/>
        </w:rPr>
        <w:t>Third Parties Act</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Person may rely on the terms of clause 14.4 </w:t>
      </w:r>
      <w:r>
        <w:rPr>
          <w:rFonts w:ascii="Times New Roman" w:cs="Times New Roman" w:eastAsia="Times New Roman" w:hAnsi="Times New Roman"/>
          <w:sz w:val="18"/>
          <w:szCs w:val="18"/>
          <w:i w:val="1"/>
          <w:iCs w:val="1"/>
          <w:color w:val="auto"/>
        </w:rPr>
        <w:t>(Indemnity concerning security)</w:t>
      </w:r>
      <w:r>
        <w:rPr>
          <w:rFonts w:ascii="Times New Roman" w:cs="Times New Roman" w:eastAsia="Times New Roman" w:hAnsi="Times New Roman"/>
          <w:sz w:val="18"/>
          <w:szCs w:val="18"/>
          <w:color w:val="auto"/>
        </w:rPr>
        <w:t xml:space="preserve"> and clauses 12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gross-up and indemnities) </w:t>
      </w:r>
      <w:r>
        <w:rPr>
          <w:rFonts w:ascii="Times New Roman" w:cs="Times New Roman" w:eastAsia="Times New Roman" w:hAnsi="Times New Roman"/>
          <w:sz w:val="18"/>
          <w:szCs w:val="18"/>
          <w:color w:val="auto"/>
        </w:rPr>
        <w:t>and 14.7</w:t>
      </w:r>
      <w:r>
        <w:rPr>
          <w:rFonts w:ascii="Times New Roman" w:cs="Times New Roman" w:eastAsia="Times New Roman" w:hAnsi="Times New Roman"/>
          <w:sz w:val="18"/>
          <w:szCs w:val="18"/>
          <w:i w:val="1"/>
          <w:iCs w:val="1"/>
          <w:color w:val="auto"/>
        </w:rPr>
        <w:t xml:space="preserve"> (Interest) </w:t>
      </w:r>
      <w:r>
        <w:rPr>
          <w:rFonts w:ascii="Times New Roman" w:cs="Times New Roman" w:eastAsia="Times New Roman" w:hAnsi="Times New Roman"/>
          <w:sz w:val="18"/>
          <w:szCs w:val="18"/>
          <w:color w:val="auto"/>
        </w:rPr>
        <w:t>insofar as it relates to interest on, or the calculation of, any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demanded by that Indemnified Person under clause 14.4 </w:t>
      </w:r>
      <w:r>
        <w:rPr>
          <w:rFonts w:ascii="Times New Roman" w:cs="Times New Roman" w:eastAsia="Times New Roman" w:hAnsi="Times New Roman"/>
          <w:sz w:val="18"/>
          <w:szCs w:val="18"/>
          <w:i w:val="1"/>
          <w:iCs w:val="1"/>
          <w:color w:val="auto"/>
        </w:rPr>
        <w:t>(Indemnity concerning security)</w:t>
      </w:r>
      <w:r>
        <w:rPr>
          <w:rFonts w:ascii="Times New Roman" w:cs="Times New Roman" w:eastAsia="Times New Roman" w:hAnsi="Times New Roman"/>
          <w:sz w:val="18"/>
          <w:szCs w:val="18"/>
          <w:color w:val="auto"/>
        </w:rPr>
        <w:t xml:space="preserve">, subject to clause 1.4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rights) </w:t>
      </w:r>
      <w:r>
        <w:rPr>
          <w:rFonts w:ascii="Times New Roman" w:cs="Times New Roman" w:eastAsia="Times New Roman" w:hAnsi="Times New Roman"/>
          <w:sz w:val="18"/>
          <w:szCs w:val="18"/>
          <w:color w:val="auto"/>
        </w:rPr>
        <w:t>and the provisions of the Third Parties Act.</w:t>
      </w:r>
    </w:p>
    <w:p>
      <w:pPr>
        <w:spacing w:after="0" w:line="1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an Indemnified Person (other than a Finance Party) (the </w:t>
      </w:r>
      <w:r>
        <w:rPr>
          <w:rFonts w:ascii="Times New Roman" w:cs="Times New Roman" w:eastAsia="Times New Roman" w:hAnsi="Times New Roman"/>
          <w:sz w:val="18"/>
          <w:szCs w:val="18"/>
          <w:b w:val="1"/>
          <w:bCs w:val="1"/>
          <w:color w:val="auto"/>
        </w:rPr>
        <w:t>Relevant Beneficiary</w:t>
      </w:r>
      <w:r>
        <w:rPr>
          <w:rFonts w:ascii="Times New Roman" w:cs="Times New Roman" w:eastAsia="Times New Roman" w:hAnsi="Times New Roman"/>
          <w:sz w:val="18"/>
          <w:szCs w:val="18"/>
          <w:color w:val="auto"/>
        </w:rPr>
        <w:t>) who is:</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 Finance Party under the Finance Documents;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any such person or that Finance Party;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director, employee, adviser, representative or agent of any of the above persons or that Finance Party,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is entitled to receive any amount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under any of the provisions referred to in paragraph (a) above:</w:t>
      </w:r>
    </w:p>
    <w:p>
      <w:pPr>
        <w:spacing w:after="0" w:line="229" w:lineRule="exact"/>
        <w:rPr>
          <w:sz w:val="20"/>
          <w:szCs w:val="20"/>
          <w:color w:val="auto"/>
        </w:rPr>
      </w:pPr>
    </w:p>
    <w:p>
      <w:pPr>
        <w:ind w:left="2480" w:hanging="501"/>
        <w:spacing w:after="0" w:line="282" w:lineRule="auto"/>
        <w:tabs>
          <w:tab w:leader="none" w:pos="24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the same time as the relevant Third Party Claim is due to the Relevant Beneficiary pay to that Finance Party a sum in the amount of that Third Party Claim;</w:t>
      </w:r>
    </w:p>
    <w:p>
      <w:pPr>
        <w:spacing w:after="0" w:line="161" w:lineRule="exact"/>
        <w:rPr>
          <w:rFonts w:ascii="Times New Roman" w:cs="Times New Roman" w:eastAsia="Times New Roman" w:hAnsi="Times New Roman"/>
          <w:sz w:val="18"/>
          <w:szCs w:val="18"/>
          <w:color w:val="auto"/>
        </w:rPr>
      </w:pPr>
    </w:p>
    <w:p>
      <w:pPr>
        <w:jc w:val="both"/>
        <w:ind w:left="2480" w:hanging="501"/>
        <w:spacing w:after="0" w:line="266" w:lineRule="auto"/>
        <w:tabs>
          <w:tab w:leader="none" w:pos="24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such sum to that Finance Party shall, to the extent of that payment, satisfy the corresponding obligations of the Borrower to pay the Third Party Claim to the Relevant Beneficiary; and</w:t>
      </w:r>
    </w:p>
    <w:p>
      <w:pPr>
        <w:spacing w:after="0" w:line="175" w:lineRule="exact"/>
        <w:rPr>
          <w:rFonts w:ascii="Times New Roman" w:cs="Times New Roman" w:eastAsia="Times New Roman" w:hAnsi="Times New Roman"/>
          <w:sz w:val="18"/>
          <w:szCs w:val="18"/>
          <w:color w:val="auto"/>
        </w:rPr>
      </w:pPr>
    </w:p>
    <w:p>
      <w:pPr>
        <w:jc w:val="both"/>
        <w:ind w:left="2480" w:hanging="501"/>
        <w:spacing w:after="0" w:line="266" w:lineRule="auto"/>
        <w:tabs>
          <w:tab w:leader="none" w:pos="24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pays the Third Party Claim direct to the Relevant Beneficiary, such payment shall, to the extent of that payment, satisfy the corresponding obligations of the Borrower to that Finance Party under sub-paragraph (A) above.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8"/>
          <w:szCs w:val="18"/>
          <w:b w:val="1"/>
          <w:bCs w:val="1"/>
          <w:color w:val="auto"/>
        </w:rPr>
        <w:t>Interest</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Moneys becoming due by the Borrower to any Indemnified Person under the indemnities contained in this clause 14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indemnities) </w:t>
      </w:r>
      <w:r>
        <w:rPr>
          <w:rFonts w:ascii="Times New Roman" w:cs="Times New Roman" w:eastAsia="Times New Roman" w:hAnsi="Times New Roman"/>
          <w:sz w:val="18"/>
          <w:szCs w:val="18"/>
          <w:color w:val="auto"/>
        </w:rPr>
        <w:t>or elsewhere in this Agreement shall be paid on demand made by such Indemnified Person and shall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together with interest on the sum demanded from the date of demand therefor to the date of reimbursement by the Borrower to such Indemnified Person (both before and after judgment) at the rate referred to in clause 9.3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36" w:name="page237"/>
    <w:bookmarkEnd w:id="23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misconduct. Any Indemnified Person may rely on this clause 14.8 subject to clause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xml:space="preserve"> and the provisions of the Third Parties Act.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7"/>
          <w:szCs w:val="17"/>
          <w:b w:val="1"/>
          <w:bCs w:val="1"/>
          <w:color w:val="auto"/>
        </w:rPr>
        <w:t>Email indemnity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Borrower shall indemnify each Finance Party against any and all Losses together with any VAT thereon which any of the Finance Parties may sustain or incur as a consequence of any email communication purporting to originate from the Borrower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14.10</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76"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14.11</w:t>
        <w:tab/>
        <w:t>Swiss National Bank or the Swiss Financial Market Supervisory Authority or European Central Bank reserve requirements indemnity</w:t>
      </w:r>
    </w:p>
    <w:p>
      <w:pPr>
        <w:spacing w:after="0" w:line="15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Borrower shall on demand promptly indemnify each Lender against any cost incurred or loss suffered by such Lender as a result of its complying with the minimum reserve requirements of the Swiss National Bank or the Swiss Financial Market Supervisory Authority (“FINMA”) and/or the European Central Bank and/or with respect to maintaining required reserves with the Swiss National Bank and/or FINMA and/or the relevant national Central Bank to the extent that such compliance relates to such Lender’s Commitment and/or participation in a Loan or deposits obtained by it to fund the whole or part of its participation in a Loan and to the extent such cost or loss is not recoverable by such Lender under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7260" w:firstLine="8"/>
        <w:spacing w:after="0" w:line="503" w:lineRule="auto"/>
        <w:tabs>
          <w:tab w:leader="none" w:pos="648"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Lenders 15.1 Mitigation</w:t>
      </w:r>
    </w:p>
    <w:p>
      <w:pPr>
        <w:jc w:val="both"/>
        <w:ind w:left="1300" w:hanging="644"/>
        <w:spacing w:after="0" w:line="258" w:lineRule="auto"/>
        <w:tabs>
          <w:tab w:leader="none" w:pos="13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xml:space="preserve">, clause 12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xml:space="preserve">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xml:space="preserve"> including (but not limited to) assigning its rights under the Finance Documents to another Affiliate or Facility Office.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300" w:right="20" w:hanging="644"/>
        <w:spacing w:after="0" w:line="282"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promptly indemnify each Finance Party for all costs and expenses incurred by that Finance Party as a result of steps taken by it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Finance Party is not obliged to take any steps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xml:space="preserve"> if, in the opinion of that Finance Party (acting reasonably), to do so might be prejudicial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7" w:name="page238"/>
    <w:bookmarkEnd w:id="237"/>
    <w:p>
      <w:pPr>
        <w:ind w:right="7640" w:firstLine="8"/>
        <w:spacing w:after="0" w:line="503" w:lineRule="auto"/>
        <w:tabs>
          <w:tab w:leader="none" w:pos="648"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 16.1 Transaction expenses</w:t>
      </w: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Borrower shall, promptly within five Business Days of demand, pay the Agent, the Security Agent, the Sustainability Co-ordinator and the Arrangers the amount of all documented costs and expenses (including fees, costs and expenses of lawyers, accountants, tax advisers, insurance and other consultants, valuers, surveyors or other professional advisers or experts) (limited, in the case of legal fees, to the reasonable and documented fees for one firm of outside counsel to the Agent and the Arrangers on matters of English law and one local counsel in any relevant jurisdiction) (together with any applicable VAT) reasonably incurred by any of them (and, in the case of the Security Agent, by any Receiver or Delegate) in connection with the negotiation, preparation, printing, execution, syndication, registration and perfection and any release, discharge or reassignment of:</w:t>
      </w:r>
    </w:p>
    <w:p>
      <w:pPr>
        <w:spacing w:after="0" w:line="192" w:lineRule="exact"/>
        <w:rPr>
          <w:sz w:val="20"/>
          <w:szCs w:val="20"/>
          <w:color w:val="auto"/>
        </w:rPr>
      </w:pPr>
    </w:p>
    <w:p>
      <w:pPr>
        <w:ind w:left="1300" w:right="2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Hedging Master Agreements and any other documents referred to in this Agreement and the Security Documents;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Finance Documents executed or proposed to be executed after the date of this Agreement including any document executed to provide additional security under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Interest expressed or intended to be granted by a Finance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whether or not the transactions contemplated under the Finance Documents are consummated.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requests an amendment, waiver or consent; or</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is required pursuant to clause 40.11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is contemplated or agreed pursuant to 46.9 (</w:t>
      </w:r>
      <w:r>
        <w:rPr>
          <w:rFonts w:ascii="Times New Roman" w:cs="Times New Roman" w:eastAsia="Times New Roman" w:hAnsi="Times New Roman"/>
          <w:sz w:val="18"/>
          <w:szCs w:val="18"/>
          <w:i w:val="1"/>
          <w:iCs w:val="1"/>
          <w:color w:val="auto"/>
        </w:rPr>
        <w:t>Modification and/or discontinuation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benchmarks</w:t>
      </w:r>
      <w:r>
        <w:rPr>
          <w:rFonts w:ascii="Times New Roman" w:cs="Times New Roman" w:eastAsia="Times New Roman" w:hAnsi="Times New Roman"/>
          <w:sz w:val="18"/>
          <w:szCs w:val="18"/>
          <w:color w:val="auto"/>
        </w:rPr>
        <w:t>) or clause 9.5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 or clause 46.10 (</w:t>
      </w:r>
      <w:r>
        <w:rPr>
          <w:rFonts w:ascii="Times New Roman" w:cs="Times New Roman" w:eastAsia="Times New Roman" w:hAnsi="Times New Roman"/>
          <w:sz w:val="18"/>
          <w:szCs w:val="18"/>
          <w:i w:val="1"/>
          <w:iCs w:val="1"/>
          <w:color w:val="auto"/>
        </w:rPr>
        <w:t>Changes to reference rates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Borrower shall, within five Business Days of demand, reimburse each of the Agent and the Security Agent for the amount of all documented costs and expenses (including fees, costs and expenses of lawyers, accountants, tax advisers, insurance and other consultants, valuers, surveyors or other professional advisers or experts) (limited, in the case of legal fees, to the reasonable and documented fees for one firm of outside counsel to the Agent on matters of English law and one local counsel in any relevant jurisdiction) (together with any applicable VAT) reasonably incurred by the Agent and the Security Agent (and in the case of the Security Agent by any Receiver or Delegate) in responding to, evaluating, negotiating or complying with that request or requirement.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Enforcement, preservation and other costs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on demand by a Finance Party, pay to each Finance Party the amount of all documented costs and expenses (including fees, costs and expenses of lawyers, accountants, tax advisers, insurance and other consultants, valuers, surveyors or other professional advisers or experts) (together with any applicable VAT) incurred by that Finance Party in connection with:</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or the preservation of any rights under, any Finance Document and the Transaction Security and any proceedings instituted by or against any Indemnified Person as a consequence of taking or holding the Security Documents or enforcing those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8" w:name="page239"/>
    <w:bookmarkEnd w:id="238"/>
    <w:p>
      <w:pPr>
        <w:ind w:left="840" w:hanging="644"/>
        <w:spacing w:after="0" w:line="284" w:lineRule="auto"/>
        <w:tabs>
          <w:tab w:leader="none" w:pos="8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valuation carried out under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xml:space="preserve"> at the times provided in such clauses that the relevant costs must be borne by the Borrower; or</w:t>
      </w:r>
    </w:p>
    <w:p>
      <w:pPr>
        <w:spacing w:after="0" w:line="158" w:lineRule="exact"/>
        <w:rPr>
          <w:rFonts w:ascii="Times New Roman" w:cs="Times New Roman" w:eastAsia="Times New Roman" w:hAnsi="Times New Roman"/>
          <w:sz w:val="18"/>
          <w:szCs w:val="18"/>
          <w:color w:val="auto"/>
        </w:rPr>
      </w:pPr>
    </w:p>
    <w:p>
      <w:pPr>
        <w:ind w:left="840" w:hanging="644"/>
        <w:spacing w:after="0" w:line="284" w:lineRule="auto"/>
        <w:tabs>
          <w:tab w:leader="none" w:pos="8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inspection carried out under clause 23.9 </w:t>
      </w:r>
      <w:r>
        <w:rPr>
          <w:rFonts w:ascii="Times New Roman" w:cs="Times New Roman" w:eastAsia="Times New Roman" w:hAnsi="Times New Roman"/>
          <w:sz w:val="18"/>
          <w:szCs w:val="18"/>
          <w:i w:val="1"/>
          <w:iCs w:val="1"/>
          <w:color w:val="auto"/>
        </w:rPr>
        <w:t>(Inspection and notice of dry-docking)</w:t>
      </w:r>
      <w:r>
        <w:rPr>
          <w:rFonts w:ascii="Times New Roman" w:cs="Times New Roman" w:eastAsia="Times New Roman" w:hAnsi="Times New Roman"/>
          <w:sz w:val="18"/>
          <w:szCs w:val="18"/>
          <w:color w:val="auto"/>
        </w:rPr>
        <w:t xml:space="preserve"> or any survey carried out under clause 23.17 </w:t>
      </w:r>
      <w:r>
        <w:rPr>
          <w:rFonts w:ascii="Times New Roman" w:cs="Times New Roman" w:eastAsia="Times New Roman" w:hAnsi="Times New Roman"/>
          <w:sz w:val="18"/>
          <w:szCs w:val="18"/>
          <w:i w:val="1"/>
          <w:iCs w:val="1"/>
          <w:color w:val="auto"/>
        </w:rPr>
        <w:t>(Survey report)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5" w:right="99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Section 7 - Guarantee</w:t>
      </w:r>
    </w:p>
    <w:p>
      <w:pPr>
        <w:spacing w:after="0" w:line="225" w:lineRule="exact"/>
        <w:rPr>
          <w:sz w:val="20"/>
          <w:szCs w:val="20"/>
          <w:color w:val="auto"/>
        </w:rPr>
      </w:pPr>
    </w:p>
    <w:p>
      <w:pPr>
        <w:jc w:val="both"/>
        <w:ind w:right="7280" w:firstLine="8"/>
        <w:spacing w:after="0" w:line="503" w:lineRule="auto"/>
        <w:tabs>
          <w:tab w:leader="none" w:pos="648"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and indemnity 17.1 Guarantee and indemnity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Guarantor hereby irrevocably and unconditionally and jointly and severally with the other Guarantors: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the Security Agent (as trustee for the Finance Parties) and the other Finance Parties that whenever another Obligor does not pay any amount when due under or in connection with any Finance Document, it shall</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demand pay that amount as if it was the principal obligor; and</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the Security Agent (as trustee for the Finance Parties) and the other Finance Parties that it will, as an independent and primary obligation, indemnify each Finance Party immediately on demand against any cost, loss or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it incurs:</w:t>
      </w:r>
    </w:p>
    <w:p>
      <w:pPr>
        <w:spacing w:after="0" w:line="206" w:lineRule="exact"/>
        <w:rPr>
          <w:rFonts w:ascii="Times New Roman" w:cs="Times New Roman" w:eastAsia="Times New Roman" w:hAnsi="Times New Roman"/>
          <w:sz w:val="18"/>
          <w:szCs w:val="18"/>
          <w:color w:val="auto"/>
        </w:rPr>
      </w:pPr>
    </w:p>
    <w:p>
      <w:pPr>
        <w:spacing w:after="0"/>
        <w:tabs>
          <w:tab w:leader="none" w:pos="0" w:val="left"/>
        </w:tabs>
        <w:numPr>
          <w:ilvl w:val="2"/>
          <w:numId w:val="302"/>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2480" w:hanging="501"/>
        <w:spacing w:after="0"/>
        <w:tabs>
          <w:tab w:leader="none" w:pos="2480"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obligation guaranteed by it is or becomes unenforceable, invalid or illegal; or</w:t>
      </w:r>
    </w:p>
    <w:p>
      <w:pPr>
        <w:spacing w:after="0" w:line="225" w:lineRule="exact"/>
        <w:rPr>
          <w:rFonts w:ascii="Times New Roman" w:cs="Times New Roman" w:eastAsia="Times New Roman" w:hAnsi="Times New Roman"/>
          <w:sz w:val="18"/>
          <w:szCs w:val="18"/>
          <w:color w:val="auto"/>
        </w:rPr>
      </w:pPr>
    </w:p>
    <w:p>
      <w:pPr>
        <w:jc w:val="both"/>
        <w:ind w:left="2480" w:hanging="501"/>
        <w:spacing w:after="0" w:line="266" w:lineRule="auto"/>
        <w:tabs>
          <w:tab w:leader="none" w:pos="2480"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and as a result of the same, the Borrower has not paid any amount which would, but for such unenforceability, invalidity, illegality or operation of law, have been payable by the Borrower under any Finance Document on the date when it would have been due;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there is a change in the currency, the value of the currency or the timing, place or manner in which any obligation guaranteed by a Guarantor is payable.</w:t>
      </w:r>
    </w:p>
    <w:p>
      <w:pPr>
        <w:spacing w:after="0" w:line="18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amount payable by a Guarantor under this indemnity:</w:t>
      </w:r>
    </w:p>
    <w:p>
      <w:pPr>
        <w:spacing w:after="0" w:line="225" w:lineRule="exact"/>
        <w:rPr>
          <w:sz w:val="20"/>
          <w:szCs w:val="20"/>
          <w:color w:val="auto"/>
        </w:rPr>
      </w:pPr>
    </w:p>
    <w:p>
      <w:pPr>
        <w:jc w:val="both"/>
        <w:ind w:left="3000" w:hanging="508"/>
        <w:spacing w:after="0" w:line="266" w:lineRule="auto"/>
        <w:tabs>
          <w:tab w:leader="none" w:pos="30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75" w:lineRule="exact"/>
        <w:rPr>
          <w:rFonts w:ascii="Times New Roman" w:cs="Times New Roman" w:eastAsia="Times New Roman" w:hAnsi="Times New Roman"/>
          <w:sz w:val="18"/>
          <w:szCs w:val="18"/>
          <w:color w:val="auto"/>
        </w:rPr>
      </w:pPr>
    </w:p>
    <w:p>
      <w:pPr>
        <w:jc w:val="both"/>
        <w:ind w:left="3000" w:hanging="508"/>
        <w:spacing w:after="0" w:line="255" w:lineRule="auto"/>
        <w:tabs>
          <w:tab w:leader="none" w:pos="30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paragraph (ii) above, shall include (aa) the difference between (x) the amount (if any) received by the Security Agent and the other Finance Parties from the Borrower and (y) the amount that the Borrower was obliged to pay under the original express terms of the Finance Documents in the currency specified in the Finance Documents, disregarding any Change in Law (the </w:t>
      </w:r>
      <w:r>
        <w:rPr>
          <w:rFonts w:ascii="Times New Roman" w:cs="Times New Roman" w:eastAsia="Times New Roman" w:hAnsi="Times New Roman"/>
          <w:sz w:val="18"/>
          <w:szCs w:val="18"/>
          <w:b w:val="1"/>
          <w:bCs w:val="1"/>
          <w:color w:val="auto"/>
        </w:rPr>
        <w:t>Original Currency</w:t>
      </w:r>
      <w:r>
        <w:rPr>
          <w:rFonts w:ascii="Times New Roman" w:cs="Times New Roman" w:eastAsia="Times New Roman" w:hAnsi="Times New Roman"/>
          <w:sz w:val="18"/>
          <w:szCs w:val="18"/>
          <w:color w:val="auto"/>
        </w:rPr>
        <w:t>), and (bb) all further costs, losses and liabilities suffered or incurred by the Security Agent and the other Finance Parties as a result of a Change in Law.</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For the purposes of (aa)(x) above, if payment was not received by the Security Agent or the other Finance Parties in the Original Currency, the amount received by the Security Agent and the other Finance Parties shall be deemed to be that payment’s equivalent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0" w:name="page241"/>
    <w:bookmarkEnd w:id="240"/>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If the Original Currency no longer exists, the Guarantors shall make such payment in such currency as is, in the reasonable opinion of the Security Agent, required, after taking into account any payments by the Borrower, to place the Security Agent and the other Finance Parties in a position reasonably comparable to that it would have been in had the Original Currency continued to exist.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Continuing guarantee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80" w:lineRule="exact"/>
        <w:rPr>
          <w:sz w:val="20"/>
          <w:szCs w:val="20"/>
          <w:color w:val="auto"/>
        </w:rPr>
      </w:pPr>
    </w:p>
    <w:p>
      <w:pPr>
        <w:ind w:left="1300" w:hanging="644"/>
        <w:spacing w:after="0" w:line="282"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Guarantor under this clause 17 shall continue or be reinstated as if the payment, discharge, release, arrangement, avoidance or reduction had not occurred;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76" w:lineRule="exact"/>
        <w:rPr>
          <w:sz w:val="20"/>
          <w:szCs w:val="20"/>
          <w:color w:val="auto"/>
        </w:rPr>
      </w:pPr>
    </w:p>
    <w:p>
      <w:pPr>
        <w:ind w:left="1300" w:hanging="644"/>
        <w:spacing w:after="0"/>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waiver or consent granted to, or composition with, any Obligor or other person;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Obligor or any other person under the terms of any composition or arrangement with any creditor of any other Obligor;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1" w:name="page242"/>
    <w:bookmarkEnd w:id="241"/>
    <w:p>
      <w:pPr>
        <w:ind w:left="1300" w:right="20"/>
        <w:spacing w:after="0" w:line="282" w:lineRule="auto"/>
        <w:rPr>
          <w:sz w:val="20"/>
          <w:szCs w:val="20"/>
          <w:color w:val="auto"/>
        </w:rPr>
      </w:pPr>
      <w:r>
        <w:rPr>
          <w:rFonts w:ascii="Times New Roman" w:cs="Times New Roman" w:eastAsia="Times New Roman" w:hAnsi="Times New Roman"/>
          <w:sz w:val="18"/>
          <w:szCs w:val="18"/>
          <w:color w:val="auto"/>
        </w:rPr>
        <w:t>extension of or any increase in any facility or the addition of any new facility under any Finance Document or other document or security;</w:t>
      </w:r>
    </w:p>
    <w:p>
      <w:pPr>
        <w:spacing w:after="0" w:line="162" w:lineRule="exact"/>
        <w:rPr>
          <w:sz w:val="20"/>
          <w:szCs w:val="20"/>
          <w:color w:val="auto"/>
        </w:rPr>
      </w:pPr>
    </w:p>
    <w:p>
      <w:pPr>
        <w:ind w:left="1300" w:hanging="644"/>
        <w:spacing w:after="0" w:line="282" w:lineRule="auto"/>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of any jurisdiction or any other event affecting any term of the guaranteed obligations;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that might constitute a defence of any Guarantor.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Guarantor intent</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Without prejudice to the generality of clause 17.4 (</w:t>
      </w:r>
      <w:r>
        <w:rPr>
          <w:rFonts w:ascii="Times New Roman" w:cs="Times New Roman" w:eastAsia="Times New Roman" w:hAnsi="Times New Roman"/>
          <w:sz w:val="18"/>
          <w:szCs w:val="18"/>
          <w:i w:val="1"/>
          <w:iCs w:val="1"/>
          <w:color w:val="auto"/>
        </w:rPr>
        <w:t>Waiver of defences</w:t>
      </w:r>
      <w:r>
        <w:rPr>
          <w:rFonts w:ascii="Times New Roman" w:cs="Times New Roman" w:eastAsia="Times New Roman" w:hAnsi="Times New Roman"/>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b w:val="1"/>
          <w:bCs w:val="1"/>
          <w:color w:val="auto"/>
        </w:rPr>
        <w:t>Appropriations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interest-bearing suspense account any moneys received from any Guarantor or on account of a Guarantor's liability under this clause 17.</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b w:val="1"/>
          <w:bCs w:val="1"/>
          <w:color w:val="auto"/>
        </w:rPr>
        <w:t>Deferral of Guarantors' rights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80" w:lineRule="exact"/>
        <w:rPr>
          <w:sz w:val="20"/>
          <w:szCs w:val="20"/>
          <w:color w:val="auto"/>
        </w:rPr>
      </w:pPr>
    </w:p>
    <w:p>
      <w:pPr>
        <w:ind w:left="1300" w:hanging="644"/>
        <w:spacing w:after="0"/>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or reimbursed by another Obligor;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2" w:name="page243"/>
    <w:bookmarkEnd w:id="242"/>
    <w:p>
      <w:pPr>
        <w:jc w:val="both"/>
        <w:ind w:left="130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Times New Roman" w:cs="Times New Roman" w:eastAsia="Times New Roman" w:hAnsi="Times New Roman"/>
          <w:sz w:val="18"/>
          <w:szCs w:val="18"/>
          <w:i w:val="1"/>
          <w:iCs w:val="1"/>
          <w:color w:val="auto"/>
        </w:rPr>
        <w:t>Guarantee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set-off against any other Obligor; and/or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other Obligor in competition with any Finance Party.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Guarantor receives any benefit, payment or distribution in relation to such rights it will promptly pay an equal amount to the Agent for application in accordance with clause 40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This only applies until all amounts which may be or become payable by the Obligors under or in connection with the Finance Documents have been irrevocably paid in full.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8"/>
          <w:szCs w:val="18"/>
          <w:b w:val="1"/>
          <w:bCs w:val="1"/>
          <w:color w:val="auto"/>
        </w:rPr>
        <w:t>Additional security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Finance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17.10</w:t>
      </w:r>
      <w:r>
        <w:rPr>
          <w:sz w:val="20"/>
          <w:szCs w:val="20"/>
          <w:color w:val="auto"/>
        </w:rPr>
        <w:tab/>
      </w:r>
      <w:r>
        <w:rPr>
          <w:rFonts w:ascii="Times New Roman" w:cs="Times New Roman" w:eastAsia="Times New Roman" w:hAnsi="Times New Roman"/>
          <w:sz w:val="17"/>
          <w:szCs w:val="17"/>
          <w:b w:val="1"/>
          <w:bCs w:val="1"/>
          <w:color w:val="auto"/>
        </w:rPr>
        <w:t>Guarantors' rights and obligations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irrevocably and unconditionally jointly and severally with the other Guarantor: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it is responsible for the performance of the obligations of the other Guarantor under the Guarantee and this Agreement;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it is a principal and original debtor in respect of all amounts due from the Guarantors under the Guarantee and under this Agreement;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17.11</w:t>
        <w:tab/>
        <w:t>Amendments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amendment, waiver, discharge, release or consent in relation to the Guarantee and/or this clause 17 may only be made or given in writing.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17.12</w:t>
        <w:tab/>
        <w:t>Release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at any time during the Facility Period, the Majority Lenders are satisfied that, due to any changes in the structure of the Group pursuant to acts or transactions which are permitted by the terms of the Finance Documents, any one of MLP, GasLog Carriers or GPHL no longer own (whether directly or indirectly) (a) any shares in any Owner or (b) any other assets, and such changes, acts or transactions do not constitute or result in a Change of Control or an Event of Default, then the Lenders hereby agree that they will, as soon as reasonably practicable following the written request of the Borrower accompanied by a representation and undertaking that the said Guarantor will be wound up or dissolved promptly after such release, release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3" w:name="page244"/>
    <w:bookmarkEnd w:id="243"/>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Entity</w:t>
      </w:r>
      <w:r>
        <w:rPr>
          <w:rFonts w:ascii="Times New Roman" w:cs="Times New Roman" w:eastAsia="Times New Roman" w:hAnsi="Times New Roman"/>
          <w:sz w:val="18"/>
          <w:szCs w:val="18"/>
          <w:color w:val="auto"/>
        </w:rPr>
        <w:t>) from the Guarantee at the cost and expense of the Borrower and subject to release documentation in approved form and always provided that there is no continuing Event of Default at the time of such release of would result from the same. With effect from the time of such release, the financial statements of the said Released Entity will no longer be required under clause 19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and the Released Entity will no longer be a Guarantor or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89" w:right="999"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8 - Representations, Undertakings and Events of Default</w:t>
      </w:r>
    </w:p>
    <w:p>
      <w:pPr>
        <w:spacing w:after="0" w:line="225" w:lineRule="exact"/>
        <w:rPr>
          <w:sz w:val="20"/>
          <w:szCs w:val="20"/>
          <w:color w:val="auto"/>
        </w:rPr>
      </w:pPr>
    </w:p>
    <w:p>
      <w:pPr>
        <w:jc w:val="both"/>
        <w:ind w:right="8020" w:firstLine="8"/>
        <w:spacing w:after="0" w:line="503" w:lineRule="auto"/>
        <w:tabs>
          <w:tab w:leader="none" w:pos="648"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18.1 Representations</w:t>
      </w:r>
    </w:p>
    <w:p>
      <w:pPr>
        <w:jc w:val="both"/>
        <w:ind w:left="1300" w:right="20" w:hanging="644"/>
        <w:spacing w:after="0" w:line="266" w:lineRule="auto"/>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Obligor who is a Party makes and repeats the representations and warranties set out in this clause 18 to each Finance Party at the times specified in clause 18.36 </w:t>
      </w:r>
      <w:r>
        <w:rPr>
          <w:rFonts w:ascii="Times New Roman" w:cs="Times New Roman" w:eastAsia="Times New Roman" w:hAnsi="Times New Roman"/>
          <w:sz w:val="18"/>
          <w:szCs w:val="18"/>
          <w:i w:val="1"/>
          <w:iCs w:val="1"/>
          <w:color w:val="auto"/>
        </w:rPr>
        <w:t>(Times when representations are made)</w:t>
      </w:r>
      <w:r>
        <w:rPr>
          <w:rFonts w:ascii="Times New Roman" w:cs="Times New Roman" w:eastAsia="Times New Roman" w:hAnsi="Times New Roman"/>
          <w:sz w:val="18"/>
          <w:szCs w:val="18"/>
          <w:color w:val="auto"/>
        </w:rPr>
        <w:t xml:space="preserve"> (subject to paragraph (b) below).</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 above, the representations and warranties of clause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insofar as they relate to Sanctions not imposed by Germany, the European Union or the United Nations will not be so made and repeated to any Finance Party established under the laws of Germany and/or with a Facility Office in Germany or to any other Finance Party that notifies the Agent accordingly, if and to the extent that the giving of, and compliance with, such representations and warranties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duly incorporated and validly existing under the law of its Original Jurisdiction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has power and authority to own its assets and to carry on its business as it is now being conducted.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225" w:lineRule="exact"/>
        <w:rPr>
          <w:sz w:val="20"/>
          <w:szCs w:val="20"/>
          <w:color w:val="auto"/>
        </w:rPr>
      </w:pPr>
    </w:p>
    <w:p>
      <w:pPr>
        <w:ind w:left="1300" w:hanging="644"/>
        <w:spacing w:after="0" w:line="282"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each Obligor in each Transaction Document to which it is, or is to be, a party are or, when entered into by it, will be legal, valid, binding and enforceable obligations;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each Security Document to which an Obligor is, or will be, a party, creates or will create the Security Interests which that Security Document purports to create and those Security Interests are or will be valid and effective.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Non-conflict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each Obligor of, and the transactions contemplated by the Transaction Documents and the granting of the Transaction Security do not and will not conflict with:</w:t>
      </w:r>
    </w:p>
    <w:p>
      <w:pPr>
        <w:spacing w:after="0" w:line="162" w:lineRule="exact"/>
        <w:rPr>
          <w:sz w:val="20"/>
          <w:szCs w:val="20"/>
          <w:color w:val="auto"/>
        </w:rPr>
      </w:pPr>
    </w:p>
    <w:p>
      <w:pPr>
        <w:ind w:left="1300" w:hanging="644"/>
        <w:spacing w:after="0"/>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it;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5" w:name="page246"/>
    <w:bookmarkEnd w:id="245"/>
    <w:p>
      <w:pPr>
        <w:ind w:left="1300" w:hanging="644"/>
        <w:spacing w:after="0"/>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other instrument binding 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constitute a default or termination event (however described) under any such agreement or instrument.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performance or delivery of, and compliance with, each Transaction Document to which it is, or is to be, a party and each of the transactions contemplated by those documents.</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limitation on any Obligor's powers to borrow, create security or give guarantees will be exceeded as a result of any transaction under, or the entry into of, any Transaction Document to which such Obligor is, or is to be, a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1300" w:hanging="644"/>
        <w:spacing w:after="0"/>
        <w:tabs>
          <w:tab w:leader="none" w:pos="13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required: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Obligor lawfully to enter into, exercise its rights and comply with its obligations under each Transaction Document to which it is a party;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each Transaction Document to which it is a party admissible in evidence in its Relevant Jurisdictions;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the Transaction Security has the priority and ranking contemplated by the Security Documents,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 xml:space="preserve">have been obtained or effected or (as the case may be) will be obtained or effected when entered into, and are, or (as the case may be) will be when entered into, in full force and effect except any Authorisation or filing referred to in clause 18.14 </w:t>
      </w:r>
      <w:r>
        <w:rPr>
          <w:rFonts w:ascii="Times New Roman" w:cs="Times New Roman" w:eastAsia="Times New Roman" w:hAnsi="Times New Roman"/>
          <w:sz w:val="18"/>
          <w:szCs w:val="18"/>
          <w:i w:val="1"/>
          <w:iCs w:val="1"/>
          <w:color w:val="auto"/>
        </w:rPr>
        <w:t>(No filing or stamp taxes)</w:t>
      </w:r>
      <w:r>
        <w:rPr>
          <w:rFonts w:ascii="Times New Roman" w:cs="Times New Roman" w:eastAsia="Times New Roman" w:hAnsi="Times New Roman"/>
          <w:sz w:val="18"/>
          <w:szCs w:val="18"/>
          <w:color w:val="auto"/>
        </w:rPr>
        <w:t>, which Authorisation or filing will be promptly obtained or effected within any applicable period.</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the conduct of the business, trade and ordinary activities of each Obligor have been obtained or effected and are in full force and effect if failure to obtain or effect those Authorisations might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229" w:lineRule="exact"/>
        <w:rPr>
          <w:sz w:val="20"/>
          <w:szCs w:val="20"/>
          <w:color w:val="auto"/>
        </w:rPr>
      </w:pPr>
    </w:p>
    <w:p>
      <w:pPr>
        <w:ind w:left="1300" w:hanging="644"/>
        <w:spacing w:after="0" w:line="282" w:lineRule="auto"/>
        <w:tabs>
          <w:tab w:leader="none" w:pos="13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relevant Legal Reservations, the choice of English law or any other governing law of any Transaction Document will be recognised and enforced in each Obligor's Relevant Jurisdictions.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relevant Legal Reservations, any judgment obtained in England in relation to any Transaction Document in the jurisdiction of the governing law of that Transaction Document will be recognised and enforced in each Obligor’s Relevant Jurisdictions.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ind w:left="1300" w:hanging="644"/>
        <w:spacing w:after="0"/>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is true and accurate in all material respects at the time it was given or made.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facts or circumstances or any other information which could make the Information incomplete, untrue, inaccurate or misleading in any material respect.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does not omit anything which could make the Information incomplete, untrue, inaccurate or misleading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6" w:name="page247"/>
    <w:bookmarkEnd w:id="246"/>
    <w:p>
      <w:pPr>
        <w:jc w:val="both"/>
        <w:ind w:left="1300" w:hanging="644"/>
        <w:spacing w:after="0" w:line="266"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clause 18.8,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means: any material, factual information provided by or on behalf of any Obligor in writing to any of the Finance Parties in connection with the Transaction Documents or the transactions referred to in them (including that contained in any information memorandum).</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7"/>
          <w:szCs w:val="17"/>
          <w:b w:val="1"/>
          <w:bCs w:val="1"/>
          <w:color w:val="auto"/>
        </w:rPr>
        <w:t>Original Financial Statements</w:t>
      </w:r>
    </w:p>
    <w:p>
      <w:pPr>
        <w:spacing w:after="0" w:line="229" w:lineRule="exact"/>
        <w:rPr>
          <w:sz w:val="20"/>
          <w:szCs w:val="20"/>
          <w:color w:val="auto"/>
        </w:rPr>
      </w:pPr>
    </w:p>
    <w:p>
      <w:pPr>
        <w:ind w:left="1300" w:hanging="644"/>
        <w:spacing w:after="0"/>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Financial Statements were prepared in accordance with GAAP consistently applied.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Financial Statements give a true and fair view of the consolidated financial condition and the consolidated results of operations of the relevant Obligors, the Group, the MLP Group, GasLog Carriers and GPHL during the relevant financial year or half-year (as applicable).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in the assets, business or financial condition or operations of any of the Obligors or the Group taken as a whole or the MLP Group taken as a whole, since the date of the latest financial statements delivered under this Agreement to the Finance Parties which has had or might reasonably be expected to have a Material Adverse Effect.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18.10</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18.11</w:t>
      </w:r>
      <w:r>
        <w:rPr>
          <w:sz w:val="20"/>
          <w:szCs w:val="20"/>
          <w:color w:val="auto"/>
        </w:rPr>
        <w:tab/>
      </w:r>
      <w:r>
        <w:rPr>
          <w:rFonts w:ascii="Times New Roman" w:cs="Times New Roman" w:eastAsia="Times New Roman" w:hAnsi="Times New Roman"/>
          <w:sz w:val="17"/>
          <w:szCs w:val="17"/>
          <w:b w:val="1"/>
          <w:bCs w:val="1"/>
          <w:color w:val="auto"/>
        </w:rPr>
        <w:t>Ranking and effectiveness of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and any filing, registration or notice requirements which is referred to in any Legal Opinion:</w:t>
      </w:r>
    </w:p>
    <w:p>
      <w:pPr>
        <w:spacing w:after="0" w:line="225" w:lineRule="exact"/>
        <w:rPr>
          <w:sz w:val="20"/>
          <w:szCs w:val="20"/>
          <w:color w:val="auto"/>
        </w:rPr>
      </w:pPr>
    </w:p>
    <w:p>
      <w:pPr>
        <w:ind w:left="1300" w:right="20" w:hanging="644"/>
        <w:spacing w:after="0" w:line="282" w:lineRule="auto"/>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has (or will have when the relevant Security Documents have been executed) the priority which it is expressed to have in the Security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Charged Property is not subject to any Security Interest other than Permitted Security Interests;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will constitute perfected security on the assets described in the Security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18.12</w:t>
      </w:r>
      <w:r>
        <w:rPr>
          <w:sz w:val="20"/>
          <w:szCs w:val="20"/>
          <w:color w:val="auto"/>
        </w:rPr>
        <w:tab/>
      </w:r>
      <w:r>
        <w:rPr>
          <w:rFonts w:ascii="Times New Roman" w:cs="Times New Roman" w:eastAsia="Times New Roman" w:hAnsi="Times New Roman"/>
          <w:sz w:val="17"/>
          <w:szCs w:val="17"/>
          <w:b w:val="1"/>
          <w:bCs w:val="1"/>
          <w:color w:val="auto"/>
        </w:rPr>
        <w:t>Ownership of Charged Property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Obligor is the sole legal and beneficial owner of the Charged Property over which it purports to grant a Security Interest under the Security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18.13</w:t>
      </w:r>
      <w:r>
        <w:rPr>
          <w:sz w:val="20"/>
          <w:szCs w:val="20"/>
          <w:color w:val="auto"/>
        </w:rPr>
        <w:tab/>
      </w:r>
      <w:r>
        <w:rPr>
          <w:rFonts w:ascii="Times New Roman" w:cs="Times New Roman" w:eastAsia="Times New Roman" w:hAnsi="Times New Roman"/>
          <w:sz w:val="17"/>
          <w:szCs w:val="17"/>
          <w:b w:val="1"/>
          <w:bCs w:val="1"/>
          <w:color w:val="auto"/>
        </w:rPr>
        <w:t>No insolvency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No corporate action, legal proceeding or other procedure or step described in clause 30.10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xml:space="preserve"> or creditors' process described in clause 30.11 </w:t>
      </w:r>
      <w:r>
        <w:rPr>
          <w:rFonts w:ascii="Times New Roman" w:cs="Times New Roman" w:eastAsia="Times New Roman" w:hAnsi="Times New Roman"/>
          <w:sz w:val="18"/>
          <w:szCs w:val="18"/>
          <w:i w:val="1"/>
          <w:iCs w:val="1"/>
          <w:color w:val="auto"/>
        </w:rPr>
        <w:t>(Creditors' process)</w:t>
      </w:r>
      <w:r>
        <w:rPr>
          <w:rFonts w:ascii="Times New Roman" w:cs="Times New Roman" w:eastAsia="Times New Roman" w:hAnsi="Times New Roman"/>
          <w:sz w:val="18"/>
          <w:szCs w:val="18"/>
          <w:color w:val="auto"/>
        </w:rPr>
        <w:t xml:space="preserve"> has been taken or, to the knowledge of any Obligor, threatened in relation to an Obligor and none of the circumstances described in clause 30.9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xml:space="preserve"> applies to any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7" w:name="page248"/>
    <w:bookmarkEnd w:id="24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18.14</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Under the laws of each Obligor's Relevant Jurisdictions it is not necessary that any Transaction Document to which it is, or is to be, party be filed, recorded or enrolled with any court or other authority in that jurisdiction or that any stamp, registration, notarial or similar Taxes or fees be paid on or in relation to any such Transaction Document or the transactions contemplated by the Transaction Documents except any filing, recording or enrolling or any tax or fee payable in relation to any Finance Document which is referred to in any Legal Opinion and which will be made or paid promptly after the date of the relevant Transaction Document.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18.15</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No Obligor is required to make any Tax Deduction (as defined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from any payment it may make under any Finance Document to which it is, or is to be, a party and no other party is required to make any such deduction from any payment it may make under any other Transaction Document.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18.16</w:t>
      </w:r>
      <w:r>
        <w:rPr>
          <w:sz w:val="20"/>
          <w:szCs w:val="20"/>
          <w:color w:val="auto"/>
        </w:rPr>
        <w:tab/>
      </w:r>
      <w:r>
        <w:rPr>
          <w:rFonts w:ascii="Times New Roman" w:cs="Times New Roman" w:eastAsia="Times New Roman" w:hAnsi="Times New Roman"/>
          <w:sz w:val="17"/>
          <w:szCs w:val="17"/>
          <w:b w:val="1"/>
          <w:bCs w:val="1"/>
          <w:color w:val="auto"/>
        </w:rPr>
        <w:t>Tax compliance</w:t>
      </w:r>
    </w:p>
    <w:p>
      <w:pPr>
        <w:spacing w:after="0" w:line="229" w:lineRule="exact"/>
        <w:rPr>
          <w:sz w:val="20"/>
          <w:szCs w:val="20"/>
          <w:color w:val="auto"/>
        </w:rPr>
      </w:pPr>
    </w:p>
    <w:p>
      <w:pPr>
        <w:ind w:left="1300" w:hanging="644"/>
        <w:spacing w:after="0" w:line="282" w:lineRule="auto"/>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or other Group Member is materially overdue in the filing of any Tax returns or overdue in the payment of any amount in respect of Tax.</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or investigations are being made or conducted against any Obligor or is reasonably likely to arise for an amount for which adequate reserves have not been provided in the Original Financial Statements and which might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18.17</w:t>
        <w:tab/>
        <w:t>No Default</w:t>
      </w:r>
    </w:p>
    <w:p>
      <w:pPr>
        <w:spacing w:after="0" w:line="229" w:lineRule="exact"/>
        <w:rPr>
          <w:sz w:val="20"/>
          <w:szCs w:val="20"/>
          <w:color w:val="auto"/>
        </w:rPr>
      </w:pPr>
    </w:p>
    <w:p>
      <w:pPr>
        <w:ind w:left="1300" w:hanging="644"/>
        <w:spacing w:after="0" w:line="282" w:lineRule="auto"/>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is reasonably likely expected to result from the making of any Utilisation or the entry into, the performance of, or any transaction contemplated by, any Transaction Document.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events, conditions, facts or circumstances exist or have arisen or occurred since 30 June 2023, which have had or might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18.18</w:t>
      </w:r>
      <w:r>
        <w:rPr>
          <w:sz w:val="20"/>
          <w:szCs w:val="20"/>
          <w:color w:val="auto"/>
        </w:rPr>
        <w:tab/>
      </w:r>
      <w:r>
        <w:rPr>
          <w:rFonts w:ascii="Times New Roman" w:cs="Times New Roman" w:eastAsia="Times New Roman" w:hAnsi="Times New Roman"/>
          <w:sz w:val="17"/>
          <w:szCs w:val="17"/>
          <w:b w:val="1"/>
          <w:bCs w:val="1"/>
          <w:color w:val="auto"/>
        </w:rPr>
        <w:t>No proceedings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arbitration or administrative proceedings or investigations of, or before, any court, arbitral body or agency (including investigative proceedings) which, if adversely determined, might reasonably be expected to have a Material Adverse Effect has or have (to the best of any Obligor's knowledge and belief (having made due and careful enquiry)) been started or threatened against any Obligor or any other Group Member.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judgement or order of a court, arbitral tribunal or other tribunal or any order or sanction of any governmental or other regulatory body which is reasonably likely to have a Material Adverse Effect has (to the best of any Obligor's knowledge and belief (having made due and careful enquiry)) been made against any Obligor or any other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8" w:name="page249"/>
    <w:bookmarkEnd w:id="24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18.19</w:t>
      </w:r>
      <w:r>
        <w:rPr>
          <w:sz w:val="20"/>
          <w:szCs w:val="20"/>
          <w:color w:val="auto"/>
        </w:rPr>
        <w:tab/>
      </w:r>
      <w:r>
        <w:rPr>
          <w:rFonts w:ascii="Times New Roman" w:cs="Times New Roman" w:eastAsia="Times New Roman" w:hAnsi="Times New Roman"/>
          <w:sz w:val="17"/>
          <w:szCs w:val="17"/>
          <w:b w:val="1"/>
          <w:bCs w:val="1"/>
          <w:color w:val="auto"/>
        </w:rPr>
        <w:t>No breach of laws</w:t>
      </w:r>
    </w:p>
    <w:p>
      <w:pPr>
        <w:spacing w:after="0" w:line="229" w:lineRule="exact"/>
        <w:rPr>
          <w:sz w:val="20"/>
          <w:szCs w:val="20"/>
          <w:color w:val="auto"/>
        </w:rPr>
      </w:pPr>
    </w:p>
    <w:p>
      <w:pPr>
        <w:ind w:left="1300" w:hanging="644"/>
        <w:spacing w:after="0" w:line="282" w:lineRule="auto"/>
        <w:tabs>
          <w:tab w:leader="none" w:pos="130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or other Group Member has breached any law or regulation which breach might have a Material Adverse Effect.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labour dispute is current or, to the best of any Obligor's knowledge and belief (having made due and careful enquiry), threatened against any Obligor might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18.20</w:t>
      </w:r>
      <w:r>
        <w:rPr>
          <w:sz w:val="20"/>
          <w:szCs w:val="20"/>
          <w:color w:val="auto"/>
        </w:rPr>
        <w:tab/>
      </w:r>
      <w:r>
        <w:rPr>
          <w:rFonts w:ascii="Times New Roman" w:cs="Times New Roman" w:eastAsia="Times New Roman" w:hAnsi="Times New Roman"/>
          <w:sz w:val="17"/>
          <w:szCs w:val="17"/>
          <w:b w:val="1"/>
          <w:bCs w:val="1"/>
          <w:color w:val="auto"/>
        </w:rPr>
        <w:t>Environmental matters</w:t>
      </w:r>
    </w:p>
    <w:p>
      <w:pPr>
        <w:spacing w:after="0" w:line="229" w:lineRule="exact"/>
        <w:rPr>
          <w:sz w:val="20"/>
          <w:szCs w:val="20"/>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Law applicable to any Fleet Vessel and/or any Obligor or other Group Member has been violated in a manner or circumstances which might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licences and approvals required under such Environmental Laws have been obtained and are currently in force.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made or is pending against any Group Member or any Fleet Vessel where that claim might reasonably be expected to have a Material Adverse Effect and there has been no Environmental Incident which has given, or might give, rise to such a claim.</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18.21</w:t>
      </w:r>
      <w:r>
        <w:rPr>
          <w:sz w:val="20"/>
          <w:szCs w:val="20"/>
          <w:color w:val="auto"/>
        </w:rPr>
        <w:tab/>
      </w:r>
      <w:r>
        <w:rPr>
          <w:rFonts w:ascii="Times New Roman" w:cs="Times New Roman" w:eastAsia="Times New Roman" w:hAnsi="Times New Roman"/>
          <w:sz w:val="17"/>
          <w:szCs w:val="17"/>
          <w:b w:val="1"/>
          <w:bCs w:val="1"/>
          <w:color w:val="auto"/>
        </w:rPr>
        <w:t>Anti-corruption law</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18.22</w:t>
        <w:tab/>
        <w:t>Security and Financial Indebtedness</w:t>
      </w:r>
    </w:p>
    <w:p>
      <w:pPr>
        <w:spacing w:after="0" w:line="229" w:lineRule="exact"/>
        <w:rPr>
          <w:sz w:val="20"/>
          <w:szCs w:val="20"/>
          <w:color w:val="auto"/>
        </w:rPr>
      </w:pPr>
    </w:p>
    <w:p>
      <w:pPr>
        <w:ind w:left="1300" w:hanging="644"/>
        <w:spacing w:after="0" w:line="282" w:lineRule="auto"/>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Interest (other than Permitted Security Interests) exists over all or any of the present or future assets of any Owner in breach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 has any Financial Indebtedness outstanding in breach of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18.23</w:t>
      </w:r>
      <w:r>
        <w:rPr>
          <w:sz w:val="20"/>
          <w:szCs w:val="20"/>
          <w:color w:val="auto"/>
        </w:rPr>
        <w:tab/>
      </w:r>
      <w:r>
        <w:rPr>
          <w:rFonts w:ascii="Times New Roman" w:cs="Times New Roman" w:eastAsia="Times New Roman" w:hAnsi="Times New Roman"/>
          <w:sz w:val="17"/>
          <w:szCs w:val="17"/>
          <w:b w:val="1"/>
          <w:bCs w:val="1"/>
          <w:color w:val="auto"/>
        </w:rPr>
        <w:t>Shares</w:t>
      </w:r>
    </w:p>
    <w:p>
      <w:pPr>
        <w:spacing w:after="0" w:line="229" w:lineRule="exact"/>
        <w:rPr>
          <w:sz w:val="20"/>
          <w:szCs w:val="20"/>
          <w:color w:val="auto"/>
        </w:rPr>
      </w:pPr>
    </w:p>
    <w:p>
      <w:pPr>
        <w:ind w:left="1300" w:hanging="644"/>
        <w:spacing w:after="0"/>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each Owner are fully paid and not subject to any option to purchase or similar rights.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Constitutional Documents of each Owner do not and could not restrict or inhibit any transfer of those shares on creation or enforcement of the Security Documents.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18.24</w:t>
      </w:r>
      <w:r>
        <w:rPr>
          <w:sz w:val="20"/>
          <w:szCs w:val="20"/>
          <w:color w:val="auto"/>
        </w:rPr>
        <w:tab/>
      </w:r>
      <w:r>
        <w:rPr>
          <w:rFonts w:ascii="Times New Roman" w:cs="Times New Roman" w:eastAsia="Times New Roman" w:hAnsi="Times New Roman"/>
          <w:sz w:val="17"/>
          <w:szCs w:val="17"/>
          <w:b w:val="1"/>
          <w:bCs w:val="1"/>
          <w:color w:val="auto"/>
        </w:rPr>
        <w:t>No Change of Control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not been a Change of Control.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18.25</w:t>
        <w:tab/>
        <w:t>Accounting Reference 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Year-end of each Obligor and other Group Member is the Accounting Reference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9" w:name="page250"/>
    <w:bookmarkEnd w:id="24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18.26</w:t>
      </w:r>
      <w:r>
        <w:rPr>
          <w:sz w:val="20"/>
          <w:szCs w:val="20"/>
          <w:color w:val="auto"/>
        </w:rPr>
        <w:tab/>
      </w:r>
      <w:r>
        <w:rPr>
          <w:rFonts w:ascii="Times New Roman" w:cs="Times New Roman" w:eastAsia="Times New Roman" w:hAnsi="Times New Roman"/>
          <w:sz w:val="17"/>
          <w:szCs w:val="17"/>
          <w:b w:val="1"/>
          <w:bCs w:val="1"/>
          <w:color w:val="auto"/>
        </w:rPr>
        <w:t>No adverse consequences</w:t>
      </w:r>
    </w:p>
    <w:p>
      <w:pPr>
        <w:spacing w:after="0" w:line="229" w:lineRule="exact"/>
        <w:rPr>
          <w:sz w:val="20"/>
          <w:szCs w:val="20"/>
          <w:color w:val="auto"/>
        </w:rPr>
      </w:pPr>
    </w:p>
    <w:p>
      <w:pPr>
        <w:ind w:left="1300" w:hanging="644"/>
        <w:spacing w:after="0"/>
        <w:tabs>
          <w:tab w:leader="none" w:pos="13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under the laws of the Relevant Jurisdictions of any Obligor: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any Finance Party to enforce its rights under any Finance Document to which it is, or is to be, a party;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execution of any Finance Document or the performance by any Obligor of its obligations under any Finance Document,</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that any Finance Party should be licensed, qualified or otherwise entitled to carry on business in any of such Relevant Jurisdictions.</w:t>
      </w:r>
    </w:p>
    <w:p>
      <w:pPr>
        <w:spacing w:after="0" w:line="162" w:lineRule="exact"/>
        <w:rPr>
          <w:sz w:val="20"/>
          <w:szCs w:val="20"/>
          <w:color w:val="auto"/>
        </w:rPr>
      </w:pPr>
    </w:p>
    <w:p>
      <w:pPr>
        <w:ind w:left="1300" w:right="20" w:hanging="644"/>
        <w:spacing w:after="0" w:line="282"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Finance Party is or will be deemed to be resident, domiciled or carrying on business in any Relevant Jurisdiction of any Obligor by reason only of the execution, performance and/or enforcement of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18.27</w:t>
      </w:r>
      <w:r>
        <w:rPr>
          <w:sz w:val="20"/>
          <w:szCs w:val="20"/>
          <w:color w:val="auto"/>
        </w:rPr>
        <w:tab/>
      </w:r>
      <w:r>
        <w:rPr>
          <w:rFonts w:ascii="Times New Roman" w:cs="Times New Roman" w:eastAsia="Times New Roman" w:hAnsi="Times New Roman"/>
          <w:sz w:val="17"/>
          <w:szCs w:val="17"/>
          <w:b w:val="1"/>
          <w:bCs w:val="1"/>
          <w:color w:val="auto"/>
        </w:rPr>
        <w:t>Copies of documents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copies of those Transaction Documents which are not Finance Documents and the Constitutional Documents of the Obligors delivered to the Agent under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 xml:space="preserve"> will be true, complete and accurate copies of such documents and include all amendments and supplements to them as at the time of such delivery and no other agreements or arrangements exist between any of the parties to those Transaction Documents which would materially affect the transactions or arrangements contemplated by them or modify or release the obligations of any party under them.</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18.28</w:t>
        <w:tab/>
        <w:t>Legal and beneficial ownership</w:t>
      </w:r>
    </w:p>
    <w:p>
      <w:pPr>
        <w:spacing w:after="0" w:line="229" w:lineRule="exact"/>
        <w:rPr>
          <w:sz w:val="20"/>
          <w:szCs w:val="20"/>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assets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this Agreement: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Permitted Holder has the right and the ability to control the affairs, and the composition of the majority, of the board of directors of the Borrower;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(other than MLP) is a direct or indirect wholly-owned Subsidiary of the Borrower and is controlled by the Borrower;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partnership units of MLP are legally and beneficially owned by the Borrower and MLP is controlled by the Borrower;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Carriers is a direct wholly-owned Subsidiary of and is controlled by 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GPHL is a direct wholly-owned Subsidiary of and is controlled by MLP;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GP LLC is the general partner of MLP;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GP LLC is a direct wholly-owned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0" w:name="page251"/>
    <w:bookmarkEnd w:id="25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18.29</w:t>
      </w:r>
      <w:r>
        <w:rPr>
          <w:sz w:val="20"/>
          <w:szCs w:val="20"/>
          <w:color w:val="auto"/>
        </w:rPr>
        <w:tab/>
      </w:r>
      <w:r>
        <w:rPr>
          <w:rFonts w:ascii="Times New Roman" w:cs="Times New Roman" w:eastAsia="Times New Roman" w:hAnsi="Times New Roman"/>
          <w:sz w:val="17"/>
          <w:szCs w:val="17"/>
          <w:b w:val="1"/>
          <w:bCs w:val="1"/>
          <w:color w:val="auto"/>
        </w:rPr>
        <w:t>No breach of any Charter Document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Obligor nor (so far as the Obligors are aware) any other person is in breach of any Charter Document to which it is a party nor has anything occurred which entitles or may entitle any party to rescind or terminate it or decline to perform their obligations under it or which would render it illegal, invalid or unenforceable.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18.30</w:t>
        <w:tab/>
        <w:t>No immunity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Obligor or any of its assets is immune to any legal action or proceeding.</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18.31</w:t>
      </w:r>
      <w:r>
        <w:rPr>
          <w:sz w:val="20"/>
          <w:szCs w:val="20"/>
          <w:color w:val="auto"/>
        </w:rPr>
        <w:tab/>
      </w:r>
      <w:r>
        <w:rPr>
          <w:rFonts w:ascii="Times New Roman" w:cs="Times New Roman" w:eastAsia="Times New Roman" w:hAnsi="Times New Roman"/>
          <w:sz w:val="17"/>
          <w:szCs w:val="17"/>
          <w:b w:val="1"/>
          <w:bCs w:val="1"/>
          <w:color w:val="auto"/>
        </w:rPr>
        <w:t>Ship status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Ship will on the first day of the relevant Mortgage Period be:</w:t>
      </w:r>
    </w:p>
    <w:p>
      <w:pPr>
        <w:spacing w:after="0" w:line="225" w:lineRule="exact"/>
        <w:rPr>
          <w:sz w:val="20"/>
          <w:szCs w:val="20"/>
          <w:color w:val="auto"/>
        </w:rPr>
      </w:pPr>
    </w:p>
    <w:p>
      <w:pPr>
        <w:ind w:left="1300" w:hanging="644"/>
        <w:spacing w:after="0" w:line="282"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relevant Owner through the relevant Registry as a registered ship under the laws and flag of the relevant Flag State;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operationally seaworthy and in every way fit for service;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classed with the relevant Classification with the highest class free of all requirements and recommendations of the relevant Classification Society;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insured in the manner required by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18.32</w:t>
      </w:r>
      <w:r>
        <w:rPr>
          <w:sz w:val="20"/>
          <w:szCs w:val="20"/>
          <w:color w:val="auto"/>
        </w:rPr>
        <w:tab/>
      </w:r>
      <w:r>
        <w:rPr>
          <w:rFonts w:ascii="Times New Roman" w:cs="Times New Roman" w:eastAsia="Times New Roman" w:hAnsi="Times New Roman"/>
          <w:sz w:val="17"/>
          <w:szCs w:val="17"/>
          <w:b w:val="1"/>
          <w:bCs w:val="1"/>
          <w:color w:val="auto"/>
        </w:rPr>
        <w:t>Ship's employment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Ship shall on the first day of the relevant Mortgage Period:</w:t>
      </w:r>
    </w:p>
    <w:p>
      <w:pPr>
        <w:spacing w:after="0" w:line="225" w:lineRule="exact"/>
        <w:rPr>
          <w:sz w:val="20"/>
          <w:szCs w:val="20"/>
          <w:color w:val="auto"/>
        </w:rPr>
      </w:pPr>
    </w:p>
    <w:p>
      <w:pPr>
        <w:ind w:left="1300" w:hanging="644"/>
        <w:spacing w:after="0"/>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delivered, and accepted for service, under its Key Charter (if applicable);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free of any other charter commitment which, if entered into after that date, would require approval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18.33</w:t>
      </w:r>
      <w:r>
        <w:rPr>
          <w:sz w:val="20"/>
          <w:szCs w:val="20"/>
          <w:color w:val="auto"/>
        </w:rPr>
        <w:tab/>
      </w:r>
      <w:r>
        <w:rPr>
          <w:rFonts w:ascii="Times New Roman" w:cs="Times New Roman" w:eastAsia="Times New Roman" w:hAnsi="Times New Roman"/>
          <w:sz w:val="17"/>
          <w:szCs w:val="17"/>
          <w:b w:val="1"/>
          <w:bCs w:val="1"/>
          <w:color w:val="auto"/>
        </w:rPr>
        <w:t>Address commission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are no rebates, commissions or other payments in connection with any Charter Document other than those referred to in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18.34</w:t>
      </w:r>
      <w:r>
        <w:rPr>
          <w:sz w:val="20"/>
          <w:szCs w:val="20"/>
          <w:color w:val="auto"/>
        </w:rPr>
        <w:tab/>
      </w:r>
      <w:r>
        <w:rPr>
          <w:rFonts w:ascii="Times New Roman" w:cs="Times New Roman" w:eastAsia="Times New Roman" w:hAnsi="Times New Roman"/>
          <w:sz w:val="17"/>
          <w:szCs w:val="17"/>
          <w:b w:val="1"/>
          <w:bCs w:val="1"/>
          <w:color w:val="auto"/>
        </w:rPr>
        <w:t>Money Laundering</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relation to the borrowing by the Borrower of the Loans, the performance and discharge of its obligations and liabilities under the Finance Documents, and the transactions and other arrangements effected or contemplated by the Finance Documents to which the Borrower is a party, the Borrower confirms (i) that it is acting for its own account; (ii) that it will use the proceeds of the Loans for its own benefit, under its full responsibility and exclusively for the purposes specified in this Agreement; and (iii) that the foregoing will not involve or lead to a contravention of any law, official requirement or other regulatory measure or procedure which has been implemented to combat Money Laundering (as defined in clause 21.16 (</w:t>
      </w:r>
      <w:r>
        <w:rPr>
          <w:rFonts w:ascii="Times New Roman" w:cs="Times New Roman" w:eastAsia="Times New Roman" w:hAnsi="Times New Roman"/>
          <w:sz w:val="18"/>
          <w:szCs w:val="18"/>
          <w:i w:val="1"/>
          <w:iCs w:val="1"/>
          <w:color w:val="auto"/>
        </w:rPr>
        <w:t>Bribery and corruption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18.35</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229" w:lineRule="exact"/>
        <w:rPr>
          <w:sz w:val="20"/>
          <w:szCs w:val="20"/>
          <w:color w:val="auto"/>
        </w:rPr>
      </w:pPr>
    </w:p>
    <w:p>
      <w:pPr>
        <w:ind w:left="1300" w:right="20" w:hanging="644"/>
        <w:spacing w:after="0" w:line="282" w:lineRule="auto"/>
        <w:tabs>
          <w:tab w:leader="none" w:pos="13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Ship is a vessel with which any individual, entity or any other person is prohibited or restricted from dealing with under any Sanctions.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other Group Member, nor any of their respective directors or officers: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Prohibited Person;</w:t>
      </w: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251" w:name="page252"/>
    <w:bookmarkEnd w:id="251"/>
    <w:p>
      <w:pPr>
        <w:ind w:left="1960" w:right="20" w:hanging="656"/>
        <w:spacing w:after="0" w:line="282" w:lineRule="auto"/>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or the target of any action by any regulatory or enforcement authority or third party in relation to any Sanctions of any Sanctions Authority;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 provided that such charterer is not designated by OFAC as a “Specially Designated National”);</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or controls a Prohibited Person;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or resident in, organised or incorporated under the laws of, a country or territory subject to country-wide or territory-wide Sanctions;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breach of Sanctions;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notice of or is aware of any claim, action, suit, proceeding or investigation against it with respect to Sanctions by any Sanctions Authority.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capitalised terms referred to in paragraphs (a) and (b) above shall have the meanings given to them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18.36</w:t>
      </w:r>
      <w:r>
        <w:rPr>
          <w:sz w:val="20"/>
          <w:szCs w:val="20"/>
          <w:color w:val="auto"/>
        </w:rPr>
        <w:tab/>
      </w:r>
      <w:r>
        <w:rPr>
          <w:rFonts w:ascii="Times New Roman" w:cs="Times New Roman" w:eastAsia="Times New Roman" w:hAnsi="Times New Roman"/>
          <w:sz w:val="17"/>
          <w:szCs w:val="17"/>
          <w:b w:val="1"/>
          <w:bCs w:val="1"/>
          <w:color w:val="auto"/>
        </w:rPr>
        <w:t>Times when representations are made</w:t>
      </w:r>
    </w:p>
    <w:p>
      <w:pPr>
        <w:spacing w:after="0" w:line="229" w:lineRule="exact"/>
        <w:rPr>
          <w:sz w:val="20"/>
          <w:szCs w:val="20"/>
          <w:color w:val="auto"/>
        </w:rPr>
      </w:pPr>
    </w:p>
    <w:p>
      <w:pPr>
        <w:ind w:left="130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set out in this clause 18 (other than Ship Representations) are deemed to be made on the date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Utilisation Request;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Utilisation.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deemed to be made on the dates of each subsequent Utilisation Request and each subsequent Utilisation Date, on the date of issuance of each Compliance Certificate and the first day of each Interest Period and, in the case of the representation in clause 18.8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on the date of primary syndication of the Facility.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Ship Representations in relation to a Ship are deemed to be made on the first day of the Mortgage Period for the relevant Ship.</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or warranty deemed to be made after the date of this Agreement shall be deemed to be made by reference to the facts and circumstances existing at the date the representation or warranty is deemed to be made.</w:t>
      </w:r>
    </w:p>
    <w:p>
      <w:pPr>
        <w:spacing w:after="0" w:line="158" w:lineRule="exact"/>
        <w:rPr>
          <w:sz w:val="20"/>
          <w:szCs w:val="20"/>
          <w:color w:val="auto"/>
        </w:rPr>
      </w:pPr>
    </w:p>
    <w:p>
      <w:pPr>
        <w:ind w:right="7260" w:firstLine="8"/>
        <w:spacing w:after="0" w:line="503" w:lineRule="auto"/>
        <w:tabs>
          <w:tab w:leader="none" w:pos="648"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 19.1 Undertaking to comply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who is a Party undertakes that this clause 19 will be complied with throughout the Facility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2" w:name="page253"/>
    <w:bookmarkEnd w:id="25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clause 19:</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Annual Financial Statements </w:t>
      </w:r>
      <w:r>
        <w:rPr>
          <w:rFonts w:ascii="Times New Roman" w:cs="Times New Roman" w:eastAsia="Times New Roman" w:hAnsi="Times New Roman"/>
          <w:sz w:val="18"/>
          <w:szCs w:val="18"/>
          <w:color w:val="auto"/>
        </w:rPr>
        <w:t>means each of the audited consolidated financial statements for a Financial Year of the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pursuant to paragraph (a) of clause 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Semi-Annual Financial Statements </w:t>
      </w:r>
      <w:r>
        <w:rPr>
          <w:rFonts w:ascii="Times New Roman" w:cs="Times New Roman" w:eastAsia="Times New Roman" w:hAnsi="Times New Roman"/>
          <w:sz w:val="18"/>
          <w:szCs w:val="18"/>
          <w:color w:val="auto"/>
        </w:rPr>
        <w:t>means each of the unaudited consolidated financial statements for the financial half-year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30 June of a Financial Year of the Group, delivered pursuant to paragraph (b) of clause 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hanging="644"/>
        <w:spacing w:after="0" w:line="282" w:lineRule="auto"/>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supply to the Agent (in sufficient copies for all the Lenders, if the Agent so requests) as soon as the same become available, but in any event within 150 days after the end of each Financial Year: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Group for that Financial Year;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MLP Group for that financial year;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each of GPHL and GasLog Carriers for that Financial Year.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supply to the Agent as soon as the same become available, but in any event within 120 days after the end of the half year to 30 June of each Financial Year, the unaudited consolidated financial statements of each of the Group and the MLP Group for that financial half year.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also supply to the Agent prior to each Financial Year, budget and cashflow projections for the Group for such Financial Year.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Provision and contents of Compliance Certificate and valuations</w:t>
      </w:r>
    </w:p>
    <w:p>
      <w:pPr>
        <w:spacing w:after="0" w:line="229" w:lineRule="exact"/>
        <w:rPr>
          <w:sz w:val="20"/>
          <w:szCs w:val="20"/>
          <w:color w:val="auto"/>
        </w:rPr>
      </w:pPr>
    </w:p>
    <w:p>
      <w:pPr>
        <w:ind w:left="1300" w:hanging="644"/>
        <w:spacing w:after="0"/>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supply to the Agent (and the Agent shall supply to each Lender):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each set of Annual Financial Statements for the Group and with each set of Semi-Annual Financial Statements for the Group, respectively, a Compliance Certificate;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each set of Annual Financial Statements for the Group and with each set of Semi-Annual Financial Statements for the Group, valuations of each Fleet Vessel, each made in accordance with clause 25 (</w:t>
      </w:r>
      <w:r>
        <w:rPr>
          <w:rFonts w:ascii="Times New Roman" w:cs="Times New Roman" w:eastAsia="Times New Roman" w:hAnsi="Times New Roman"/>
          <w:sz w:val="18"/>
          <w:szCs w:val="18"/>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value</w:t>
      </w:r>
      <w:r>
        <w:rPr>
          <w:rFonts w:ascii="Times New Roman" w:cs="Times New Roman" w:eastAsia="Times New Roman" w:hAnsi="Times New Roman"/>
          <w:sz w:val="18"/>
          <w:szCs w:val="18"/>
          <w:color w:val="auto"/>
        </w:rPr>
        <w:t>) at the cost and expense of the Obligors and showing the value of each such Fleet Vessel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relevant financial statements to which they relate (and for such purposes, the provisions of such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shall apply to each such Fleet Vessel and this paragraph 19.4(a)(ii) mutatis mutandis as if each such Fleet Vessel was a Ship).</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Compliance Certificate shall, amongst other things, set out (in reasonable detail) computations as to compliance with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Compliance Certificate shall be signed by the chief financial officer or chief executive officer of the Borrower or, in his or her absence, by two directors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3" w:name="page254"/>
    <w:bookmarkEnd w:id="25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procure that each set of financial statements includes a profit and loss account, a balance sheet and a cashflow statement and that, in addition each set of annual audited financial statements delivered pursuant to clause 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shall be audited by the Auditors.</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set of financial statements delivered pursuant to clause 19.3 </w:t>
      </w:r>
      <w:r>
        <w:rPr>
          <w:rFonts w:ascii="Times New Roman" w:cs="Times New Roman" w:eastAsia="Times New Roman" w:hAnsi="Times New Roman"/>
          <w:sz w:val="18"/>
          <w:szCs w:val="18"/>
          <w:i w:val="1"/>
          <w:iCs w:val="1"/>
          <w:color w:val="auto"/>
        </w:rPr>
        <w:t>(Financial statements)</w:t>
      </w:r>
    </w:p>
    <w:p>
      <w:pPr>
        <w:spacing w:after="0" w:line="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shall:</w:t>
      </w:r>
    </w:p>
    <w:p>
      <w:pPr>
        <w:spacing w:after="0" w:line="207" w:lineRule="exact"/>
        <w:rPr>
          <w:sz w:val="20"/>
          <w:szCs w:val="20"/>
          <w:color w:val="auto"/>
        </w:rPr>
      </w:pPr>
    </w:p>
    <w:p>
      <w:pPr>
        <w:ind w:left="1960" w:hanging="656"/>
        <w:spacing w:after="0"/>
        <w:tabs>
          <w:tab w:leader="none" w:pos="19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prepared in accordance with GAAP;</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true and fair view of (in the case of audited annual financial statements for any financial year), or fairly present (in other cases), the consolidated financial condition and operations of the Group or (as the case may be) the MLP Group or the relevant Obligor, as at the date as at which those financial statements were drawn up; and</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annual audited financial statements, not be the subject of any qualification in the Auditors' opinion.</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procure that each set of financial statements delivered pursuant to clause 19.3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shall be prepared using GAAP, accounting practices and financial reference periods consistent with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in the preparation of the Original Financial Statements, unless, in relation to any set of financial statements, the Borrower notifies the Agent that there has been a change in GAAP or the accounting practices and the Borrower delivers to the Agent:</w:t>
      </w:r>
    </w:p>
    <w:p>
      <w:pPr>
        <w:spacing w:after="0" w:line="18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sufficient information, in form and substance as may be reasonably required by the Agent, to enable the Lenders to determine whether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xml:space="preserve"> has been complied with and to make an accurate comparison between the financial position indicated in those financial statements and the Original Financial Statements.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6"/>
          <w:szCs w:val="16"/>
          <w:b w:val="1"/>
          <w:bCs w:val="1"/>
          <w:color w:val="auto"/>
        </w:rPr>
        <w:t>Year-end</w:t>
      </w:r>
    </w:p>
    <w:p>
      <w:pPr>
        <w:spacing w:after="0" w:line="229" w:lineRule="exact"/>
        <w:rPr>
          <w:sz w:val="20"/>
          <w:szCs w:val="20"/>
          <w:color w:val="auto"/>
        </w:rPr>
      </w:pPr>
    </w:p>
    <w:p>
      <w:pPr>
        <w:ind w:left="1300" w:hanging="644"/>
        <w:spacing w:after="0" w:line="282" w:lineRule="auto"/>
        <w:tabs>
          <w:tab w:leader="none" w:pos="13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each Financial Year-end of each Obligor and each Group Member falls on the Accounting Reference Date.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each accounting period ends on an accounting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supply to the Agent (in sufficient copies for all the Lenders, if the Agent so requests):</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they are dispatched, copies of all material documents dispatched by the Borrower or any other Obligor to its shareholders generally (or any class of them) or dispatched by any Obligor to its creditors generally (or any class of them);</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litigation, arbitration or administrative proceedings (including investigative proceedings) which are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4" w:name="page255"/>
    <w:bookmarkEnd w:id="254"/>
    <w:p>
      <w:pPr>
        <w:ind w:left="1300"/>
        <w:spacing w:after="0" w:line="282" w:lineRule="auto"/>
        <w:rPr>
          <w:sz w:val="20"/>
          <w:szCs w:val="20"/>
          <w:color w:val="auto"/>
        </w:rPr>
      </w:pPr>
      <w:r>
        <w:rPr>
          <w:rFonts w:ascii="Times New Roman" w:cs="Times New Roman" w:eastAsia="Times New Roman" w:hAnsi="Times New Roman"/>
          <w:sz w:val="18"/>
          <w:szCs w:val="18"/>
          <w:color w:val="auto"/>
        </w:rPr>
        <w:t>threatened or pending against any Group Member, and which, if adversely determined, might reasonably be expected to have a Material Adverse Effect;</w:t>
      </w:r>
    </w:p>
    <w:p>
      <w:pPr>
        <w:spacing w:after="0" w:line="162" w:lineRule="exact"/>
        <w:rPr>
          <w:sz w:val="20"/>
          <w:szCs w:val="20"/>
          <w:color w:val="auto"/>
        </w:rPr>
      </w:pPr>
    </w:p>
    <w:p>
      <w:pPr>
        <w:ind w:left="1300" w:right="20" w:hanging="644"/>
        <w:spacing w:after="0" w:line="282"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material claims, investigations or other proceedings relating to Sanctions which are pending against any Group Member;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information as the Agent or the Security Agent may reasonably require about the Charged Property and compliance of the Obligors with the terms of any Security Documents;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on request, such further information regarding the financial condition, assets and operations of the Obligors as any Finance Party through the Agent may reasonably request;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after 30 June and 31 December of each calendar year, monthly statements of each Earnings Account for each calendar month for the six month period ending on such 30 June or (as the case may be) 31 December;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Agent, by no earlier than 31 July of each calendar year, a sustainability report in respect of the Group for the prior calendar year substantially in the form of the report published by the Guarantor in respect of the year 2022 and otherwise in all respects satisfactory to the Majority Lenders,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Obligor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8"/>
          <w:szCs w:val="18"/>
          <w:b w:val="1"/>
          <w:bCs w:val="1"/>
          <w:color w:val="auto"/>
        </w:rPr>
        <w:t>Sufficient copies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Borrower, if so requested by the Agent, shall deliver sufficient copies of each document to be supplied under the Finance Documents to the Agent to distribute to each of the Lenders and the Hedging Providers.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19.10</w:t>
      </w:r>
      <w:r>
        <w:rPr>
          <w:sz w:val="20"/>
          <w:szCs w:val="20"/>
          <w:color w:val="auto"/>
        </w:rPr>
        <w:tab/>
      </w:r>
      <w:r>
        <w:rPr>
          <w:rFonts w:ascii="Times New Roman" w:cs="Times New Roman" w:eastAsia="Times New Roman" w:hAnsi="Times New Roman"/>
          <w:sz w:val="17"/>
          <w:szCs w:val="17"/>
          <w:b w:val="1"/>
          <w:bCs w:val="1"/>
          <w:color w:val="auto"/>
        </w:rPr>
        <w:t>Use of websites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satisfy its obligation under this Agreement to deliver any information in relation to those Lenders (the </w:t>
      </w:r>
      <w:r>
        <w:rPr>
          <w:rFonts w:ascii="Times New Roman" w:cs="Times New Roman" w:eastAsia="Times New Roman" w:hAnsi="Times New Roman"/>
          <w:sz w:val="18"/>
          <w:szCs w:val="18"/>
          <w:b w:val="1"/>
          <w:bCs w:val="1"/>
          <w:color w:val="auto"/>
        </w:rPr>
        <w:t>Website Lenders</w:t>
      </w:r>
      <w:r>
        <w:rPr>
          <w:rFonts w:ascii="Times New Roman" w:cs="Times New Roman" w:eastAsia="Times New Roman" w:hAnsi="Times New Roman"/>
          <w:sz w:val="18"/>
          <w:szCs w:val="18"/>
          <w:color w:val="auto"/>
        </w:rPr>
        <w:t xml:space="preserve">) who accept this method of communication by posting this information onto an electronic website designated by the Borrower and the Agent (the </w:t>
      </w:r>
      <w:r>
        <w:rPr>
          <w:rFonts w:ascii="Times New Roman" w:cs="Times New Roman" w:eastAsia="Times New Roman" w:hAnsi="Times New Roman"/>
          <w:sz w:val="18"/>
          <w:szCs w:val="18"/>
          <w:b w:val="1"/>
          <w:bCs w:val="1"/>
          <w:color w:val="auto"/>
        </w:rPr>
        <w:t>Designated Website</w:t>
      </w:r>
      <w:r>
        <w:rPr>
          <w:rFonts w:ascii="Times New Roman" w:cs="Times New Roman" w:eastAsia="Times New Roman" w:hAnsi="Times New Roman"/>
          <w:sz w:val="18"/>
          <w:szCs w:val="18"/>
          <w:color w:val="auto"/>
        </w:rPr>
        <w:t>) if:</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expressly agrees (after consultation with each of the Lenders) that it will accept communication of the information by this method;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Borrower and the Agent are aware of the address of and any relevant password specifications for the Designated Website;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in a format previously agreed between the Borrower and the Agent.</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If any Lender (a </w:t>
      </w:r>
      <w:r>
        <w:rPr>
          <w:rFonts w:ascii="Times New Roman" w:cs="Times New Roman" w:eastAsia="Times New Roman" w:hAnsi="Times New Roman"/>
          <w:sz w:val="18"/>
          <w:szCs w:val="18"/>
          <w:b w:val="1"/>
          <w:bCs w:val="1"/>
          <w:color w:val="auto"/>
        </w:rPr>
        <w:t>Paper Form Lender</w:t>
      </w:r>
      <w:r>
        <w:rPr>
          <w:rFonts w:ascii="Times New Roman" w:cs="Times New Roman" w:eastAsia="Times New Roman" w:hAnsi="Times New Roman"/>
          <w:sz w:val="18"/>
          <w:szCs w:val="18"/>
          <w:color w:val="auto"/>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copy in paper form of any information required to be provided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5" w:name="page256"/>
    <w:bookmarkEnd w:id="255"/>
    <w:p>
      <w:pPr>
        <w:ind w:left="1300" w:right="20" w:hanging="644"/>
        <w:spacing w:after="0" w:line="282"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supply each Website Lender with the address of and any relevant password specifications for the Designated Website following designation of that website by the Borrower and the Agent.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any of them becoming aware of its occurrence notify the Agent (and the Agent shall notify each Lender) if: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Website cannot be accessed due to technical failure;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password specifications for the Designated Website change;</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information which is required to be provided under this Agreement is posted onto the Designated Website;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information which has been provided under this Agreement and posted onto the Designated Website is amended;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becomes aware that the Designated Website or any information posted onto the Designated Website is or has been infected by any electronic virus or similar software.</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If the Borrower notifies the Agent under paragraphs 19.10(c)(i) or (v)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Website Lender may request, through the Agent, one paper copy of any information required to be provided under this Agreement which is posted onto the Designated Website. The Borrower shall comply with any such request within ten Business Days.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19.11</w:t>
        <w:tab/>
        <w:t>"Know your customer" checks</w:t>
      </w:r>
    </w:p>
    <w:p>
      <w:pPr>
        <w:spacing w:after="0" w:line="229" w:lineRule="exact"/>
        <w:rPr>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made after the date of this Agreement;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an Obligor or the composition of the shareholders of an Obligor (or of a Holding Company of an Obligor) after the date of this Agreement;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by a Lender or a Hedging Provider of any of its rights under this Agreement or any Hedging Contract (as applicable) to a party that is not already a Lender or a Hedging Provider (as applicable) prior to such assignment; or</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and/or regulation to prevent money laundering and corruption, to conduct ongoing monitoring of the business relationship with the Obligors or in relation to necessary “know your customer” or other similar checks as applicable to a Lender or the transactions contemplated in the Finance Documents,</w:t>
      </w:r>
    </w:p>
    <w:p>
      <w:pPr>
        <w:spacing w:after="0" w:line="17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obliges the Agent, the relevant Hedging Provider or any Lender (or, in the case of paragraph (iii) above, any prospective new Lender or the Security Agent) to comply with "know your customer" or similar identification procedures in circumstances where the necessary information is not already available to it, each Obligor shall as soon as reasonably possible after the request of the Agent or any Lender or any Hedging Provider supply, or procure the supply of, such documentation and other evidence as is reasonably requested by the Agent or the Security Agent (for itself or on behalf of any Lender, the Security Agent or any Hedging Provider) or any Lender or any Hedging Provider (for itself or, in the case of the event described in paragraph (iii) above, on behalf of any prospective new Lender or the Security Agent or Hedging Provider) in order for the Agent, the Security Agent or such Lender or any Hedging Provider or, in the case of the event described in</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56" w:name="page257"/>
    <w:bookmarkEnd w:id="256"/>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paragraph (iii) above, any prospective new Lender or Hedging Provider to carry out and be satisfied it has complied with all necessary "know your customer" or other similar checks under all applicable laws and regulations pursuant to the transactions contemplated in the Finance Documents.</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it has complied with all necessary "know your customer" or other similar checks under all applicable laws and regulations pursuant to the transactions contemplated in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19.12</w:t>
      </w:r>
      <w:r>
        <w:rPr>
          <w:sz w:val="20"/>
          <w:szCs w:val="20"/>
          <w:color w:val="auto"/>
        </w:rPr>
        <w:tab/>
      </w:r>
      <w:r>
        <w:rPr>
          <w:rFonts w:ascii="Times New Roman" w:cs="Times New Roman" w:eastAsia="Times New Roman" w:hAnsi="Times New Roman"/>
          <w:sz w:val="17"/>
          <w:szCs w:val="17"/>
          <w:b w:val="1"/>
          <w:bCs w:val="1"/>
          <w:color w:val="auto"/>
        </w:rPr>
        <w:t>Money Laundering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will:</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21.16 (</w:t>
      </w:r>
      <w:r>
        <w:rPr>
          <w:rFonts w:ascii="Times New Roman" w:cs="Times New Roman" w:eastAsia="Times New Roman" w:hAnsi="Times New Roman"/>
          <w:sz w:val="18"/>
          <w:szCs w:val="18"/>
          <w:i w:val="1"/>
          <w:iCs w:val="1"/>
          <w:color w:val="auto"/>
        </w:rPr>
        <w:t>Bribery and corruption</w:t>
      </w:r>
      <w:r>
        <w:rPr>
          <w:rFonts w:ascii="Times New Roman" w:cs="Times New Roman" w:eastAsia="Times New Roman" w:hAnsi="Times New Roman"/>
          <w:sz w:val="18"/>
          <w:szCs w:val="18"/>
          <w:color w:val="auto"/>
        </w:rPr>
        <w:t>)) throughout the Facility Period;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21.16 (</w:t>
      </w:r>
      <w:r>
        <w:rPr>
          <w:rFonts w:ascii="Times New Roman" w:cs="Times New Roman" w:eastAsia="Times New Roman" w:hAnsi="Times New Roman"/>
          <w:sz w:val="18"/>
          <w:szCs w:val="18"/>
          <w:i w:val="1"/>
          <w:iCs w:val="1"/>
          <w:color w:val="auto"/>
        </w:rPr>
        <w:t>Bribery and corruption</w:t>
      </w:r>
      <w:r>
        <w:rPr>
          <w:rFonts w:ascii="Times New Roman" w:cs="Times New Roman" w:eastAsia="Times New Roman" w:hAnsi="Times New Roman"/>
          <w:sz w:val="18"/>
          <w:szCs w:val="18"/>
          <w:color w:val="auto"/>
        </w:rPr>
        <w:t>) may or is about to occur or that the person(s) who have or will receive the commercial benefit of this Agreement have changed from the date hereof.</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19.13</w:t>
      </w:r>
      <w:r>
        <w:rPr>
          <w:sz w:val="20"/>
          <w:szCs w:val="20"/>
          <w:color w:val="auto"/>
        </w:rPr>
        <w:tab/>
      </w:r>
      <w:r>
        <w:rPr>
          <w:rFonts w:ascii="Times New Roman" w:cs="Times New Roman" w:eastAsia="Times New Roman" w:hAnsi="Times New Roman"/>
          <w:sz w:val="17"/>
          <w:szCs w:val="17"/>
          <w:b w:val="1"/>
          <w:bCs w:val="1"/>
          <w:color w:val="auto"/>
        </w:rPr>
        <w:t>Notice of shareholding and governance changes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notify the Agent (and the Agent shall notify each Lender) of the following events, as soon as reasonably practicable after any of the same occurs (always provided that such notification by the Obligor would not contravene any law, regulation or a court order applicable to it):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any shares in the Borrower, whether made between shareholders of the Borrower or between any shareholder of the Borrower and any new shareholder, together with any details of the same which are available to the Borrower (but excluding any transfers between the Rolling Shareholders and/or GEPIF III Crown Bidco L.P or any of them, which, whether under a single transaction or a series of transactions, relate to less than 5% in aggregate of the total issued voting share capital of the Borrower per calendar year for all such transfers, which the Obligors may elect to so notify only at the end of that calendar year);</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or change of, to or relating to, the percentages of shareholding in the Borrower of any shareholder, together with any details of the same which are available to the Borrower (but excluding any variations or changes to the percentages of the Rolling Shareholders and/or GEPIF III Crown Bidco L.P or any of them, which, whether under a single transaction or a series of transactions, relate to less than 5% in aggregate of the total issued voting share capital of the Borrower per calendar year for all such variations and changes, which the Obligors may elect to so notify only at the end of that calendar year);</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or change of, to or relating to, any of the shareholders of the Borrower (including any of the legal and/or ultimate beneficial owners of such shareholders, other than those of GEPIF III Crown Bidco L.P), or the change of the identity of any of them, or the change of the manager of GEPIF III Crown Bidco L.P if the new manager is a person which is not a BlackRock fund manager, together with any details and information about any such new shareholders, owners, managers and their identity which are available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7" w:name="page258"/>
    <w:bookmarkEnd w:id="257"/>
    <w:p>
      <w:pPr>
        <w:jc w:val="both"/>
        <w:ind w:left="1960" w:hanging="656"/>
        <w:spacing w:after="0" w:line="261" w:lineRule="auto"/>
        <w:tabs>
          <w:tab w:leader="none" w:pos="1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or change of, to or relating to, any right or entitlement of any shareholder of the Borrower to appoint any number of directors on the board of directors of the Borrower (including the ability to appoint the majority of the board of directors), including by comparison to such rights and entitlements available to such shareholder on the date of this Agreement;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or change of, to or relating to, any right or entitlement of any shareholder of the Borrower to approve any action of the Borrower or any decision of the board of directors of the Borrower (including the matters referred to in the final proviso of Section 2.04(c) and set out in Annex A of the Shareholders Agreement), including by comparison to such rights and entitlement available to such shareholder on the date of this Agreement; and/or</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or change of, to or relating to, any other provision of the Shareholders Agreement if that variation or change is material,</w:t>
      </w:r>
    </w:p>
    <w:p>
      <w:pPr>
        <w:spacing w:after="0" w:line="16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whether or not any such change or variation occurs by operation of the provisions of the Shareholders Agreement, by any other contract or agreement, or otherwise, and irrespective of whether the same constitutes a Change of Control. This clause 19.13 is without prejudice to the rights of the Finance Parties under clause 7.2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of this Agreement or any other provisions of this Agreement relating to any Change of Control in respect of the Borrower (including the obligation of the Obligors thereunder to notify the Agent of any Change of Control at the time required therein).</w:t>
      </w:r>
    </w:p>
    <w:p>
      <w:pPr>
        <w:spacing w:after="0" w:line="187" w:lineRule="exact"/>
        <w:rPr>
          <w:sz w:val="20"/>
          <w:szCs w:val="20"/>
          <w:color w:val="auto"/>
        </w:rPr>
      </w:pPr>
    </w:p>
    <w:p>
      <w:pPr>
        <w:jc w:val="both"/>
        <w:ind w:left="1300" w:hanging="644"/>
        <w:spacing w:after="0" w:line="256" w:lineRule="auto"/>
        <w:tabs>
          <w:tab w:leader="none" w:pos="13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19.13(a) above, the Obligors shall notify the Agent (and the Agent shall notify each Lender) of any of the above changes or variations before it is effected, if the Obligors are aware of the same and any such proposed change or variation will or might reasonably be expected to constitute a Change of Control. In such circumstances, such notice shall be given in good time (having regard to practical and reasonable considerations for all Parties) before any such proposed change or variation is effected in order for the Lenders to be able to consider it and consult with the Obligors on the subject.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 written request from the Agent, the Obligors shall:</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Agent (and the Agent shall notify each Lender) of the names and identity of all the shareholders of the Borrower (including legal and ultimate beneficial owners of such shareholders), the percentages of shareholding of each one of them in the Borrower, their right to appoint members of the board of directors (including the majority of the board of directors) of the Borrower, their right to approve any action of the Borrower or any decision of the board of directors of the Borrower (including the matters referred to in the final proviso of Section 2.04(c) and set out in Annex A of the Shareholders Agreement); and</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deliver to the Agent (for the account of each Lender) any other material information about the Shareholders Agreement as the Agent (acting on the instructions of the Majority Lenders may reasonably require) and a copy of such Shareholders Agreement together with any amendments or supplements thereto from time to time and any other related documentation that supports the Obligors’ response to any such requests (except for information or documentation the disclosure of which by an Obligor is contrary to any law or regulation or a court order applicable to that Obligor).</w:t>
      </w:r>
    </w:p>
    <w:p>
      <w:pPr>
        <w:spacing w:after="0" w:line="183" w:lineRule="exact"/>
        <w:rPr>
          <w:sz w:val="20"/>
          <w:szCs w:val="20"/>
          <w:color w:val="auto"/>
        </w:rPr>
      </w:pPr>
    </w:p>
    <w:p>
      <w:pPr>
        <w:ind w:right="7480" w:firstLine="8"/>
        <w:spacing w:after="0" w:line="503" w:lineRule="auto"/>
        <w:tabs>
          <w:tab w:leader="none" w:pos="648"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covenants 20.1 Undertaking to comply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who is a Party undertakes that this clause 20 will be complied with throughout the Facility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8" w:name="page259"/>
    <w:bookmarkEnd w:id="25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b w:val="1"/>
          <w:bCs w:val="1"/>
          <w:color w:val="auto"/>
        </w:rPr>
        <w:t>Financial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clause 20: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Debt Service </w:t>
      </w:r>
      <w:r>
        <w:rPr>
          <w:rFonts w:ascii="Times New Roman" w:cs="Times New Roman" w:eastAsia="Times New Roman" w:hAnsi="Times New Roman"/>
          <w:sz w:val="18"/>
          <w:szCs w:val="18"/>
          <w:color w:val="auto"/>
        </w:rPr>
        <w:t>means, in respect of any financial period, the sum to be the aggregate of:</w:t>
      </w:r>
    </w:p>
    <w:p>
      <w:pPr>
        <w:spacing w:after="0" w:line="229" w:lineRule="exact"/>
        <w:rPr>
          <w:sz w:val="20"/>
          <w:szCs w:val="20"/>
          <w:color w:val="auto"/>
        </w:rPr>
      </w:pPr>
    </w:p>
    <w:p>
      <w:pPr>
        <w:ind w:left="1300" w:hanging="644"/>
        <w:spacing w:after="0"/>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amounts of principal;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amounts of interest thereon;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amounts in excess of $30,000,000 per such financial period payable as non- recurring or upfront fees, cost and expenses in connection with the Group’s Financial Indebtedness,</w:t>
      </w:r>
    </w:p>
    <w:p>
      <w:pPr>
        <w:spacing w:after="0" w:line="158"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 xml:space="preserve">which in each case fell due and was paid by the Borrower and its Subsidiaries in such period in </w:t>
      </w:r>
      <w:r>
        <w:rPr>
          <w:rFonts w:ascii="Times New Roman" w:cs="Times New Roman" w:eastAsia="Times New Roman" w:hAnsi="Times New Roman"/>
          <w:sz w:val="18"/>
          <w:szCs w:val="18"/>
          <w:b w:val="1"/>
          <w:bCs w:val="1"/>
          <w:color w:val="auto"/>
        </w:rPr>
        <w:t>respect</w:t>
      </w:r>
      <w:r>
        <w:rPr>
          <w:rFonts w:ascii="Times New Roman" w:cs="Times New Roman" w:eastAsia="Times New Roman" w:hAnsi="Times New Roman"/>
          <w:sz w:val="18"/>
          <w:szCs w:val="18"/>
          <w:color w:val="auto"/>
        </w:rPr>
        <w:t xml:space="preserve"> of Group Total Indebtedness, as shown in the then most recent Group Financial Statements relevant to such period.</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means, in respect of any period, the consolidated profit on ordinary activities of the Group before taxation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but:</w:t>
      </w:r>
    </w:p>
    <w:p>
      <w:pPr>
        <w:spacing w:after="0" w:line="159" w:lineRule="exact"/>
        <w:rPr>
          <w:sz w:val="20"/>
          <w:szCs w:val="20"/>
          <w:color w:val="auto"/>
        </w:rPr>
      </w:pPr>
    </w:p>
    <w:p>
      <w:pPr>
        <w:ind w:left="1300" w:hanging="644"/>
        <w:spacing w:after="0" w:line="282" w:lineRule="auto"/>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exclude Interest Receivable and Interest Payable and other similar income or costs to the extent not already excluded;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exclude any gain or loss realised on the disposal of fixed assets (whether tangible or intangible);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adding back depreciation and amortisation charged which relates to such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exclude any exceptional or extraordinary costs or income;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deducting any profit arising out of the release of any provisions against a liability or charge and adding back any provision relating to long term assets or contracts,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shown in the then most recent Group Financial Statements relevant to such period.</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Group Cash and Cash Equivalents </w:t>
      </w:r>
      <w:r>
        <w:rPr>
          <w:rFonts w:ascii="Times New Roman" w:cs="Times New Roman" w:eastAsia="Times New Roman" w:hAnsi="Times New Roman"/>
          <w:sz w:val="18"/>
          <w:szCs w:val="18"/>
          <w:color w:val="auto"/>
        </w:rPr>
        <w:t>means (a) cash and cash equivalents and (b) short term investments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Financial Statements and determined in accordance with GAAP but excluding, for the avoidance of doubt, in each case cash and other amounts set forth as “restricted cash” in the Group Financial Statements and any undrawn part of the Facility.</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Current Portion of Loans </w:t>
      </w:r>
      <w:r>
        <w:rPr>
          <w:rFonts w:ascii="Times New Roman" w:cs="Times New Roman" w:eastAsia="Times New Roman" w:hAnsi="Times New Roman"/>
          <w:sz w:val="18"/>
          <w:szCs w:val="18"/>
          <w:color w:val="auto"/>
        </w:rPr>
        <w:t>means, at any time, the “Borrowings, current portion” and “Lease Liability, current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Group as shown in the then most recent Group Financial Statements.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Current Assets </w:t>
      </w:r>
      <w:r>
        <w:rPr>
          <w:rFonts w:ascii="Times New Roman" w:cs="Times New Roman" w:eastAsia="Times New Roman" w:hAnsi="Times New Roman"/>
          <w:sz w:val="18"/>
          <w:szCs w:val="18"/>
          <w:color w:val="auto"/>
        </w:rPr>
        <w:t>means, at any time, “Current Assets” of the Group as shown in the then most recent Group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Current Liabilities </w:t>
      </w:r>
      <w:r>
        <w:rPr>
          <w:rFonts w:ascii="Times New Roman" w:cs="Times New Roman" w:eastAsia="Times New Roman" w:hAnsi="Times New Roman"/>
          <w:sz w:val="18"/>
          <w:szCs w:val="18"/>
          <w:color w:val="auto"/>
        </w:rPr>
        <w:t>means, at any time, the “Current Liabilities” of the Group as shown in the Group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Financial Statements </w:t>
      </w:r>
      <w:r>
        <w:rPr>
          <w:rFonts w:ascii="Times New Roman" w:cs="Times New Roman" w:eastAsia="Times New Roman" w:hAnsi="Times New Roman"/>
          <w:sz w:val="18"/>
          <w:szCs w:val="18"/>
          <w:color w:val="auto"/>
        </w:rPr>
        <w:t>means any of the Annual Financial Statements and the Semi- Annual Financial Statements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referred to and defined as such in clause 19.3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Group Market Adjusted Net Worth </w:t>
      </w:r>
      <w:r>
        <w:rPr>
          <w:rFonts w:ascii="Times New Roman" w:cs="Times New Roman" w:eastAsia="Times New Roman" w:hAnsi="Times New Roman"/>
          <w:sz w:val="18"/>
          <w:szCs w:val="18"/>
          <w:color w:val="auto"/>
        </w:rPr>
        <w:t>means, at any time, Group Total Market Adjusted Assets less Group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9" w:name="page260"/>
    <w:bookmarkEnd w:id="25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Group Maximum Leverage </w:t>
      </w:r>
      <w:r>
        <w:rPr>
          <w:rFonts w:ascii="Times New Roman" w:cs="Times New Roman" w:eastAsia="Times New Roman" w:hAnsi="Times New Roman"/>
          <w:sz w:val="18"/>
          <w:szCs w:val="18"/>
          <w:color w:val="auto"/>
        </w:rPr>
        <w:t>means, at any time, the figure calculated using the following formula:</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Group Maximum Leverage =</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Group Total Indebtedness</w:t>
            </w:r>
          </w:p>
        </w:tc>
        <w:tc>
          <w:tcPr>
            <w:tcW w:w="0" w:type="dxa"/>
            <w:vAlign w:val="bottom"/>
          </w:tcPr>
          <w:p>
            <w:pPr>
              <w:spacing w:after="0"/>
              <w:rPr>
                <w:sz w:val="1"/>
                <w:szCs w:val="1"/>
                <w:color w:val="auto"/>
              </w:rPr>
            </w:pPr>
          </w:p>
        </w:tc>
      </w:tr>
      <w:tr>
        <w:trPr>
          <w:trHeight w:val="88"/>
        </w:trPr>
        <w:tc>
          <w:tcPr>
            <w:tcW w:w="2800" w:type="dxa"/>
            <w:vAlign w:val="bottom"/>
            <w:vMerge w:val="continue"/>
          </w:tcPr>
          <w:p>
            <w:pPr>
              <w:spacing w:after="0"/>
              <w:rPr>
                <w:sz w:val="7"/>
                <w:szCs w:val="7"/>
                <w:color w:val="auto"/>
              </w:rPr>
            </w:pPr>
          </w:p>
        </w:tc>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Group Total Assets</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Group Total Assets </w:t>
      </w:r>
      <w:r>
        <w:rPr>
          <w:rFonts w:ascii="Times New Roman" w:cs="Times New Roman" w:eastAsia="Times New Roman" w:hAnsi="Times New Roman"/>
          <w:sz w:val="18"/>
          <w:szCs w:val="18"/>
          <w:color w:val="auto"/>
        </w:rPr>
        <w:t>means, at any time, the amount of total assets of the Group on a consolidated basis as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GAAP and shown in the then most recent Group Financial Statements and calculated in the same manner as shown in the Original Financial Statements of the Group.</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Total Indebtedness </w:t>
      </w:r>
      <w:r>
        <w:rPr>
          <w:rFonts w:ascii="Times New Roman" w:cs="Times New Roman" w:eastAsia="Times New Roman" w:hAnsi="Times New Roman"/>
          <w:sz w:val="18"/>
          <w:szCs w:val="18"/>
          <w:color w:val="auto"/>
        </w:rPr>
        <w:t>means, at any time, the aggregate Financial Indebtedness (on a consolidated basis) of the Group,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shown in the then most recent Group Financial Statements.</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Group Total Market Adjusted Assets </w:t>
      </w:r>
      <w:r>
        <w:rPr>
          <w:rFonts w:ascii="Times New Roman" w:cs="Times New Roman" w:eastAsia="Times New Roman" w:hAnsi="Times New Roman"/>
          <w:sz w:val="18"/>
          <w:szCs w:val="18"/>
          <w:color w:val="auto"/>
        </w:rPr>
        <w:t>means, at any time, the Group Total Assets adjusted upwards or downwards, as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to reflect any difference between the book value of Fleet Vessels and mean valuations of such Fleet Vessels provided to the Agent under clause</w:t>
      </w:r>
    </w:p>
    <w:p>
      <w:pPr>
        <w:jc w:val="both"/>
        <w:ind w:left="660" w:right="20"/>
        <w:spacing w:after="0" w:line="260" w:lineRule="auto"/>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i w:val="1"/>
          <w:iCs w:val="1"/>
          <w:color w:val="auto"/>
        </w:rPr>
        <w:t>Provision and contents of Compliance Certificate and valuations</w:t>
      </w:r>
      <w:r>
        <w:rPr>
          <w:rFonts w:ascii="Times New Roman" w:cs="Times New Roman" w:eastAsia="Times New Roman" w:hAnsi="Times New Roman"/>
          <w:sz w:val="18"/>
          <w:szCs w:val="18"/>
          <w:color w:val="auto"/>
        </w:rPr>
        <w:t>) and made in accordance with the provisions of such clause.</w:t>
      </w:r>
    </w:p>
    <w:p>
      <w:pPr>
        <w:spacing w:after="0" w:line="177"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means, in respect of any specified Financial Indebtedness, all continuing regular or periodic costs, charges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effecting, servicing or maintaining such Financial Indebtedness including:</w:t>
      </w:r>
    </w:p>
    <w:p>
      <w:pPr>
        <w:spacing w:after="0" w:line="159" w:lineRule="exact"/>
        <w:rPr>
          <w:sz w:val="20"/>
          <w:szCs w:val="20"/>
          <w:color w:val="auto"/>
        </w:rPr>
      </w:pPr>
    </w:p>
    <w:p>
      <w:pPr>
        <w:jc w:val="both"/>
        <w:ind w:left="1300" w:right="20" w:hanging="644"/>
        <w:spacing w:after="0" w:line="266" w:lineRule="auto"/>
        <w:tabs>
          <w:tab w:leader="none" w:pos="130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interest, commitment fees, financing premia or other financial charges, discount and acceptance fees and administration and guarantee fees and fronting and ancillary facility fees payable or incurred on any form of such Financial Indebtedness;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 fees or other up front fees.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Interest Payable </w:t>
      </w:r>
      <w:r>
        <w:rPr>
          <w:rFonts w:ascii="Times New Roman" w:cs="Times New Roman" w:eastAsia="Times New Roman" w:hAnsi="Times New Roman"/>
          <w:sz w:val="18"/>
          <w:szCs w:val="18"/>
          <w:color w:val="auto"/>
        </w:rPr>
        <w:t>means, in respect of any period, the aggregate (calculated on a consolidated basis) of:</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shown in the then most recent Group Financial Statements relevant to such period.</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Receivable </w:t>
      </w:r>
      <w:r>
        <w:rPr>
          <w:rFonts w:ascii="Times New Roman" w:cs="Times New Roman" w:eastAsia="Times New Roman" w:hAnsi="Times New Roman"/>
          <w:sz w:val="18"/>
          <w:szCs w:val="18"/>
          <w:color w:val="auto"/>
        </w:rPr>
        <w:t>means, in respect of any period, the amount of Interest accrued on cash balances of the Group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of interest accrued on the Accounts, to the extent that the account holder is entitled to receive such interest) during such period, as shown in the then most recent Group Financial Statements relevant to such period.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Group financial condition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ensure that at all times throughout the Facility Period:</w:t>
      </w:r>
    </w:p>
    <w:p>
      <w:pPr>
        <w:spacing w:after="0" w:line="221" w:lineRule="exact"/>
        <w:rPr>
          <w:sz w:val="20"/>
          <w:szCs w:val="20"/>
          <w:color w:val="auto"/>
        </w:rPr>
      </w:pPr>
    </w:p>
    <w:p>
      <w:pPr>
        <w:ind w:left="1300" w:hanging="644"/>
        <w:spacing w:after="0"/>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Group Net Worth</w:t>
      </w:r>
      <w:r>
        <w:rPr>
          <w:rFonts w:ascii="Times New Roman" w:cs="Times New Roman" w:eastAsia="Times New Roman" w:hAnsi="Times New Roman"/>
          <w:sz w:val="18"/>
          <w:szCs w:val="18"/>
          <w:color w:val="auto"/>
        </w:rPr>
        <w:t>: Group Market Adjusted Net Worth shall be not less than $350,000,000;</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Group current ratio</w:t>
      </w:r>
      <w:r>
        <w:rPr>
          <w:rFonts w:ascii="Times New Roman" w:cs="Times New Roman" w:eastAsia="Times New Roman" w:hAnsi="Times New Roman"/>
          <w:sz w:val="18"/>
          <w:szCs w:val="18"/>
          <w:color w:val="auto"/>
        </w:rPr>
        <w:t>: Group Current Assets shall be greater than or equal to Group Current Liabilities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Current Portion of Loans);</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Group debt service cover</w:t>
      </w:r>
      <w:r>
        <w:rPr>
          <w:rFonts w:ascii="Times New Roman" w:cs="Times New Roman" w:eastAsia="Times New Roman" w:hAnsi="Times New Roman"/>
          <w:sz w:val="18"/>
          <w:szCs w:val="18"/>
          <w:color w:val="auto"/>
        </w:rPr>
        <w:t>: as at the end of each period for which Group Financial Statements are delivered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on a trailing four quarter basis, the ratio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0" w:name="page261"/>
    <w:bookmarkEnd w:id="260"/>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EBITDA to Debt Service shall be no less than 1.10:1, provided always that such ratio shall be regarded as having been complied with if at the relevant time when such ratio is being tested the Group Cash and Cash Equivalents is $110,000,000 or higher;</w:t>
      </w:r>
    </w:p>
    <w:p>
      <w:pPr>
        <w:spacing w:after="0" w:line="172" w:lineRule="exact"/>
        <w:rPr>
          <w:sz w:val="20"/>
          <w:szCs w:val="20"/>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Group leverage: </w:t>
      </w:r>
      <w:r>
        <w:rPr>
          <w:rFonts w:ascii="Times New Roman" w:cs="Times New Roman" w:eastAsia="Times New Roman" w:hAnsi="Times New Roman"/>
          <w:sz w:val="18"/>
          <w:szCs w:val="18"/>
          <w:color w:val="auto"/>
        </w:rPr>
        <w:t>Group Maximum Leverage shall be less than 75%;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Group Cash and Cash Equivalents</w:t>
      </w:r>
      <w:r>
        <w:rPr>
          <w:rFonts w:ascii="Times New Roman" w:cs="Times New Roman" w:eastAsia="Times New Roman" w:hAnsi="Times New Roman"/>
          <w:sz w:val="18"/>
          <w:szCs w:val="18"/>
          <w:color w:val="auto"/>
        </w:rPr>
        <w:t>: Group Cash and Cash Equivalents shall be at least $75,000,000.</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Group financial testing</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financial covenants set out in clause 20.3 (</w:t>
      </w:r>
      <w:r>
        <w:rPr>
          <w:rFonts w:ascii="Times New Roman" w:cs="Times New Roman" w:eastAsia="Times New Roman" w:hAnsi="Times New Roman"/>
          <w:sz w:val="18"/>
          <w:szCs w:val="18"/>
          <w:i w:val="1"/>
          <w:iCs w:val="1"/>
          <w:color w:val="auto"/>
        </w:rPr>
        <w:t>Group financial condition</w:t>
      </w:r>
      <w:r>
        <w:rPr>
          <w:rFonts w:ascii="Times New Roman" w:cs="Times New Roman" w:eastAsia="Times New Roman" w:hAnsi="Times New Roman"/>
          <w:sz w:val="18"/>
          <w:szCs w:val="18"/>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19.4 (</w:t>
      </w:r>
      <w:r>
        <w:rPr>
          <w:rFonts w:ascii="Times New Roman" w:cs="Times New Roman" w:eastAsia="Times New Roman" w:hAnsi="Times New Roman"/>
          <w:sz w:val="18"/>
          <w:szCs w:val="18"/>
          <w:i w:val="1"/>
          <w:iCs w:val="1"/>
          <w:color w:val="auto"/>
        </w:rPr>
        <w:t>Provision and contents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Certificate and valuations</w:t>
      </w:r>
      <w:r>
        <w:rPr>
          <w:rFonts w:ascii="Times New Roman" w:cs="Times New Roman" w:eastAsia="Times New Roman" w:hAnsi="Times New Roman"/>
          <w:sz w:val="18"/>
          <w:szCs w:val="18"/>
          <w:color w:val="auto"/>
        </w:rPr>
        <w:t>) together with such statements.</w:t>
      </w:r>
    </w:p>
    <w:p>
      <w:pPr>
        <w:spacing w:after="0" w:line="178" w:lineRule="exact"/>
        <w:rPr>
          <w:sz w:val="20"/>
          <w:szCs w:val="20"/>
          <w:color w:val="auto"/>
        </w:rPr>
      </w:pPr>
    </w:p>
    <w:p>
      <w:pPr>
        <w:ind w:right="7480" w:firstLine="8"/>
        <w:spacing w:after="0" w:line="503" w:lineRule="auto"/>
        <w:tabs>
          <w:tab w:leader="none" w:pos="648"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 21.1 Undertaking to comply</w:t>
      </w:r>
    </w:p>
    <w:p>
      <w:pPr>
        <w:jc w:val="both"/>
        <w:ind w:left="1300" w:hanging="644"/>
        <w:spacing w:after="0" w:line="266" w:lineRule="auto"/>
        <w:tabs>
          <w:tab w:leader="none" w:pos="130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who is a Party undertakes that this clause 21 will be complied with by and in respect of each Obligor and, where a provision expressly refers to Group Members, each other Group Member, throughout the Facility Period subject to paragraph (b) below).</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 above, the undertakings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insofar as they relate to Sanctions not imposed by Germany, the European Union or the United Nations are not given in favour of any Finance Party established under the laws of Germany and/or with a Facility Office in Germany or to any other Finance Party that notifies the Agent accordingly, if and to the extent that the giving of, and compliance with, such undertakings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Use of proceeds</w:t>
      </w:r>
    </w:p>
    <w:p>
      <w:pPr>
        <w:spacing w:after="0" w:line="229" w:lineRule="exact"/>
        <w:rPr>
          <w:sz w:val="20"/>
          <w:szCs w:val="20"/>
          <w:color w:val="auto"/>
        </w:rPr>
      </w:pPr>
    </w:p>
    <w:p>
      <w:pPr>
        <w:ind w:left="660" w:right="2380"/>
        <w:spacing w:after="0" w:line="282" w:lineRule="auto"/>
        <w:rPr>
          <w:sz w:val="20"/>
          <w:szCs w:val="20"/>
          <w:color w:val="auto"/>
        </w:rPr>
      </w:pPr>
      <w:r>
        <w:rPr>
          <w:rFonts w:ascii="Times New Roman" w:cs="Times New Roman" w:eastAsia="Times New Roman" w:hAnsi="Times New Roman"/>
          <w:sz w:val="18"/>
          <w:szCs w:val="18"/>
          <w:color w:val="auto"/>
        </w:rPr>
        <w:t xml:space="preserve">The proceeds of each Utilisation shall be used exclusively for the purposes specified in clause 3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Obligor shall promptly (and in connection with any Finance Document, as soon as such Finance Document is entered into):</w:t>
      </w:r>
    </w:p>
    <w:p>
      <w:pPr>
        <w:spacing w:after="0" w:line="162" w:lineRule="exact"/>
        <w:rPr>
          <w:sz w:val="20"/>
          <w:szCs w:val="20"/>
          <w:color w:val="auto"/>
        </w:rPr>
      </w:pPr>
    </w:p>
    <w:p>
      <w:pPr>
        <w:ind w:left="1300" w:hanging="644"/>
        <w:spacing w:after="0"/>
        <w:tabs>
          <w:tab w:leader="none" w:pos="13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certified copies to the Agent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Authorisation required under any law or regulation of a Relevant Jurisdiction to:</w:t>
      </w:r>
    </w:p>
    <w:p>
      <w:pPr>
        <w:spacing w:after="0" w:line="225" w:lineRule="exact"/>
        <w:rPr>
          <w:sz w:val="20"/>
          <w:szCs w:val="20"/>
          <w:color w:val="auto"/>
        </w:rPr>
      </w:pPr>
    </w:p>
    <w:p>
      <w:pPr>
        <w:ind w:left="1960" w:hanging="656"/>
        <w:spacing w:after="0"/>
        <w:tabs>
          <w:tab w:leader="none" w:pos="1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perform its obligations under the Transaction Documents;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of any Transaction Document;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its business where failure to do so has, or might be reasonably expected to have, a Material Adverse Effect.</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61" w:name="page262"/>
    <w:bookmarkEnd w:id="26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Obligor shall comply in all respects with all laws and regulations (including Environmental Laws) to which it may be subject, where failure to do so has, or might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Anti-corruption law</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shall ensure that no other Group Member will) directly or indirectly use the proceeds of the Facility for any purpose which would breach the Bribery Act 2010, the United States Foreign Corrupt Practices Act of 1977 or other similar legislation in other applicable jurisdictions.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(and shall ensure that each other Group Member will):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with applicable anti-corruption laws;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and procedures designed to promote and achieve compliance with such laws.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Tax compliance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(and shall ensure that each other Group Member will) pay and discharge all Taxes imposed upon it or its assets within the time period as may be allowed by law without incurring penalties unless and only to the extent that: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being contested in good faith;</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adequate reserves are being maintained for those Taxes and the costs required to contest them which have been disclosed in its latest financial statements delivered to the Agent under clause 19.3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can be lawfully withheld.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Change of business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Except as approved by the Majority Lenders or as otherwise permitted by the terms of this Agreement, no material change will be made to the general nature of the business of any of the Obligors or the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taken as a whole.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Except as approved by the Majority Lenders, no Obligor shall enter into any amalgamation, demerger, merger, consolidation, redomiciliation, legal migration or corporate reconstruction, other than an amalgamation, merger or consolidation of an Obligor (other than an Owner) with a person other than a Group Member where that Obligor (other than an Owner) is the surviving entity of the same.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8"/>
          <w:szCs w:val="18"/>
          <w:b w:val="1"/>
          <w:bCs w:val="1"/>
          <w:color w:val="auto"/>
        </w:rPr>
        <w:t>Further assurance</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promptly do all such acts or execute all such documents (including assignments, transfers, mortgages, charges, notices and instructions) as the Agent may reasonably specify (and in such form as the Agent or the Security Agent may reasonably</w:t>
      </w: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262" w:name="page263"/>
    <w:bookmarkEnd w:id="262"/>
    <w:p>
      <w:pPr>
        <w:ind w:left="1300"/>
        <w:spacing w:after="0" w:line="282" w:lineRule="auto"/>
        <w:rPr>
          <w:sz w:val="20"/>
          <w:szCs w:val="20"/>
          <w:color w:val="auto"/>
        </w:rPr>
      </w:pPr>
      <w:r>
        <w:rPr>
          <w:rFonts w:ascii="Times New Roman" w:cs="Times New Roman" w:eastAsia="Times New Roman" w:hAnsi="Times New Roman"/>
          <w:sz w:val="18"/>
          <w:szCs w:val="18"/>
          <w:color w:val="auto"/>
        </w:rPr>
        <w:t>require acting on the instructions of the Majority Lenders) in favour of the Security Agent or its nominee(s)) as provided under each Finance Document, as applicable:</w:t>
      </w:r>
    </w:p>
    <w:p>
      <w:pPr>
        <w:spacing w:after="0" w:line="162" w:lineRule="exact"/>
        <w:rPr>
          <w:sz w:val="20"/>
          <w:szCs w:val="20"/>
          <w:color w:val="auto"/>
        </w:rPr>
      </w:pPr>
    </w:p>
    <w:p>
      <w:pPr>
        <w:jc w:val="both"/>
        <w:ind w:left="1960" w:hanging="656"/>
        <w:spacing w:after="0" w:line="256"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and/or any other Finance Party provided by or pursuant to the Finance Documents or by law;</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realisation of the assets which are, or are intended to be, the subject of the Security Documents; and/or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facilitate the accession by a New Lender to any Security Document following an assignment in accordance with clause 32.1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ssignments by the Lenders)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take all such action as is available to it (including making all filings and registrations) as may be necessary for the purpose of the creation, perfection, protection or maintenance of any Security Interest (or its priority) conferred or intended to be conferred on the Security Agent and/or any other Finance Parties by or pursuant to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21.10</w:t>
      </w:r>
      <w:r>
        <w:rPr>
          <w:sz w:val="20"/>
          <w:szCs w:val="20"/>
          <w:color w:val="auto"/>
        </w:rPr>
        <w:tab/>
      </w:r>
      <w:r>
        <w:rPr>
          <w:rFonts w:ascii="Times New Roman" w:cs="Times New Roman" w:eastAsia="Times New Roman" w:hAnsi="Times New Roman"/>
          <w:sz w:val="17"/>
          <w:szCs w:val="17"/>
          <w:b w:val="1"/>
          <w:bCs w:val="1"/>
          <w:color w:val="auto"/>
        </w:rPr>
        <w:t>Negative pledge in respect of Charged Property</w:t>
      </w:r>
    </w:p>
    <w:p>
      <w:pPr>
        <w:spacing w:after="0" w:line="229" w:lineRule="exact"/>
        <w:rPr>
          <w:sz w:val="20"/>
          <w:szCs w:val="20"/>
          <w:color w:val="auto"/>
        </w:rPr>
      </w:pPr>
    </w:p>
    <w:p>
      <w:pPr>
        <w:ind w:left="1300" w:hanging="644"/>
        <w:spacing w:after="0" w:line="282" w:lineRule="auto"/>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Security Interests or as otherwise approved by the Majority Lenders, no Obligor will grant or allow to exist any Security Interest over any Charged Property.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will grant or allow to exist any Security Interest over any of the shares in any of the Owners or over any of the rights deriving from or related to such shares.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will procure that all of the shares and membership interests of or in all of the Obligors will be in registered form (and not in bearer form) at all times.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21.11</w:t>
      </w:r>
      <w:r>
        <w:rPr>
          <w:sz w:val="20"/>
          <w:szCs w:val="20"/>
          <w:color w:val="auto"/>
        </w:rPr>
        <w:tab/>
      </w:r>
      <w:r>
        <w:rPr>
          <w:rFonts w:ascii="Times New Roman" w:cs="Times New Roman" w:eastAsia="Times New Roman" w:hAnsi="Times New Roman"/>
          <w:sz w:val="17"/>
          <w:szCs w:val="17"/>
          <w:b w:val="1"/>
          <w:bCs w:val="1"/>
          <w:color w:val="auto"/>
        </w:rPr>
        <w:t>Environmental matters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will notify the Agent, as soon as reasonably practicable upon becoming aware of the same, of any Environmental Claim being made against any Group Member or any Fleet Vessel or the owner of any Fleet Vessel or any Manager which, if successful to any extent, has or is reasonably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21.12</w:t>
        <w:tab/>
        <w:t>Pari Passu</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263" w:name="page264"/>
    <w:bookmarkEnd w:id="263"/>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any of its shareholders or other Affiliates shall be in all respects subordinated in ranking and priority of payment to all amounts owing to the Finance Parties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21.13</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other Group Member will, directly or indirectly, make any proceeds of the Loans available to, or for the benefit of, a Prohibited Person or permit or authorise any such proceeds to be applied in a manner or for a purpose prohibited by Sanctions or which would put any Finance Party in breach of any Sanctions.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will procure that none of the Obligors nor any of the Group Members nor any of their directors or officers will:</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Prohibited Person;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or the target of any action by any regulatory or enforcement authority or third party in relation to any Sanctions of any Sanctions Authority;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 provided that such charterer is not designated by OFAC as a “Specially Designated National”);</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or control, directly or indirectly, a Prohibited Person;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breach of Sanctions.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shall use reasonable endeavours to ensure compliance with, all Sanctions (including obtaining any applicable consents, authorisations or licenses) in respect to a Mortgaged Ship;</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cause or permit any Mortgaged Ship to be operated by a charterer who is a Prohibited Person;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any future charter commitments in respect of any Mortgaged Ship shall contain appropriate wording prohibiting the use of such Ship in violation of any Sanctions;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cause or consent to any Mortgaged Ship to be used in any manner or business which is prohibited by applicable anti-corruption and anti-money laundering laws and regulations.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rights of the Finance Parties under any other provisions of this Agreement and the other Finance Documents, if an Owner becomes aware that its Ship, without its knowledge, has been chartered, conferred, leased or otherwise provided directly or indirectly to any Prohibited Person in breach of Sanctions, it shall terminate as soon as reasonably practicable and in any case within thirty (30) days after the day it finds out that any of the events described in this clause has occurred the relationship with the Prohibited Person under the premise that the Finance Parties may commit a breach of law by this behaviour. In this case the Borrower will also inform the Finance Parties immediately upon becoming so aware.</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4" w:name="page265"/>
    <w:bookmarkEnd w:id="264"/>
    <w:p>
      <w:pPr>
        <w:jc w:val="both"/>
        <w:ind w:left="840" w:right="20" w:hanging="644"/>
        <w:spacing w:after="0" w:line="266" w:lineRule="auto"/>
        <w:tabs>
          <w:tab w:leader="none" w:pos="8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175" w:lineRule="exact"/>
        <w:rPr>
          <w:rFonts w:ascii="Times New Roman" w:cs="Times New Roman" w:eastAsia="Times New Roman" w:hAnsi="Times New Roman"/>
          <w:sz w:val="18"/>
          <w:szCs w:val="18"/>
          <w:color w:val="auto"/>
        </w:rPr>
      </w:pPr>
    </w:p>
    <w:p>
      <w:pPr>
        <w:ind w:left="840" w:right="1660" w:hanging="644"/>
        <w:spacing w:after="0" w:line="500" w:lineRule="auto"/>
        <w:tabs>
          <w:tab w:leader="none" w:pos="8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clause 21.13 the following words shall have the following meanings: </w:t>
      </w:r>
      <w:r>
        <w:rPr>
          <w:rFonts w:ascii="Times New Roman" w:cs="Times New Roman" w:eastAsia="Times New Roman" w:hAnsi="Times New Roman"/>
          <w:sz w:val="18"/>
          <w:szCs w:val="18"/>
          <w:b w:val="1"/>
          <w:bCs w:val="1"/>
          <w:color w:val="auto"/>
        </w:rPr>
        <w:t xml:space="preserve">Prohibited Person </w:t>
      </w:r>
      <w:r>
        <w:rPr>
          <w:rFonts w:ascii="Times New Roman" w:cs="Times New Roman" w:eastAsia="Times New Roman" w:hAnsi="Times New Roman"/>
          <w:sz w:val="18"/>
          <w:szCs w:val="18"/>
          <w:color w:val="auto"/>
        </w:rPr>
        <w:t>means any person with whom transactions are prohibited or restricted under:</w:t>
      </w:r>
    </w:p>
    <w:p>
      <w:pPr>
        <w:spacing w:after="0" w:line="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 or</w:t>
      </w:r>
    </w:p>
    <w:p>
      <w:pPr>
        <w:spacing w:after="0" w:line="225" w:lineRule="exact"/>
        <w:rPr>
          <w:rFonts w:ascii="Times New Roman" w:cs="Times New Roman" w:eastAsia="Times New Roman" w:hAnsi="Times New Roman"/>
          <w:sz w:val="18"/>
          <w:szCs w:val="18"/>
          <w:color w:val="auto"/>
        </w:rPr>
      </w:pPr>
    </w:p>
    <w:p>
      <w:pPr>
        <w:jc w:val="both"/>
        <w:ind w:left="1500" w:hanging="656"/>
        <w:spacing w:after="0" w:line="261" w:lineRule="auto"/>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United States of America government sanctions,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79" w:lineRule="exact"/>
        <w:rPr>
          <w:rFonts w:ascii="Times New Roman" w:cs="Times New Roman" w:eastAsia="Times New Roman" w:hAnsi="Times New Roman"/>
          <w:sz w:val="18"/>
          <w:szCs w:val="18"/>
          <w:color w:val="auto"/>
        </w:rPr>
      </w:pPr>
    </w:p>
    <w:p>
      <w:pPr>
        <w:jc w:val="both"/>
        <w:ind w:left="1500" w:hanging="656"/>
        <w:spacing w:after="0" w:line="258" w:lineRule="auto"/>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Union sanctions laws (including sanctions laws of any member state of the European Union),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83"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government sanctions laws, including without limitation persons or organisations on His Majesty’s Treasury’s Consolidated List of Financial Sanctions Targets and Investment Ban List;</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Nations sanctions laws, including without limitation persons or organisations on the United Nations Consolidated List established and maintained by the 1267 Committee;</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law sanctions laws;</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Norwegian sanctions laws; and</w:t>
      </w:r>
    </w:p>
    <w:p>
      <w:pPr>
        <w:spacing w:after="0" w:line="22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sanctions law, including, without limitation, persons or organisations on the sanctions list issued and administered by the Australian Department of Foreign Affairs and Trade,</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each as amended from time to time and including any person controlled by or a Subsidiary of any such person.</w:t>
      </w:r>
    </w:p>
    <w:p>
      <w:pPr>
        <w:spacing w:after="0" w:line="221" w:lineRule="exact"/>
        <w:rPr>
          <w:sz w:val="20"/>
          <w:szCs w:val="20"/>
          <w:color w:val="auto"/>
        </w:rPr>
      </w:pPr>
    </w:p>
    <w:p>
      <w:pPr>
        <w:ind w:left="8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Sanctions </w:t>
      </w:r>
      <w:r>
        <w:rPr>
          <w:rFonts w:ascii="Times New Roman" w:cs="Times New Roman" w:eastAsia="Times New Roman" w:hAnsi="Times New Roman"/>
          <w:sz w:val="18"/>
          <w:szCs w:val="18"/>
          <w:color w:val="auto"/>
        </w:rPr>
        <w:t>means any economic or trade sanctions laws, regulations, orders, embargoes or restrictive measures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enacted or enforced by any Sanctions Authority.</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Sanctions Authority </w:t>
      </w:r>
      <w:r>
        <w:rPr>
          <w:rFonts w:ascii="Times New Roman" w:cs="Times New Roman" w:eastAsia="Times New Roman" w:hAnsi="Times New Roman"/>
          <w:sz w:val="18"/>
          <w:szCs w:val="18"/>
          <w:color w:val="auto"/>
        </w:rPr>
        <w:t>means any of:</w:t>
      </w:r>
    </w:p>
    <w:p>
      <w:pPr>
        <w:spacing w:after="0" w:line="229" w:lineRule="exact"/>
        <w:rPr>
          <w:sz w:val="20"/>
          <w:szCs w:val="20"/>
          <w:color w:val="auto"/>
        </w:rPr>
      </w:pPr>
    </w:p>
    <w:p>
      <w:pPr>
        <w:ind w:left="1500" w:hanging="656"/>
        <w:spacing w:after="0"/>
        <w:tabs>
          <w:tab w:leader="none" w:pos="15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Nations;</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(and/or any member state thereof);</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Commonwealth of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65" w:name="page266"/>
    <w:bookmarkEnd w:id="265"/>
    <w:p>
      <w:pPr>
        <w:ind w:left="1960" w:hanging="656"/>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 of Singapore;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Norway,</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includes any relevant government entity of any of the above, including, without limitation, the OFAC, the United States Department of State, the State Secretariat for Economic Affairs of Switzerland ("SECO"), the Swiss Directorate of International Law (“DIL”), His Majesty's Treasury (“HMT”), The Monetary Authority of Singapore ("MAS") and the Australian Department of Foreign Affairs and Trade (“DFAT”).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21.14</w:t>
      </w:r>
      <w:r>
        <w:rPr>
          <w:sz w:val="20"/>
          <w:szCs w:val="20"/>
          <w:color w:val="auto"/>
        </w:rPr>
        <w:tab/>
      </w:r>
      <w:r>
        <w:rPr>
          <w:rFonts w:ascii="Times New Roman" w:cs="Times New Roman" w:eastAsia="Times New Roman" w:hAnsi="Times New Roman"/>
          <w:sz w:val="17"/>
          <w:szCs w:val="17"/>
          <w:b w:val="1"/>
          <w:bCs w:val="1"/>
          <w:color w:val="auto"/>
        </w:rPr>
        <w:t>Obligors’ own account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21.15</w:t>
      </w:r>
      <w:r>
        <w:rPr>
          <w:sz w:val="20"/>
          <w:szCs w:val="20"/>
          <w:color w:val="auto"/>
        </w:rPr>
        <w:tab/>
      </w:r>
      <w:r>
        <w:rPr>
          <w:rFonts w:ascii="Times New Roman" w:cs="Times New Roman" w:eastAsia="Times New Roman" w:hAnsi="Times New Roman"/>
          <w:sz w:val="17"/>
          <w:szCs w:val="17"/>
          <w:b w:val="1"/>
          <w:bCs w:val="1"/>
          <w:color w:val="auto"/>
        </w:rPr>
        <w:t>Inspection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21.16</w:t>
      </w:r>
      <w:r>
        <w:rPr>
          <w:sz w:val="20"/>
          <w:szCs w:val="20"/>
          <w:color w:val="auto"/>
        </w:rPr>
        <w:tab/>
      </w:r>
      <w:r>
        <w:rPr>
          <w:rFonts w:ascii="Times New Roman" w:cs="Times New Roman" w:eastAsia="Times New Roman" w:hAnsi="Times New Roman"/>
          <w:sz w:val="17"/>
          <w:szCs w:val="17"/>
          <w:b w:val="1"/>
          <w:bCs w:val="1"/>
          <w:color w:val="auto"/>
        </w:rPr>
        <w:t>Bribery and corruption</w:t>
      </w:r>
    </w:p>
    <w:p>
      <w:pPr>
        <w:spacing w:after="0" w:line="229" w:lineRule="exact"/>
        <w:rPr>
          <w:sz w:val="20"/>
          <w:szCs w:val="20"/>
          <w:color w:val="auto"/>
        </w:rPr>
      </w:pPr>
    </w:p>
    <w:p>
      <w:pPr>
        <w:ind w:left="1300" w:hanging="644"/>
        <w:spacing w:after="0"/>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engage in: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Laundering or act in breach of any applicable law relating to Money Laundering;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of Terrorism.</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(a) above, no Obligor shall directly or indirectly use the proceeds of a Loan for any purpose which would breach the Bribery Act 2010 or the United States Foreign Corrupt Practices Act of 1977 or any other applicable anti-bribery law.</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21.16 and clause 19.12 (</w:t>
      </w:r>
      <w:r>
        <w:rPr>
          <w:rFonts w:ascii="Times New Roman" w:cs="Times New Roman" w:eastAsia="Times New Roman" w:hAnsi="Times New Roman"/>
          <w:sz w:val="18"/>
          <w:szCs w:val="18"/>
          <w:i w:val="1"/>
          <w:iCs w:val="1"/>
          <w:color w:val="auto"/>
        </w:rPr>
        <w:t>Money Laundering</w:t>
      </w:r>
      <w:r>
        <w:rPr>
          <w:rFonts w:ascii="Times New Roman" w:cs="Times New Roman" w:eastAsia="Times New Roman" w:hAnsi="Times New Roman"/>
          <w:sz w:val="18"/>
          <w:szCs w:val="18"/>
          <w:color w:val="auto"/>
        </w:rPr>
        <w:t>), the following definitions shall apply:</w:t>
      </w:r>
    </w:p>
    <w:p>
      <w:pPr>
        <w:spacing w:after="0" w:line="223"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Coercive Practice </w:t>
      </w:r>
      <w:r>
        <w:rPr>
          <w:rFonts w:ascii="Times New Roman" w:cs="Times New Roman" w:eastAsia="Times New Roman" w:hAnsi="Times New Roman"/>
          <w:sz w:val="18"/>
          <w:szCs w:val="18"/>
          <w:color w:val="auto"/>
        </w:rPr>
        <w:t>means impairing or harming or threatening to impair or harm, directly or indirectly, any party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to improperly influence the actions of that party.</w:t>
      </w:r>
    </w:p>
    <w:p>
      <w:pPr>
        <w:spacing w:after="0" w:line="154" w:lineRule="exact"/>
        <w:rPr>
          <w:rFonts w:ascii="Times New Roman" w:cs="Times New Roman" w:eastAsia="Times New Roman" w:hAnsi="Times New Roman"/>
          <w:sz w:val="18"/>
          <w:szCs w:val="18"/>
          <w:color w:val="auto"/>
        </w:rPr>
      </w:pPr>
    </w:p>
    <w:p>
      <w:pPr>
        <w:ind w:left="13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Collusive Practice </w:t>
      </w:r>
      <w:r>
        <w:rPr>
          <w:rFonts w:ascii="Times New Roman" w:cs="Times New Roman" w:eastAsia="Times New Roman" w:hAnsi="Times New Roman"/>
          <w:sz w:val="18"/>
          <w:szCs w:val="18"/>
          <w:color w:val="auto"/>
        </w:rPr>
        <w:t>means an arrangement between two or more parties without the knowledge, but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improperly influence the actions, of another party.</w:t>
      </w:r>
    </w:p>
    <w:p>
      <w:pPr>
        <w:spacing w:after="0" w:line="154"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Corrupt Practice </w:t>
      </w:r>
      <w:r>
        <w:rPr>
          <w:rFonts w:ascii="Times New Roman" w:cs="Times New Roman" w:eastAsia="Times New Roman" w:hAnsi="Times New Roman"/>
          <w:sz w:val="18"/>
          <w:szCs w:val="18"/>
          <w:color w:val="auto"/>
        </w:rPr>
        <w:t>means the offering, giving, receiving, or soliciting, directly or indirectly, anything of value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improperly influence the actions of another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6" w:name="page267"/>
    <w:bookmarkEnd w:id="266"/>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Financing of Terrorism </w:t>
      </w:r>
      <w:r>
        <w:rPr>
          <w:rFonts w:ascii="Times New Roman" w:cs="Times New Roman" w:eastAsia="Times New Roman" w:hAnsi="Times New Roman"/>
          <w:sz w:val="18"/>
          <w:szCs w:val="18"/>
          <w:color w:val="auto"/>
        </w:rPr>
        <w:t>means the act of providing or collecting funds with the intention that they be used,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that they are to be used, in order to carry out terrorist acts.</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Practice </w:t>
      </w:r>
      <w:r>
        <w:rPr>
          <w:rFonts w:ascii="Times New Roman" w:cs="Times New Roman" w:eastAsia="Times New Roman" w:hAnsi="Times New Roman"/>
          <w:sz w:val="18"/>
          <w:szCs w:val="18"/>
          <w:color w:val="auto"/>
        </w:rPr>
        <w:t>means any action, including misrepresentation, to obtain a financial or other benefit or avoid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by deception.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Money Laundering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1960" w:right="20" w:hanging="656"/>
        <w:spacing w:after="0" w:line="266" w:lineRule="auto"/>
        <w:tabs>
          <w:tab w:leader="none" w:pos="1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concealment or disguise of the true nature, source, location, disposition, movement, rights with respect to, or ownership of, property knowing that it is derived from a criminal offence;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possession or use of property knowing at the time of its receipt that it is derived from a criminal offence,</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shall include any other meaning given to such term in Article 1 of the Directive 2015/849/EC of the Council of the European Communities and/or Article 305 bis of the Swiss Penal Code.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Dealings with Ship</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Undertaking to comply</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Obligor who is a Party undertakes that this clause 22 will be complied with in relation to each Mortgaged Ship throughout the relevant Ship’s Mortgage Period.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Ship’s name and registration</w:t>
      </w:r>
    </w:p>
    <w:p>
      <w:pPr>
        <w:spacing w:after="0" w:line="229" w:lineRule="exact"/>
        <w:rPr>
          <w:sz w:val="20"/>
          <w:szCs w:val="20"/>
          <w:color w:val="auto"/>
        </w:rPr>
      </w:pPr>
    </w:p>
    <w:p>
      <w:pPr>
        <w:ind w:left="1300" w:right="20" w:hanging="644"/>
        <w:spacing w:after="0" w:line="282"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Ship shall be permanently registered in the name of the relevant Owner with the relevant Registry under the laws of its Flag State. Except with approval of all the Lenders,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9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Sale or other disposal of 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for a sale of a Ship for a cash price payable on completion of the sale which is no less than the amount by which the Loans must be reduced and prepaid under clause 7.8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 on completion of such sale, the relevant Owner will not sell, or agree to sell, transfer, abandon or otherwise dispose of the relevant Ship or any share or interest in it. Provided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7" w:name="page268"/>
    <w:bookmarkEnd w:id="267"/>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Owner agrees to sell or transfer its Ship and the relevant Owner and the other Owners are in compliance with this clause 22.3 and clause 7.8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 in respect of such sale or transfer and no Default has occurred and is continuing at the time, the Lenders will approve such sale or transfer and the Lenders will procure that upon the relevant prepayment and the discharge of the other obligations of the Borrower under this clause 22.3 and clause 7.8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 the Mortgage over that Ship will be discharged and the Deed of Covenant, the General Assignment, any Charter Assignment, any Account Security and the Manager's Undertaking relating to that Ship will be released, and the relevant Owner will be released as Guarantor under this Agreement, in each case pursuant to deeds of release in agreed form executed at the cost and expense of the Borrower.</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8"/>
          <w:szCs w:val="18"/>
          <w:b w:val="1"/>
          <w:bCs w:val="1"/>
          <w:color w:val="auto"/>
        </w:rPr>
        <w:t>Manager</w:t>
      </w:r>
    </w:p>
    <w:p>
      <w:pPr>
        <w:spacing w:after="0" w:line="229" w:lineRule="exact"/>
        <w:rPr>
          <w:sz w:val="20"/>
          <w:szCs w:val="20"/>
          <w:color w:val="auto"/>
        </w:rPr>
      </w:pPr>
    </w:p>
    <w:p>
      <w:pPr>
        <w:ind w:left="1300" w:hanging="644"/>
        <w:spacing w:after="0"/>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of the Ship shall not be appointed unless: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manager is approved by the Majority Lenders (such approval not to be unreasonably withheld or delayed) (and as at the date of this Agreement GasLog LNG Services Ltd. of Bermuda is approved as Manager of each Ship);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its appointment are approved by the Majority Lenders (such approval not to be unreasonably withheld or delayed);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delivered a duly executed Manager's Undertaking to the Security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Copy of Mortgage on board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properly certified copy of the Ship’s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8"/>
          <w:szCs w:val="18"/>
          <w:b w:val="1"/>
          <w:bCs w:val="1"/>
          <w:color w:val="auto"/>
        </w:rPr>
        <w:t>Notice of Mortgage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framed printed notice of the Ship’s Mortgage shall be prominently displayed in the navigation room and in the Master’s cabin of the Ship. The notice must be in plain type and read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MORTGAGE</w:t>
      </w:r>
    </w:p>
    <w:p>
      <w:pPr>
        <w:spacing w:after="0" w:line="225" w:lineRule="exact"/>
        <w:rPr>
          <w:sz w:val="20"/>
          <w:szCs w:val="20"/>
          <w:color w:val="auto"/>
        </w:rPr>
      </w:pPr>
    </w:p>
    <w:p>
      <w:pPr>
        <w:jc w:val="both"/>
        <w:ind w:left="660" w:right="20"/>
        <w:spacing w:after="0" w:line="262" w:lineRule="auto"/>
        <w:rPr>
          <w:sz w:val="20"/>
          <w:szCs w:val="20"/>
          <w:color w:val="auto"/>
        </w:rPr>
      </w:pPr>
      <w:r>
        <w:rPr>
          <w:rFonts w:ascii="Times New Roman" w:cs="Times New Roman" w:eastAsia="Times New Roman" w:hAnsi="Times New Roman"/>
          <w:sz w:val="18"/>
          <w:szCs w:val="18"/>
          <w:color w:val="auto"/>
        </w:rPr>
        <w:t>This Ship is subject to a First Mortgage in favour of [</w:t>
      </w:r>
      <w:r>
        <w:rPr>
          <w:rFonts w:ascii="Times New Roman" w:cs="Times New Roman" w:eastAsia="Times New Roman" w:hAnsi="Times New Roman"/>
          <w:sz w:val="18"/>
          <w:szCs w:val="18"/>
          <w:b w:val="1"/>
          <w:bCs w:val="1"/>
          <w:color w:val="auto"/>
        </w:rPr>
        <w:t>here insert name of mortgagee</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b w:val="1"/>
          <w:bCs w:val="1"/>
          <w:color w:val="auto"/>
        </w:rPr>
        <w:t>here insert address of mortgagee</w:t>
      </w:r>
      <w:r>
        <w:rPr>
          <w:rFonts w:ascii="Times New Roman" w:cs="Times New Roman" w:eastAsia="Times New Roman" w:hAnsi="Times New Roman"/>
          <w:sz w:val="18"/>
          <w:szCs w:val="18"/>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No-one will have any right, power or authority to create, incur or permit to be imposed upon the Ship any lien whatsoever other than for crew’s wages and salvage”.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Conveyance on default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8" w:name="page269"/>
    <w:bookmarkEnd w:id="26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8"/>
          <w:szCs w:val="18"/>
          <w:b w:val="1"/>
          <w:bCs w:val="1"/>
          <w:color w:val="auto"/>
        </w:rPr>
        <w:t>Chartering</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approval of the Majority Lenders, and without prejudice to clause 7.11 </w:t>
      </w:r>
      <w:r>
        <w:rPr>
          <w:rFonts w:ascii="Times New Roman" w:cs="Times New Roman" w:eastAsia="Times New Roman" w:hAnsi="Times New Roman"/>
          <w:sz w:val="18"/>
          <w:szCs w:val="18"/>
          <w:i w:val="1"/>
          <w:iCs w:val="1"/>
          <w:color w:val="auto"/>
        </w:rPr>
        <w:t>(Mandatory prepayment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cancellation following Charter or Charter Guarantee termination) </w:t>
      </w:r>
      <w:r>
        <w:rPr>
          <w:rFonts w:ascii="Times New Roman" w:cs="Times New Roman" w:eastAsia="Times New Roman" w:hAnsi="Times New Roman"/>
          <w:sz w:val="18"/>
          <w:szCs w:val="18"/>
          <w:color w:val="auto"/>
        </w:rPr>
        <w:t>and the other provisions of the Finance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Owner shall not enter into any charter commitment for the Ship (except for the Initial Charter for each Ship referred to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or a Replacement Charter for each Ship), which is:</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bareboat or demise charter or passes possession and operational control of the Ship to another person;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original fixed term in excess of 60 calendar months (without taking into account any option to extend or renew contained therein) and with a fixed charter rate which is, for each calendar month, below breakeven for that Ship (taking into account for that purpose the monthly operational costs of such Ship and the monthly debt service obligations of the Loans allocable to that Ship pro rata by reference to the Applicable Fraction in relation to such Ship). However, a charter commitment for a Ship with a charter rate which is linked to an index related to LNG commodity pricing or LNG shipping shall not be deemed restricted by this paragraph (iii) regardless of its tenor.</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without prejudice to the rights of the Finance Parties under the provisions of paragraph (a) above, clause 7.11 </w:t>
      </w:r>
      <w:r>
        <w:rPr>
          <w:rFonts w:ascii="Times New Roman" w:cs="Times New Roman" w:eastAsia="Times New Roman" w:hAnsi="Times New Roman"/>
          <w:sz w:val="18"/>
          <w:szCs w:val="18"/>
          <w:i w:val="1"/>
          <w:iCs w:val="1"/>
          <w:color w:val="auto"/>
        </w:rPr>
        <w:t xml:space="preserve">(Mandatory prepayment and cancellation following Charter or Charter Guarantee termination) </w:t>
      </w:r>
      <w:r>
        <w:rPr>
          <w:rFonts w:ascii="Times New Roman" w:cs="Times New Roman" w:eastAsia="Times New Roman" w:hAnsi="Times New Roman"/>
          <w:sz w:val="18"/>
          <w:szCs w:val="18"/>
          <w:color w:val="auto"/>
        </w:rPr>
        <w:t>and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Finance Documents, the relevant Owner shall:</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permitted to pursue and contract for any charter business with any person other than one with a Non Acceptable Charterer, provided that it advises the Agent promptly of any charter commitment in respect of its Ship (other than the Initial Charter for each Ship referred to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which has an original term in excess of 36 calendar months (without taking into account any option to extend or renew contained therein) or if pursuant to its terms the relevant charterer requires a quiet enjoyment agreement from the Security Agent or by any other Finance Party, and the relevant Owner shall:</w:t>
      </w:r>
    </w:p>
    <w:p>
      <w:pPr>
        <w:spacing w:after="0" w:line="187" w:lineRule="exact"/>
        <w:rPr>
          <w:sz w:val="20"/>
          <w:szCs w:val="20"/>
          <w:color w:val="auto"/>
        </w:rPr>
      </w:pPr>
    </w:p>
    <w:p>
      <w:pPr>
        <w:ind w:left="2600" w:hanging="648"/>
        <w:spacing w:after="0"/>
        <w:tabs>
          <w:tab w:leader="none" w:pos="26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copy of each such charter commitment to the Agent forthwith;</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forthwith following a demand made by the Agent (acting on the instructions of the Majority Lenders):</w:t>
      </w:r>
    </w:p>
    <w:p>
      <w:pPr>
        <w:spacing w:after="0" w:line="161"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 assignment of any such charter commitment in favour of the Security Agent (in the same form as a Charter Assignment) and any notice of assignment required in connection therewith;</w:t>
      </w:r>
    </w:p>
    <w:p>
      <w:pPr>
        <w:spacing w:after="0" w:line="175" w:lineRule="exact"/>
        <w:rPr>
          <w:rFonts w:ascii="Times New Roman" w:cs="Times New Roman" w:eastAsia="Times New Roman" w:hAnsi="Times New Roman"/>
          <w:sz w:val="18"/>
          <w:szCs w:val="18"/>
          <w:color w:val="auto"/>
        </w:rPr>
      </w:pPr>
    </w:p>
    <w:p>
      <w:pPr>
        <w:ind w:left="3240" w:right="20" w:hanging="640"/>
        <w:spacing w:after="0" w:line="282" w:lineRule="auto"/>
        <w:tabs>
          <w:tab w:leader="none" w:pos="324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service of any such notice of assignment on the relevant charterer or other counterparty of the Owner under such charter commitment; and</w:t>
      </w:r>
    </w:p>
    <w:p>
      <w:pPr>
        <w:spacing w:after="0" w:line="161" w:lineRule="exact"/>
        <w:rPr>
          <w:rFonts w:ascii="Times New Roman" w:cs="Times New Roman" w:eastAsia="Times New Roman" w:hAnsi="Times New Roman"/>
          <w:sz w:val="18"/>
          <w:szCs w:val="18"/>
          <w:color w:val="auto"/>
        </w:rPr>
      </w:pPr>
    </w:p>
    <w:p>
      <w:pPr>
        <w:jc w:val="both"/>
        <w:ind w:left="3240" w:hanging="640"/>
        <w:spacing w:after="0" w:line="256" w:lineRule="auto"/>
        <w:tabs>
          <w:tab w:leader="none" w:pos="324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endeavours to obtain, and provide the Agent with, the acknowledgement (on reasonable, market standard terms) by such relevant counterparty of the relevant notice of assignment or (in the event that the relevant charterer requires from the Security Agent or any other Finance Party a quiet enjoyment agreement as a condition of its approval of the relevant Mortgage) procure that the Agent receives a copy of such acknowledgment by such relevant counterparty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69" w:name="page270"/>
    <w:bookmarkEnd w:id="269"/>
    <w:p>
      <w:pPr>
        <w:ind w:left="3240"/>
        <w:spacing w:after="0" w:line="282" w:lineRule="auto"/>
        <w:rPr>
          <w:sz w:val="20"/>
          <w:szCs w:val="20"/>
          <w:color w:val="auto"/>
        </w:rPr>
      </w:pPr>
      <w:r>
        <w:rPr>
          <w:rFonts w:ascii="Times New Roman" w:cs="Times New Roman" w:eastAsia="Times New Roman" w:hAnsi="Times New Roman"/>
          <w:sz w:val="18"/>
          <w:szCs w:val="18"/>
          <w:color w:val="auto"/>
        </w:rPr>
        <w:t>notice of assignment (included, where reasonably practicable, in the relevant Quiet Enjoyment Agreement);</w:t>
      </w:r>
    </w:p>
    <w:p>
      <w:pPr>
        <w:spacing w:after="0" w:line="160" w:lineRule="exact"/>
        <w:rPr>
          <w:sz w:val="20"/>
          <w:szCs w:val="20"/>
          <w:color w:val="auto"/>
        </w:rPr>
      </w:pPr>
    </w:p>
    <w:p>
      <w:pPr>
        <w:jc w:val="both"/>
        <w:ind w:left="2600" w:hanging="648"/>
        <w:spacing w:after="0" w:line="261" w:lineRule="auto"/>
        <w:tabs>
          <w:tab w:leader="none" w:pos="26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Agent such documents and evidence of the type referred to in Schedule 3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precedent</w:t>
      </w:r>
      <w:r>
        <w:rPr>
          <w:rFonts w:ascii="Times New Roman" w:cs="Times New Roman" w:eastAsia="Times New Roman" w:hAnsi="Times New Roman"/>
          <w:sz w:val="18"/>
          <w:szCs w:val="18"/>
          <w:color w:val="auto"/>
        </w:rPr>
        <w:t>), in relation to any such charter assignment or any other related matter referred to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clause 22.8(b), as the Agent (acting on the instructions of the Majority Lenders in their sole discretion) shall require; and</w:t>
      </w:r>
    </w:p>
    <w:p>
      <w:pPr>
        <w:spacing w:after="0" w:line="18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22.8(b);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permitted to place any Ship under any commercial pool arrangements provided that: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evidence of such Ship’s acceptance under such commercial pool arrangements; and</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serves on the appropriate legal entities managing and/or owning the relevant pool from which Earnings are payable to the Owner, a notice of assignment of the Earnings of such Ship pursuant to the relevant Deed of Covenant or General Assignment and use reasonable endeavours to obtain and deliver to the Agent the relevant acknowledgement of such notice, each in an approved form.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22.9</w:t>
      </w:r>
      <w:r>
        <w:rPr>
          <w:sz w:val="20"/>
          <w:szCs w:val="20"/>
          <w:color w:val="auto"/>
        </w:rPr>
        <w:tab/>
      </w:r>
      <w:r>
        <w:rPr>
          <w:rFonts w:ascii="Times New Roman" w:cs="Times New Roman" w:eastAsia="Times New Roman" w:hAnsi="Times New Roman"/>
          <w:sz w:val="17"/>
          <w:szCs w:val="17"/>
          <w:b w:val="1"/>
          <w:bCs w:val="1"/>
          <w:color w:val="auto"/>
        </w:rPr>
        <w:t>Merchant use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Owner shall use the Ship only as a civil merchant trading ship.</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22.10</w:t>
      </w:r>
      <w:r>
        <w:rPr>
          <w:sz w:val="20"/>
          <w:szCs w:val="20"/>
          <w:color w:val="auto"/>
        </w:rPr>
        <w:tab/>
      </w:r>
      <w:r>
        <w:rPr>
          <w:rFonts w:ascii="Times New Roman" w:cs="Times New Roman" w:eastAsia="Times New Roman" w:hAnsi="Times New Roman"/>
          <w:sz w:val="17"/>
          <w:szCs w:val="17"/>
          <w:b w:val="1"/>
          <w:bCs w:val="1"/>
          <w:color w:val="auto"/>
        </w:rPr>
        <w:t>Lay 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with approval, the Ship shall not be laid up or deactivated.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22.11</w:t>
      </w:r>
      <w:r>
        <w:rPr>
          <w:sz w:val="20"/>
          <w:szCs w:val="20"/>
          <w:color w:val="auto"/>
        </w:rPr>
        <w:tab/>
      </w:r>
      <w:r>
        <w:rPr>
          <w:rFonts w:ascii="Times New Roman" w:cs="Times New Roman" w:eastAsia="Times New Roman" w:hAnsi="Times New Roman"/>
          <w:sz w:val="17"/>
          <w:szCs w:val="17"/>
          <w:b w:val="1"/>
          <w:bCs w:val="1"/>
          <w:color w:val="auto"/>
        </w:rPr>
        <w:t>Sharing of Earnings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with approval by the Majority Lenders, the relevant Owner shall not enter into any arrangement under which its Earnings from the Ship may be shared with anyone else except under the operations of any commercial pool arrangements permitted by the terms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22.12</w:t>
      </w:r>
      <w:r>
        <w:rPr>
          <w:sz w:val="20"/>
          <w:szCs w:val="20"/>
          <w:color w:val="auto"/>
        </w:rPr>
        <w:tab/>
      </w:r>
      <w:r>
        <w:rPr>
          <w:rFonts w:ascii="Times New Roman" w:cs="Times New Roman" w:eastAsia="Times New Roman" w:hAnsi="Times New Roman"/>
          <w:sz w:val="17"/>
          <w:szCs w:val="17"/>
          <w:b w:val="1"/>
          <w:bCs w:val="1"/>
          <w:color w:val="auto"/>
        </w:rPr>
        <w:t>Payment of Earnings</w:t>
      </w:r>
    </w:p>
    <w:p>
      <w:pPr>
        <w:spacing w:after="0" w:line="229" w:lineRule="exact"/>
        <w:rPr>
          <w:sz w:val="20"/>
          <w:szCs w:val="20"/>
          <w:color w:val="auto"/>
        </w:rPr>
      </w:pPr>
    </w:p>
    <w:p>
      <w:pPr>
        <w:ind w:left="1300" w:hanging="644"/>
        <w:spacing w:after="0" w:line="282"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Owner’s Earnings from the Ship shall be paid in the way required by the Ship’s General Assignment or Deed of Covenant or any Charter Assignment (as applicable).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Earnings are held by brokers or other agents, they shall be paid to the Security Agent or the Agent (as the case may be), if it requires this after the Earnings have become payable to it under the Ship’s General Assignment or Deed of Covenant or any Charter Assignment (as applicable).</w:t>
      </w:r>
    </w:p>
    <w:p>
      <w:pPr>
        <w:spacing w:after="0" w:line="172" w:lineRule="exact"/>
        <w:rPr>
          <w:sz w:val="20"/>
          <w:szCs w:val="20"/>
          <w:color w:val="auto"/>
        </w:rPr>
      </w:pPr>
    </w:p>
    <w:p>
      <w:pPr>
        <w:ind w:right="6780" w:firstLine="8"/>
        <w:spacing w:after="0" w:line="503" w:lineRule="auto"/>
        <w:tabs>
          <w:tab w:leader="none" w:pos="648"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 and operation of Ship 23.1 Undertaking to comply</w:t>
      </w: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Obligor who is a Party undertakes that this clause 23 will be complied with in relation to each Mortgaged Ship throughout the relevant Ship’s Mortgage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0" w:name="page271"/>
    <w:bookmarkEnd w:id="27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b w:val="1"/>
          <w:bCs w:val="1"/>
          <w:color w:val="auto"/>
        </w:rPr>
        <w:t>Defined terms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this clause 23 and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code </w:t>
      </w:r>
      <w:r>
        <w:rPr>
          <w:rFonts w:ascii="Times New Roman" w:cs="Times New Roman" w:eastAsia="Times New Roman" w:hAnsi="Times New Roman"/>
          <w:sz w:val="18"/>
          <w:szCs w:val="18"/>
          <w:color w:val="auto"/>
        </w:rPr>
        <w:t>means any code or prescribed procedures required to be observed by the Ship or the persons responsible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under any applicable law (including but not limited to those currently known as the ISM Code and the ISPS Code).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means all laws and regulations applicable to vessels registered in the Ship’s Flag State or which for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apply to the Ship or to its condition or operation at any relevant time.</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operating certificate </w:t>
      </w:r>
      <w:r>
        <w:rPr>
          <w:rFonts w:ascii="Times New Roman" w:cs="Times New Roman" w:eastAsia="Times New Roman" w:hAnsi="Times New Roman"/>
          <w:sz w:val="18"/>
          <w:szCs w:val="18"/>
          <w:color w:val="auto"/>
        </w:rPr>
        <w:t>means any certificates, vessel response plans, or other document relating to the Ship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or operation required to be in force under any applicable law or any applicable code.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Repair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Modification</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Except with approval, the structure, type or performance characteristics of the Ship shall not be modified in a way which would or might materially alter the Ship or materially reduce its value.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Removal of parts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23.6</w:t>
      </w:r>
      <w:r>
        <w:rPr>
          <w:sz w:val="20"/>
          <w:szCs w:val="20"/>
          <w:color w:val="auto"/>
        </w:rPr>
        <w:tab/>
      </w:r>
      <w:r>
        <w:rPr>
          <w:rFonts w:ascii="Times New Roman" w:cs="Times New Roman" w:eastAsia="Times New Roman" w:hAnsi="Times New Roman"/>
          <w:sz w:val="17"/>
          <w:szCs w:val="17"/>
          <w:b w:val="1"/>
          <w:bCs w:val="1"/>
          <w:color w:val="auto"/>
        </w:rPr>
        <w:t>Third party owned equipment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23.7</w:t>
      </w:r>
      <w:r>
        <w:rPr>
          <w:sz w:val="20"/>
          <w:szCs w:val="20"/>
          <w:color w:val="auto"/>
        </w:rPr>
        <w:tab/>
      </w:r>
      <w:r>
        <w:rPr>
          <w:rFonts w:ascii="Times New Roman" w:cs="Times New Roman" w:eastAsia="Times New Roman" w:hAnsi="Times New Roman"/>
          <w:sz w:val="17"/>
          <w:szCs w:val="17"/>
          <w:b w:val="1"/>
          <w:bCs w:val="1"/>
          <w:color w:val="auto"/>
        </w:rPr>
        <w:t>Maintenance of class; compliance with laws and codes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Ship's class shall be the relevant Classification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any one of DNV GL, American Bureau of Shipping, Lloyd’s Register of Shipping, Korean Register, China Classification Society, Class NK and Bureau Veritas). Immediately after any such approved change the Borrower shall notify the Lenders (through the Agent) of such change.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Promptly upon the Agent’s request, the relevant Owner shall provide to the Agent a copy of the Inventory of Hazardous Materials and the class records in respect of the 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1" w:name="page272"/>
    <w:bookmarkEnd w:id="27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23.8</w:t>
      </w:r>
      <w:r>
        <w:rPr>
          <w:sz w:val="20"/>
          <w:szCs w:val="20"/>
          <w:color w:val="auto"/>
        </w:rPr>
        <w:tab/>
      </w:r>
      <w:r>
        <w:rPr>
          <w:rFonts w:ascii="Times New Roman" w:cs="Times New Roman" w:eastAsia="Times New Roman" w:hAnsi="Times New Roman"/>
          <w:sz w:val="17"/>
          <w:szCs w:val="17"/>
          <w:b w:val="1"/>
          <w:bCs w:val="1"/>
          <w:color w:val="auto"/>
        </w:rPr>
        <w:t>Surveys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Ship shall be submitted to all period surveys and any other surveys which are required for it to maintain the Classification as its class. Copies of reports of those surveys shall be provided promptly to the Agent if it so requests.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23.9</w:t>
      </w:r>
      <w:r>
        <w:rPr>
          <w:sz w:val="20"/>
          <w:szCs w:val="20"/>
          <w:color w:val="auto"/>
        </w:rPr>
        <w:tab/>
      </w:r>
      <w:r>
        <w:rPr>
          <w:rFonts w:ascii="Times New Roman" w:cs="Times New Roman" w:eastAsia="Times New Roman" w:hAnsi="Times New Roman"/>
          <w:sz w:val="17"/>
          <w:szCs w:val="17"/>
          <w:b w:val="1"/>
          <w:bCs w:val="1"/>
          <w:color w:val="auto"/>
        </w:rPr>
        <w:t>Inspection and notice of dry-docking</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Agent (acting on the instructions of the Majority Lenders) and/or surveyors or other persons appointed by the Agent for such purpose shall be allowed to board the Ship at all reasonable times, subject to prior reasonable notice to the relevant Owner and without interfering with the Ship’s continuing, safe and efficient operations, to inspect it and given all proper facilities needed for that purpose. The Agent shall be given reasonable advance notice of any intended dry-docking of the Ship (whatever the purpose of that dry-docking). The Borrower shall bear the cost of only two such inspections in aggregate in respect of all the Ships per calendar year unless there is an Event of Default which is continuing, in which case the cost of all such inspections shall be borne by the Borrower.</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23.10</w:t>
      </w:r>
      <w:r>
        <w:rPr>
          <w:sz w:val="20"/>
          <w:szCs w:val="20"/>
          <w:color w:val="auto"/>
        </w:rPr>
        <w:tab/>
      </w:r>
      <w:r>
        <w:rPr>
          <w:rFonts w:ascii="Times New Roman" w:cs="Times New Roman" w:eastAsia="Times New Roman" w:hAnsi="Times New Roman"/>
          <w:sz w:val="17"/>
          <w:szCs w:val="17"/>
          <w:b w:val="1"/>
          <w:bCs w:val="1"/>
          <w:color w:val="auto"/>
        </w:rPr>
        <w:t>Prevention of arrest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23.11</w:t>
      </w:r>
      <w:r>
        <w:rPr>
          <w:sz w:val="20"/>
          <w:szCs w:val="20"/>
          <w:color w:val="auto"/>
        </w:rPr>
        <w:tab/>
      </w:r>
      <w:r>
        <w:rPr>
          <w:rFonts w:ascii="Times New Roman" w:cs="Times New Roman" w:eastAsia="Times New Roman" w:hAnsi="Times New Roman"/>
          <w:sz w:val="17"/>
          <w:szCs w:val="17"/>
          <w:b w:val="1"/>
          <w:bCs w:val="1"/>
          <w:color w:val="auto"/>
        </w:rPr>
        <w:t>Release from arrest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Ship, its Earnings and Insurances shall be released within 45 days (or such longer period as may be approved) from any arrest, detention, attachment or levy, and any legal process against the Ship shall be discharged within 45 days (or such longer period as may be approved), by whatever action is required to achieve that release or discharge.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23.12</w:t>
      </w:r>
      <w:r>
        <w:rPr>
          <w:sz w:val="20"/>
          <w:szCs w:val="20"/>
          <w:color w:val="auto"/>
        </w:rPr>
        <w:tab/>
      </w:r>
      <w:r>
        <w:rPr>
          <w:rFonts w:ascii="Times New Roman" w:cs="Times New Roman" w:eastAsia="Times New Roman" w:hAnsi="Times New Roman"/>
          <w:sz w:val="17"/>
          <w:szCs w:val="17"/>
          <w:b w:val="1"/>
          <w:bCs w:val="1"/>
          <w:color w:val="auto"/>
        </w:rPr>
        <w:t>Information about 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Agent shall promptly be given any information which it may reasonably require about the Ship or its employment, position, use or operation, including details of towages and salvages, and copies of all its charter commitments entered into by or on behalf of any Obligor and copies of any applicable operating certificates.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23.13</w:t>
      </w:r>
      <w:r>
        <w:rPr>
          <w:sz w:val="20"/>
          <w:szCs w:val="20"/>
          <w:color w:val="auto"/>
        </w:rPr>
        <w:tab/>
      </w:r>
      <w:r>
        <w:rPr>
          <w:rFonts w:ascii="Times New Roman" w:cs="Times New Roman" w:eastAsia="Times New Roman" w:hAnsi="Times New Roman"/>
          <w:sz w:val="17"/>
          <w:szCs w:val="17"/>
          <w:b w:val="1"/>
          <w:bCs w:val="1"/>
          <w:color w:val="auto"/>
        </w:rPr>
        <w:t>Notification of certain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shall promptly be notified of:</w:t>
      </w:r>
    </w:p>
    <w:p>
      <w:pPr>
        <w:spacing w:after="0" w:line="225" w:lineRule="exact"/>
        <w:rPr>
          <w:sz w:val="20"/>
          <w:szCs w:val="20"/>
          <w:color w:val="auto"/>
        </w:rPr>
      </w:pPr>
    </w:p>
    <w:p>
      <w:pPr>
        <w:ind w:left="1300" w:hanging="644"/>
        <w:spacing w:after="0" w:line="282"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to the Ship where the cost of the resulting repairs exceeds or is reasonably likely to exceed the Major Casualty Amount for such Ship;</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occurrence as a result of which a Ship has become or is, by the passing of time or otherwise, reasonably likely to become a Total Loss;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requisition of the Ship for hire;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Incident involving the Ship and Environmental Claim being made in relation to such an incident;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withdrawal of any applicable operating certificate;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notification that any application for such a certificate has been refused;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2" w:name="page273"/>
    <w:bookmarkEnd w:id="272"/>
    <w:p>
      <w:pPr>
        <w:jc w:val="both"/>
        <w:ind w:left="1300" w:hanging="644"/>
        <w:spacing w:after="0" w:line="266" w:lineRule="auto"/>
        <w:tabs>
          <w:tab w:leader="none" w:pos="13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arrest, hijacking or detention of the Ship or any exercise or purported exercise of a lien or other claim on the Ship or its Earnings or Insurances.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23.14</w:t>
      </w:r>
      <w:r>
        <w:rPr>
          <w:sz w:val="20"/>
          <w:szCs w:val="20"/>
          <w:color w:val="auto"/>
        </w:rPr>
        <w:tab/>
      </w:r>
      <w:r>
        <w:rPr>
          <w:rFonts w:ascii="Times New Roman" w:cs="Times New Roman" w:eastAsia="Times New Roman" w:hAnsi="Times New Roman"/>
          <w:sz w:val="17"/>
          <w:szCs w:val="17"/>
          <w:b w:val="1"/>
          <w:bCs w:val="1"/>
          <w:color w:val="auto"/>
        </w:rPr>
        <w:t>Payment of outgoings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23.15</w:t>
      </w:r>
      <w:r>
        <w:rPr>
          <w:sz w:val="20"/>
          <w:szCs w:val="20"/>
          <w:color w:val="auto"/>
        </w:rPr>
        <w:tab/>
      </w:r>
      <w:r>
        <w:rPr>
          <w:rFonts w:ascii="Times New Roman" w:cs="Times New Roman" w:eastAsia="Times New Roman" w:hAnsi="Times New Roman"/>
          <w:sz w:val="17"/>
          <w:szCs w:val="17"/>
          <w:b w:val="1"/>
          <w:bCs w:val="1"/>
          <w:color w:val="auto"/>
        </w:rPr>
        <w:t>Evidence of payments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Agent shall be allowed proper and reasonable access, subject to prior written notice and provided that the operations of the relevant Ship and Owner are not in any way hindered, to those accounting records when it reasonably requests it and, when it reasonably requires it, shall be given satisfactory evidence that:</w:t>
      </w:r>
    </w:p>
    <w:p>
      <w:pPr>
        <w:spacing w:after="0" w:line="176" w:lineRule="exact"/>
        <w:rPr>
          <w:sz w:val="20"/>
          <w:szCs w:val="20"/>
          <w:color w:val="auto"/>
        </w:rPr>
      </w:pPr>
    </w:p>
    <w:p>
      <w:pPr>
        <w:ind w:left="1300" w:right="20" w:hanging="644"/>
        <w:spacing w:after="0" w:line="282" w:lineRule="auto"/>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wages and allotments and the insurance and pension contributions of the Ship’s crew are being promptly and regularly paid;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deductions from its crew’s wages in respect of any applicable Tax liability are being properly accounted for;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Ship’s master has no claim for disbursements other than those incurred by him in the ordinary course of trading on the voyage then in progress.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23.16</w:t>
      </w:r>
      <w:r>
        <w:rPr>
          <w:sz w:val="20"/>
          <w:szCs w:val="20"/>
          <w:color w:val="auto"/>
        </w:rPr>
        <w:tab/>
      </w:r>
      <w:r>
        <w:rPr>
          <w:rFonts w:ascii="Times New Roman" w:cs="Times New Roman" w:eastAsia="Times New Roman" w:hAnsi="Times New Roman"/>
          <w:sz w:val="17"/>
          <w:szCs w:val="17"/>
          <w:b w:val="1"/>
          <w:bCs w:val="1"/>
          <w:color w:val="auto"/>
        </w:rPr>
        <w:t>Repairers’ liens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23.17</w:t>
      </w:r>
      <w:r>
        <w:rPr>
          <w:sz w:val="20"/>
          <w:szCs w:val="20"/>
          <w:color w:val="auto"/>
        </w:rPr>
        <w:tab/>
      </w:r>
      <w:r>
        <w:rPr>
          <w:rFonts w:ascii="Times New Roman" w:cs="Times New Roman" w:eastAsia="Times New Roman" w:hAnsi="Times New Roman"/>
          <w:sz w:val="17"/>
          <w:szCs w:val="17"/>
          <w:b w:val="1"/>
          <w:bCs w:val="1"/>
          <w:color w:val="auto"/>
        </w:rPr>
        <w:t>Survey report</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As soon as reasonably practicable after the Agent requests it following each inspection made pursuant to clause 23.9 (</w:t>
      </w:r>
      <w:r>
        <w:rPr>
          <w:rFonts w:ascii="Times New Roman" w:cs="Times New Roman" w:eastAsia="Times New Roman" w:hAnsi="Times New Roman"/>
          <w:sz w:val="18"/>
          <w:szCs w:val="18"/>
          <w:i w:val="1"/>
          <w:iCs w:val="1"/>
          <w:color w:val="auto"/>
        </w:rPr>
        <w:t>Inspection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notice of dry-dockings</w:t>
      </w:r>
      <w:r>
        <w:rPr>
          <w:rFonts w:ascii="Times New Roman" w:cs="Times New Roman" w:eastAsia="Times New Roman" w:hAnsi="Times New Roman"/>
          <w:sz w:val="18"/>
          <w:szCs w:val="18"/>
          <w:color w:val="auto"/>
        </w:rPr>
        <w:t>), the Agent shall be given a report on the seaworthiness and/or safe operation of the Ship,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surveyors or inspectors.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23.18</w:t>
      </w:r>
      <w:r>
        <w:rPr>
          <w:sz w:val="20"/>
          <w:szCs w:val="20"/>
          <w:color w:val="auto"/>
        </w:rPr>
        <w:tab/>
      </w:r>
      <w:r>
        <w:rPr>
          <w:rFonts w:ascii="Times New Roman" w:cs="Times New Roman" w:eastAsia="Times New Roman" w:hAnsi="Times New Roman"/>
          <w:sz w:val="17"/>
          <w:szCs w:val="17"/>
          <w:b w:val="1"/>
          <w:bCs w:val="1"/>
          <w:color w:val="auto"/>
        </w:rPr>
        <w:t>Lawful use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Ship shall not be employed in any way or in any activity which is unlawful under international law or the domestic laws of any relevant country.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23.19</w:t>
      </w:r>
      <w:r>
        <w:rPr>
          <w:sz w:val="20"/>
          <w:szCs w:val="20"/>
          <w:color w:val="auto"/>
        </w:rPr>
        <w:tab/>
      </w:r>
      <w:r>
        <w:rPr>
          <w:rFonts w:ascii="Times New Roman" w:cs="Times New Roman" w:eastAsia="Times New Roman" w:hAnsi="Times New Roman"/>
          <w:sz w:val="17"/>
          <w:szCs w:val="17"/>
          <w:b w:val="1"/>
          <w:bCs w:val="1"/>
          <w:color w:val="auto"/>
        </w:rPr>
        <w:t>War zones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 Ship shall enter or remain in any zone which has been declared a war zone by any government entity or that Ship's war risk insurers except with prior written notification to the Agent and provided that the Owners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3" w:name="page274"/>
    <w:bookmarkEnd w:id="27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23.20</w:t>
      </w:r>
      <w:r>
        <w:rPr>
          <w:sz w:val="20"/>
          <w:szCs w:val="20"/>
          <w:color w:val="auto"/>
        </w:rPr>
        <w:tab/>
      </w:r>
      <w:r>
        <w:rPr>
          <w:rFonts w:ascii="Times New Roman" w:cs="Times New Roman" w:eastAsia="Times New Roman" w:hAnsi="Times New Roman"/>
          <w:sz w:val="17"/>
          <w:szCs w:val="17"/>
          <w:b w:val="1"/>
          <w:bCs w:val="1"/>
          <w:color w:val="auto"/>
        </w:rPr>
        <w:t>Scrapping</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Subject to the other provisions of this Agreement, if the Ship, or any other vessel owned or controlled by the Obligors, is sold to any person (including an intermediary) with the intention of being scrapped, then such Ship or other vessel shall be recycled at a recycling yard which conducts its recycling business in a socially and environmentally responsible manner in accordance with the Hong Kong International Convention for the Safe and Environmentally Sound Recycling of Ships, 2009 and EU Ship Recycling Regulation, 2013.</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23.21</w:t>
        <w:tab/>
        <w:t>Poseidon principles</w:t>
      </w:r>
    </w:p>
    <w:p>
      <w:pPr>
        <w:spacing w:after="0" w:line="229" w:lineRule="exact"/>
        <w:rPr>
          <w:sz w:val="20"/>
          <w:szCs w:val="20"/>
          <w:color w:val="auto"/>
        </w:rPr>
      </w:pPr>
    </w:p>
    <w:p>
      <w:pPr>
        <w:jc w:val="both"/>
        <w:ind w:left="1300" w:hanging="644"/>
        <w:spacing w:after="0" w:line="253" w:lineRule="auto"/>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Owner shall, upon the request of the Agent and at the cost of such Owner, on or before 31 July in each calendar year, supply or procure the supply to the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(together with a Carbon Intensity and Climate Alignment Certificate) in each case relating to such Owner’s Ship for the preceding calendar year provided always that no Finance Party shall publicly disclose such information with the identity of any Ship without the prior written consent of the relevant Owner. For the avoidance of doubt, such information shall be Confidential Information for the purposes of clause 47 (</w:t>
      </w:r>
      <w:r>
        <w:rPr>
          <w:rFonts w:ascii="Times New Roman" w:cs="Times New Roman" w:eastAsia="Times New Roman" w:hAnsi="Times New Roman"/>
          <w:sz w:val="18"/>
          <w:szCs w:val="18"/>
          <w:i w:val="1"/>
          <w:i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but the relevant Owner acknowledges that, in accordance with the Poseidon Principles, such Confidential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will form part of the information published regarding the relevant Lender’s portfolio climate alignment.</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23.21 the following words shall have the following meanings:</w:t>
      </w:r>
    </w:p>
    <w:p>
      <w:pPr>
        <w:spacing w:after="0" w:line="221"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Carbon Intensity and Climate Alignment Certificate </w:t>
      </w:r>
      <w:r>
        <w:rPr>
          <w:rFonts w:ascii="Times New Roman" w:cs="Times New Roman" w:eastAsia="Times New Roman" w:hAnsi="Times New Roman"/>
          <w:sz w:val="18"/>
          <w:szCs w:val="18"/>
          <w:color w:val="auto"/>
        </w:rPr>
        <w:t>means a certificate from a Recognized Organisation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Ship and a calendar year setting out:</w:t>
      </w:r>
    </w:p>
    <w:p>
      <w:pPr>
        <w:spacing w:after="0" w:line="158"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efficiency ratio of that Ship for all voyages performed by it over that calendar year using ship fuel oil consumption data required to be collected and reported in accordance with Regulation 22A of Annex VI in respect of that calendar year;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climate alignment of that Ship for such calendar year,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as calculated in accordance with the Poseidon Principles.</w:t>
      </w:r>
    </w:p>
    <w:p>
      <w:pPr>
        <w:spacing w:after="0" w:line="221"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Poseidon Principles </w:t>
      </w:r>
      <w:r>
        <w:rPr>
          <w:rFonts w:ascii="Times New Roman" w:cs="Times New Roman" w:eastAsia="Times New Roman" w:hAnsi="Times New Roman"/>
          <w:sz w:val="18"/>
          <w:szCs w:val="18"/>
          <w:color w:val="auto"/>
        </w:rPr>
        <w:t>means the financial industry framework for assessing and disclosing the climate alignment of 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portfolios published on 18 June 2019 as the same may be amended or replaced (to reflect changes in applicable law or regulation or the introduction of or changes to mandatory requirements of the International Maritime Organisation) from time to time.</w:t>
      </w:r>
    </w:p>
    <w:p>
      <w:pPr>
        <w:spacing w:after="0" w:line="176"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Recognized Organisation </w:t>
      </w:r>
      <w:r>
        <w:rPr>
          <w:rFonts w:ascii="Times New Roman" w:cs="Times New Roman" w:eastAsia="Times New Roman" w:hAnsi="Times New Roman"/>
          <w:sz w:val="18"/>
          <w:szCs w:val="18"/>
          <w:color w:val="auto"/>
        </w:rPr>
        <w:t>means, in respect of a Ship, an organisation representing that Ship’s flag state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clause 23.21, duly authorised to determine whether the relevant Owner has complied with regulation 22A of Annex Vl.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4" w:name="page275"/>
    <w:bookmarkEnd w:id="27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23.22</w:t>
      </w:r>
      <w:r>
        <w:rPr>
          <w:sz w:val="20"/>
          <w:szCs w:val="20"/>
          <w:color w:val="auto"/>
        </w:rPr>
        <w:tab/>
      </w:r>
      <w:r>
        <w:rPr>
          <w:rFonts w:ascii="Times New Roman" w:cs="Times New Roman" w:eastAsia="Times New Roman" w:hAnsi="Times New Roman"/>
          <w:sz w:val="17"/>
          <w:szCs w:val="17"/>
          <w:b w:val="1"/>
          <w:bCs w:val="1"/>
          <w:color w:val="auto"/>
        </w:rPr>
        <w:t>Inventory of Hazardous Materials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Inventory of Hazardous Materials shall be maintained in relation to the Ship provided that if such certificate is not available at the start of the Ship’s Mortgage Period, an Inventory of Hazardous Material will be obtained at the next dry docking of the Ship.</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Insurance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Undertaking to comply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Obligor who is a Party undertakes that this clause 24 shall be complied with in relation to each Mortgaged Ship and its Insurances throughout the relevant Ship’s Mortgage Period.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8"/>
          <w:szCs w:val="18"/>
          <w:b w:val="1"/>
          <w:bCs w:val="1"/>
          <w:color w:val="auto"/>
        </w:rPr>
        <w:t>Insurance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clause 24:</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excess risks </w:t>
      </w:r>
      <w:r>
        <w:rPr>
          <w:rFonts w:ascii="Times New Roman" w:cs="Times New Roman" w:eastAsia="Times New Roman" w:hAnsi="Times New Roman"/>
          <w:sz w:val="18"/>
          <w:szCs w:val="18"/>
          <w:color w:val="auto"/>
        </w:rPr>
        <w:t>means the proportion (if any) of claims for general average, salvage and salvage charges not recoverable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hull and machinery insurances of a vessel in consequence of the value at which the vessel is assessed for the purpose of such claims exceeding its insured value.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excess war risk P&amp;I cover </w:t>
      </w:r>
      <w:r>
        <w:rPr>
          <w:rFonts w:ascii="Times New Roman" w:cs="Times New Roman" w:eastAsia="Times New Roman" w:hAnsi="Times New Roman"/>
          <w:sz w:val="18"/>
          <w:szCs w:val="18"/>
          <w:color w:val="auto"/>
        </w:rPr>
        <w:t>means cover for claims only in excess of amounts recoverable under the usual war risk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hull and machinery, crew and protection and indemnity risks.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hull cover </w:t>
      </w:r>
      <w:r>
        <w:rPr>
          <w:rFonts w:ascii="Times New Roman" w:cs="Times New Roman" w:eastAsia="Times New Roman" w:hAnsi="Times New Roman"/>
          <w:sz w:val="18"/>
          <w:szCs w:val="18"/>
          <w:color w:val="auto"/>
        </w:rPr>
        <w:t>means insurance cover against the risks identified in paragraph (a) of clause 24.3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(Coverage required)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minimum hull cover </w:t>
      </w:r>
      <w:r>
        <w:rPr>
          <w:rFonts w:ascii="Times New Roman" w:cs="Times New Roman" w:eastAsia="Times New Roman" w:hAnsi="Times New Roman"/>
          <w:sz w:val="18"/>
          <w:szCs w:val="18"/>
          <w:color w:val="auto"/>
        </w:rPr>
        <w:t>means, in relation to a Mortgaged Ship, an amount equal to the greater of</w:t>
      </w:r>
    </w:p>
    <w:p>
      <w:pPr>
        <w:spacing w:after="0" w:line="31" w:lineRule="exact"/>
        <w:rPr>
          <w:sz w:val="20"/>
          <w:szCs w:val="20"/>
          <w:color w:val="auto"/>
        </w:rPr>
      </w:pPr>
    </w:p>
    <w:p>
      <w:pPr>
        <w:jc w:val="both"/>
        <w:ind w:left="660" w:hanging="4"/>
        <w:spacing w:after="0" w:line="255" w:lineRule="auto"/>
        <w:tabs>
          <w:tab w:leader="none" w:pos="8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that Ship and (ii) such amount which, when added to the insured value of the other Mortgaged Ships for the equivalent insurance cover at the relevant time, is no less than 120 per cent of the aggregate of the Total Commitments at the relevant time.</w:t>
      </w:r>
    </w:p>
    <w:p>
      <w:pPr>
        <w:spacing w:after="0" w:line="18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P&amp;I risks </w:t>
      </w:r>
      <w:r>
        <w:rPr>
          <w:rFonts w:ascii="Times New Roman" w:cs="Times New Roman" w:eastAsia="Times New Roman" w:hAnsi="Times New Roman"/>
          <w:sz w:val="18"/>
          <w:szCs w:val="18"/>
          <w:color w:val="auto"/>
        </w:rPr>
        <w:t>means the usual risks (including liability for oil pollution, excess war risk P&amp;I cover) covered by a protection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Coverage required</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Ship (including its hull and machinery, hull interest, disbursements and/or increased value) shall at all times be insured at the Ship's Owner's cost:</w:t>
      </w:r>
    </w:p>
    <w:p>
      <w:pPr>
        <w:spacing w:after="0" w:line="162" w:lineRule="exact"/>
        <w:rPr>
          <w:sz w:val="20"/>
          <w:szCs w:val="20"/>
          <w:color w:val="auto"/>
        </w:rPr>
      </w:pPr>
    </w:p>
    <w:p>
      <w:pPr>
        <w:jc w:val="both"/>
        <w:ind w:left="1300" w:right="20" w:hanging="644"/>
        <w:spacing w:after="0" w:line="258" w:lineRule="auto"/>
        <w:tabs>
          <w:tab w:leader="none" w:pos="13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fire and usual marine risks (including excess risks) and war risks (including war protection and indemnity risks (including crew), terrorism risks, piracy and confiscation risks and excess war P&amp;I risk) on an agreed value basis, for its minimum hull cover (and with the insured value under the hull and machinery cover to be at least 80% of its market value provided that it is acceptable to the Finance Parties if the hull interest and the freight interest is insured for up to 33.33% under the increased value/disbursements policies);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5" w:name="page276"/>
    <w:bookmarkEnd w:id="275"/>
    <w:p>
      <w:pPr>
        <w:ind w:left="1300" w:hanging="644"/>
        <w:spacing w:after="0" w:line="282" w:lineRule="auto"/>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such other risks and matters which the Agent notifies it that it considers reasonable for a prudent shipowner or operator to insure against at the time of that notice;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which comply with the other provisions of this clause 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Placing of cover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insurance coverage required by clause 24.3 </w:t>
      </w:r>
      <w:r>
        <w:rPr>
          <w:rFonts w:ascii="Times New Roman" w:cs="Times New Roman" w:eastAsia="Times New Roman" w:hAnsi="Times New Roman"/>
          <w:sz w:val="18"/>
          <w:szCs w:val="18"/>
          <w:i w:val="1"/>
          <w:iCs w:val="1"/>
          <w:color w:val="auto"/>
        </w:rPr>
        <w:t>(Coverage required)</w:t>
      </w:r>
      <w:r>
        <w:rPr>
          <w:rFonts w:ascii="Times New Roman" w:cs="Times New Roman" w:eastAsia="Times New Roman" w:hAnsi="Times New Roman"/>
          <w:sz w:val="18"/>
          <w:szCs w:val="18"/>
          <w:color w:val="auto"/>
        </w:rPr>
        <w:t xml:space="preserve"> shall be:</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the relevant Owner and (in the case of the Ship’s hull cover) no other person (other than the Security Agent (and any other Finance Party required by the Agent) if required by the Agent) (unless such other person is approved and, if so required by the Agent, has duly executed and delivered a first priority assignment of its interest in the Ship’s Insurances to the Security Agent (and any other Finance Party required by the Agent) in an approved form and provided such supporting documents and opinions in relation to that assignment as the Agent requires);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so requests, in the joint names of the relevant Owner and the Security Agent (and any other Finance Party required by the Agent) (and, to the extent reasonably practicable in the insurance market, without liability on the part of the Security Agent or such Finance Party for premiums or calls);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dollars or another approved currency;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arranged through approved brokers or direct with approved insurers or protection and indemnity or war risks associations;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full force and effect;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approved terms (and always applying the terms of the Institute Time Clauses 1/10/1983 or equivalent clauses under the Nordic Marine Insurance Plan of 2013 or equivalent International Hull Clauses if available in the insurance market) and with approved insurers or associations.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8"/>
          <w:szCs w:val="18"/>
          <w:b w:val="1"/>
          <w:bCs w:val="1"/>
          <w:color w:val="auto"/>
        </w:rPr>
        <w:t>Deductibles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aggregate amount of any excess or deductible under the Ship’s hull cover shall not exceed $1,000,000 or any other approved amount.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b w:val="1"/>
          <w:bCs w:val="1"/>
          <w:color w:val="auto"/>
        </w:rPr>
        <w:t>Mortgagee’s insurance</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of 110% of the Loans at such time.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take out mortgagee's interest insurance and mortgagee’s additional perils (pollution risks) cover (on the terms provided under clause 24.6(a)) and keep such mortgagee's interest insurance and mortgagee’s additional perils (pollution risks) cover in force in respect of the Ship throughout the Mortgage Period of that Ship.</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24.7</w:t>
      </w:r>
      <w:r>
        <w:rPr>
          <w:sz w:val="20"/>
          <w:szCs w:val="20"/>
          <w:color w:val="auto"/>
        </w:rPr>
        <w:tab/>
      </w:r>
      <w:r>
        <w:rPr>
          <w:rFonts w:ascii="Times New Roman" w:cs="Times New Roman" w:eastAsia="Times New Roman" w:hAnsi="Times New Roman"/>
          <w:sz w:val="17"/>
          <w:szCs w:val="17"/>
          <w:b w:val="1"/>
          <w:bCs w:val="1"/>
          <w:color w:val="auto"/>
        </w:rPr>
        <w:t>Fleet liens, set off and cancellations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Ship’s hull cover also insures other vessels, the Security Agent shall either be given an undertaking in approved terms by the brokers or (if such cover is not placed through brokers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6" w:name="page277"/>
    <w:bookmarkEnd w:id="276"/>
    <w:p>
      <w:pPr>
        <w:ind w:left="660"/>
        <w:spacing w:after="0" w:line="282" w:lineRule="auto"/>
        <w:rPr>
          <w:sz w:val="20"/>
          <w:szCs w:val="20"/>
          <w:color w:val="auto"/>
        </w:rPr>
      </w:pPr>
      <w:r>
        <w:rPr>
          <w:rFonts w:ascii="Times New Roman" w:cs="Times New Roman" w:eastAsia="Times New Roman" w:hAnsi="Times New Roman"/>
          <w:sz w:val="18"/>
          <w:szCs w:val="18"/>
          <w:color w:val="auto"/>
        </w:rPr>
        <w:t>the brokers do not, under any applicable laws or insurance terms, have such rights of set off and cancellation) the relevant insurers that the brokers or (if relevant) the insurers will not:</w:t>
      </w:r>
    </w:p>
    <w:p>
      <w:pPr>
        <w:spacing w:after="0" w:line="162" w:lineRule="exact"/>
        <w:rPr>
          <w:sz w:val="20"/>
          <w:szCs w:val="20"/>
          <w:color w:val="auto"/>
        </w:rPr>
      </w:pPr>
    </w:p>
    <w:p>
      <w:pPr>
        <w:ind w:left="1300" w:right="20" w:hanging="644"/>
        <w:spacing w:after="0" w:line="282" w:lineRule="auto"/>
        <w:tabs>
          <w:tab w:leader="none" w:pos="13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off against any claims in respect of the Ship any premiums due in respect of any of such other vessels insured (other than other Mortgaged Ships);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that cover because of non-payment of premiums in respect of such other vessels,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or the Borrower shall ensure that hull cover for the Ship and any other Mortgaged Ships is provided under a separate policy from any other vessels.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24.8</w:t>
      </w:r>
      <w:r>
        <w:rPr>
          <w:sz w:val="20"/>
          <w:szCs w:val="20"/>
          <w:color w:val="auto"/>
        </w:rPr>
        <w:tab/>
      </w:r>
      <w:r>
        <w:rPr>
          <w:rFonts w:ascii="Times New Roman" w:cs="Times New Roman" w:eastAsia="Times New Roman" w:hAnsi="Times New Roman"/>
          <w:sz w:val="17"/>
          <w:szCs w:val="17"/>
          <w:b w:val="1"/>
          <w:bCs w:val="1"/>
          <w:color w:val="auto"/>
        </w:rPr>
        <w:t>Payment of premiums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24.9</w:t>
      </w:r>
      <w:r>
        <w:rPr>
          <w:sz w:val="20"/>
          <w:szCs w:val="20"/>
          <w:color w:val="auto"/>
        </w:rPr>
        <w:tab/>
      </w:r>
      <w:r>
        <w:rPr>
          <w:rFonts w:ascii="Times New Roman" w:cs="Times New Roman" w:eastAsia="Times New Roman" w:hAnsi="Times New Roman"/>
          <w:sz w:val="17"/>
          <w:szCs w:val="17"/>
          <w:b w:val="1"/>
          <w:bCs w:val="1"/>
          <w:color w:val="auto"/>
        </w:rPr>
        <w:t>Details of proposed renewal of Insurances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least three (3)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24.10</w:t>
      </w:r>
      <w:r>
        <w:rPr>
          <w:sz w:val="20"/>
          <w:szCs w:val="20"/>
          <w:color w:val="auto"/>
        </w:rPr>
        <w:tab/>
      </w:r>
      <w:r>
        <w:rPr>
          <w:rFonts w:ascii="Times New Roman" w:cs="Times New Roman" w:eastAsia="Times New Roman" w:hAnsi="Times New Roman"/>
          <w:sz w:val="17"/>
          <w:szCs w:val="17"/>
          <w:b w:val="1"/>
          <w:bCs w:val="1"/>
          <w:color w:val="auto"/>
        </w:rPr>
        <w:t>Instructions for renewal</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least two (2) days before any of the Ship’s Insurances are due to expire, instructions shall be given to brokers, insurers and associations for them to be renewed or replaced on or before their expiry.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24.11</w:t>
      </w:r>
      <w:r>
        <w:rPr>
          <w:sz w:val="20"/>
          <w:szCs w:val="20"/>
          <w:color w:val="auto"/>
        </w:rPr>
        <w:tab/>
      </w:r>
      <w:r>
        <w:rPr>
          <w:rFonts w:ascii="Times New Roman" w:cs="Times New Roman" w:eastAsia="Times New Roman" w:hAnsi="Times New Roman"/>
          <w:sz w:val="17"/>
          <w:szCs w:val="17"/>
          <w:b w:val="1"/>
          <w:bCs w:val="1"/>
          <w:color w:val="auto"/>
        </w:rPr>
        <w:t>Confirmation of renewal</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Ship’s Insurances shall be renewed upon their expiry in a manner and on terms which comply with this clause 24 and confirmation of such renewal given by approved brokers or insurers which shall be provided to the Agent upon such expiry.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24.12</w:t>
        <w:tab/>
        <w:t>P&amp;I guarantees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guarantee or undertaking required by any protection and indemnity or war risks association in relation to the Ship shall be provided when required by the association.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24.13</w:t>
      </w:r>
      <w:r>
        <w:rPr>
          <w:sz w:val="20"/>
          <w:szCs w:val="20"/>
          <w:color w:val="auto"/>
        </w:rPr>
        <w:tab/>
      </w:r>
      <w:r>
        <w:rPr>
          <w:rFonts w:ascii="Times New Roman" w:cs="Times New Roman" w:eastAsia="Times New Roman" w:hAnsi="Times New Roman"/>
          <w:sz w:val="17"/>
          <w:szCs w:val="17"/>
          <w:b w:val="1"/>
          <w:bCs w:val="1"/>
          <w:color w:val="auto"/>
        </w:rPr>
        <w:t>Insurance documents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24.14</w:t>
      </w:r>
      <w:r>
        <w:rPr>
          <w:sz w:val="20"/>
          <w:szCs w:val="20"/>
          <w:color w:val="auto"/>
        </w:rPr>
        <w:tab/>
      </w:r>
      <w:r>
        <w:rPr>
          <w:rFonts w:ascii="Times New Roman" w:cs="Times New Roman" w:eastAsia="Times New Roman" w:hAnsi="Times New Roman"/>
          <w:sz w:val="17"/>
          <w:szCs w:val="17"/>
          <w:b w:val="1"/>
          <w:bCs w:val="1"/>
          <w:color w:val="auto"/>
        </w:rPr>
        <w:t>Letters of undertaking</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7" w:name="page278"/>
    <w:bookmarkEnd w:id="27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24.15</w:t>
        <w:tab/>
        <w:t>Insurance Notices and Loss Payable Clauses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the relevant Owner and, unless otherwise approved, each other person assured under the relevant cover (other than the Security Agent or any other Finance Party if it is itself an assured).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24.16</w:t>
      </w:r>
      <w:r>
        <w:rPr>
          <w:sz w:val="20"/>
          <w:szCs w:val="20"/>
          <w:color w:val="auto"/>
        </w:rPr>
        <w:tab/>
      </w:r>
      <w:r>
        <w:rPr>
          <w:rFonts w:ascii="Times New Roman" w:cs="Times New Roman" w:eastAsia="Times New Roman" w:hAnsi="Times New Roman"/>
          <w:sz w:val="17"/>
          <w:szCs w:val="17"/>
          <w:b w:val="1"/>
          <w:bCs w:val="1"/>
          <w:color w:val="auto"/>
        </w:rPr>
        <w:t>Insurance correspondence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 provided that these are not subject to confidentiality obligations to third parties or imposed by law and subject to the Borrower using all reasonable endeavours to obtain a waiver of any such confidentiality obligation.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24.17</w:t>
      </w:r>
      <w:r>
        <w:rPr>
          <w:sz w:val="20"/>
          <w:szCs w:val="20"/>
          <w:color w:val="auto"/>
        </w:rPr>
        <w:tab/>
      </w:r>
      <w:r>
        <w:rPr>
          <w:rFonts w:ascii="Times New Roman" w:cs="Times New Roman" w:eastAsia="Times New Roman" w:hAnsi="Times New Roman"/>
          <w:sz w:val="17"/>
          <w:szCs w:val="17"/>
          <w:b w:val="1"/>
          <w:bCs w:val="1"/>
          <w:color w:val="auto"/>
        </w:rPr>
        <w:t>Qualifications and exclusions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requirements applicable to the Ship’s Insurances shall be complied with and the Ship’s Insurances shall only be subject to approved exclusions or qualifications.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24.18</w:t>
      </w:r>
      <w:r>
        <w:rPr>
          <w:sz w:val="20"/>
          <w:szCs w:val="20"/>
          <w:color w:val="auto"/>
        </w:rPr>
        <w:tab/>
      </w:r>
      <w:r>
        <w:rPr>
          <w:rFonts w:ascii="Times New Roman" w:cs="Times New Roman" w:eastAsia="Times New Roman" w:hAnsi="Times New Roman"/>
          <w:sz w:val="17"/>
          <w:szCs w:val="17"/>
          <w:b w:val="1"/>
          <w:bCs w:val="1"/>
          <w:color w:val="auto"/>
        </w:rPr>
        <w:t>Independent report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the Agent (acting on the instructions of the Majority Lenders) asks the Borrower for a detailed report from an approved independent firm of marine insurance brokers giving their opinion on the adequacy of the Ship’s Insurances then the Agent shall be provided promptly with such a report at no cost to the Agent or (if the Agent obtains such a report itself which then it shall be entitled to do) the Borrower shall reimburse the Agent for the cost of obtaining that report. The Borrower shall not bear the cost of more than two such reports in aggregate for all Ships per calendar year, unless there is an Event of Default which is continuing.</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24.19</w:t>
      </w:r>
      <w:r>
        <w:rPr>
          <w:sz w:val="20"/>
          <w:szCs w:val="20"/>
          <w:color w:val="auto"/>
        </w:rPr>
        <w:tab/>
      </w:r>
      <w:r>
        <w:rPr>
          <w:rFonts w:ascii="Times New Roman" w:cs="Times New Roman" w:eastAsia="Times New Roman" w:hAnsi="Times New Roman"/>
          <w:sz w:val="17"/>
          <w:szCs w:val="17"/>
          <w:b w:val="1"/>
          <w:bCs w:val="1"/>
          <w:color w:val="auto"/>
        </w:rPr>
        <w:t>Collection of claims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24.20</w:t>
      </w:r>
      <w:r>
        <w:rPr>
          <w:sz w:val="20"/>
          <w:szCs w:val="20"/>
          <w:color w:val="auto"/>
        </w:rPr>
        <w:tab/>
      </w:r>
      <w:r>
        <w:rPr>
          <w:rFonts w:ascii="Times New Roman" w:cs="Times New Roman" w:eastAsia="Times New Roman" w:hAnsi="Times New Roman"/>
          <w:sz w:val="17"/>
          <w:szCs w:val="17"/>
          <w:b w:val="1"/>
          <w:bCs w:val="1"/>
          <w:color w:val="auto"/>
        </w:rPr>
        <w:t>Employment of 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24.21</w:t>
      </w:r>
      <w:r>
        <w:rPr>
          <w:sz w:val="20"/>
          <w:szCs w:val="20"/>
          <w:color w:val="auto"/>
        </w:rPr>
        <w:tab/>
      </w:r>
      <w:r>
        <w:rPr>
          <w:rFonts w:ascii="Times New Roman" w:cs="Times New Roman" w:eastAsia="Times New Roman" w:hAnsi="Times New Roman"/>
          <w:sz w:val="17"/>
          <w:szCs w:val="17"/>
          <w:b w:val="1"/>
          <w:bCs w:val="1"/>
          <w:color w:val="auto"/>
        </w:rPr>
        <w:t>Declarations and returns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24.22</w:t>
      </w:r>
      <w:r>
        <w:rPr>
          <w:sz w:val="20"/>
          <w:szCs w:val="20"/>
          <w:color w:val="auto"/>
        </w:rPr>
        <w:tab/>
      </w:r>
      <w:r>
        <w:rPr>
          <w:rFonts w:ascii="Times New Roman" w:cs="Times New Roman" w:eastAsia="Times New Roman" w:hAnsi="Times New Roman"/>
          <w:sz w:val="17"/>
          <w:szCs w:val="17"/>
          <w:b w:val="1"/>
          <w:bCs w:val="1"/>
          <w:color w:val="auto"/>
        </w:rPr>
        <w:t>Application of recoveries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8" w:name="page279"/>
    <w:bookmarkEnd w:id="27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24.23</w:t>
      </w:r>
      <w:r>
        <w:rPr>
          <w:sz w:val="20"/>
          <w:szCs w:val="20"/>
          <w:color w:val="auto"/>
        </w:rPr>
        <w:tab/>
      </w:r>
      <w:r>
        <w:rPr>
          <w:rFonts w:ascii="Times New Roman" w:cs="Times New Roman" w:eastAsia="Times New Roman" w:hAnsi="Times New Roman"/>
          <w:sz w:val="17"/>
          <w:szCs w:val="17"/>
          <w:b w:val="1"/>
          <w:bCs w:val="1"/>
          <w:color w:val="auto"/>
        </w:rPr>
        <w:t>Settlement of claims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Any claim under the Ship’s Insurances for a Total Loss or Major Casualty shall only be settled, compromised or abandoned with prior approval of all Lenders provided that, in the case of Total Loss at a time when no Event of Default has occurred and is continuing, no such prior approval is required if proceeds payable in respect of such settlement are sufficient to enable the Borrower to make the prepayment required under clause 7.8(b)(i)(</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 or the Borrower has provided a Replacement Ship in accordance with clause 7.8(b)(ii)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7380" w:firstLine="8"/>
        <w:spacing w:after="0" w:line="503" w:lineRule="auto"/>
        <w:tabs>
          <w:tab w:leader="none" w:pos="648"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security value 25.1 Undertaking to comply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who is a Party undertakes that this clause 25 will be complied with throughout the Facility Period.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Valuation of assets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purpose of the Finance Documents, the value at any time of any Mortgaged Ship or a Ship before any Utilisation or any other asset over which additional security is provided under this clause 25 will be its value as most recently determined in accordance with this clause 25 or, if no such value has been obtained, its value determined under any valuation made pursuant to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Valuation frequency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Valuation of each Mortgaged Ship or each Ship before the first Utilisation and each such other asset in accordance with this clause 25 may be required by the Majority Lenders, acting reasonably, at any time (but in any event not less frequently than twice per calendar year on 30 June and 31 December of each calendar year).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7"/>
          <w:szCs w:val="17"/>
          <w:b w:val="1"/>
          <w:bCs w:val="1"/>
          <w:color w:val="auto"/>
        </w:rPr>
        <w:t>Expenses of valuation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Borrower shall bear, and reimburse to the Agent where incurred by the Agent, all costs and expenses of providing such a valuation provided that, unless an Event of Default has occurred and is continuing (in which case the Borrower shall bear the cost of any and all such valuations), the Borrower shall bear the cost of the valuations of each Mortgaged Ship under this clause 25 only twice per calendar year (but excluding for such purpose any valuations of a Mortgaged Ship if an Event of Default has occurred and is continuing, or a Total Loss of a Ship has occurred or has potentially occurred, or before the proposed or anticipated sale of a Ship, or any valuations of a Ship obtained before the first Utilisation where the cost of all such valuations shall in any event be borne by the Borrower). The Lenders shall bear the cost of any further valuations.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25.5</w:t>
      </w:r>
      <w:r>
        <w:rPr>
          <w:sz w:val="20"/>
          <w:szCs w:val="20"/>
          <w:color w:val="auto"/>
        </w:rPr>
        <w:tab/>
      </w:r>
      <w:r>
        <w:rPr>
          <w:rFonts w:ascii="Times New Roman" w:cs="Times New Roman" w:eastAsia="Times New Roman" w:hAnsi="Times New Roman"/>
          <w:sz w:val="17"/>
          <w:szCs w:val="17"/>
          <w:b w:val="1"/>
          <w:bCs w:val="1"/>
          <w:color w:val="auto"/>
        </w:rPr>
        <w:t>Valuations procedure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value of any Mortgaged Ship and each Ship before the first Utilisation shall be determined in accordance with, and by valuers approved and appointed in accordance with, this clause 25. Additional security provided under this clause 25 shall be valued in such a way, on such a basis and by such persons (including the Agent itself) as may be approved by the Majority Lenders or as may be agreed in writing by the Borrower and the Agent (on the instructions of the Majority Lenders).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25.6</w:t>
      </w:r>
      <w:r>
        <w:rPr>
          <w:sz w:val="20"/>
          <w:szCs w:val="20"/>
          <w:color w:val="auto"/>
        </w:rPr>
        <w:tab/>
      </w:r>
      <w:r>
        <w:rPr>
          <w:rFonts w:ascii="Times New Roman" w:cs="Times New Roman" w:eastAsia="Times New Roman" w:hAnsi="Times New Roman"/>
          <w:sz w:val="17"/>
          <w:szCs w:val="17"/>
          <w:b w:val="1"/>
          <w:bCs w:val="1"/>
          <w:color w:val="auto"/>
        </w:rPr>
        <w:t>Currency of valuation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9" w:name="page280"/>
    <w:bookmarkEnd w:id="27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25.7</w:t>
      </w:r>
      <w:r>
        <w:rPr>
          <w:sz w:val="20"/>
          <w:szCs w:val="20"/>
          <w:color w:val="auto"/>
        </w:rPr>
        <w:tab/>
      </w:r>
      <w:r>
        <w:rPr>
          <w:rFonts w:ascii="Times New Roman" w:cs="Times New Roman" w:eastAsia="Times New Roman" w:hAnsi="Times New Roman"/>
          <w:sz w:val="17"/>
          <w:szCs w:val="17"/>
          <w:b w:val="1"/>
          <w:bCs w:val="1"/>
          <w:color w:val="auto"/>
        </w:rPr>
        <w:t>Basis of valuation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Each valuation will be addressed to the Agent in its capacity as such, it will be not more than 30 days old from its delivery to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Agent and made:</w:t>
      </w:r>
    </w:p>
    <w:p>
      <w:pPr>
        <w:spacing w:after="0" w:line="207" w:lineRule="exact"/>
        <w:rPr>
          <w:sz w:val="20"/>
          <w:szCs w:val="20"/>
          <w:color w:val="auto"/>
        </w:rPr>
      </w:pPr>
    </w:p>
    <w:p>
      <w:pPr>
        <w:ind w:left="1300" w:hanging="644"/>
        <w:spacing w:after="0"/>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physical inspection (unless required by the Agent acting on the instructions of the Majority Lenders);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a sale for prompt delivery for a price payable in full in cash on delivery at arm’s length on normal commercial terms between a willing buyer and a willing seller;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taking into account the benefit or detriment of any charter commitment.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25.8</w:t>
      </w:r>
      <w:r>
        <w:rPr>
          <w:sz w:val="20"/>
          <w:szCs w:val="20"/>
          <w:color w:val="auto"/>
        </w:rPr>
        <w:tab/>
      </w:r>
      <w:r>
        <w:rPr>
          <w:rFonts w:ascii="Times New Roman" w:cs="Times New Roman" w:eastAsia="Times New Roman" w:hAnsi="Times New Roman"/>
          <w:sz w:val="17"/>
          <w:szCs w:val="17"/>
          <w:b w:val="1"/>
          <w:bCs w:val="1"/>
          <w:color w:val="auto"/>
        </w:rPr>
        <w:t>Information required for valuation</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Borrower shall promptly provide to the Agent and any such valuer any information which they reasonably require for the purposes of providing such a valuation.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25.9</w:t>
      </w:r>
      <w:r>
        <w:rPr>
          <w:sz w:val="20"/>
          <w:szCs w:val="20"/>
          <w:color w:val="auto"/>
        </w:rPr>
        <w:tab/>
      </w:r>
      <w:r>
        <w:rPr>
          <w:rFonts w:ascii="Times New Roman" w:cs="Times New Roman" w:eastAsia="Times New Roman" w:hAnsi="Times New Roman"/>
          <w:sz w:val="17"/>
          <w:szCs w:val="17"/>
          <w:b w:val="1"/>
          <w:bCs w:val="1"/>
          <w:color w:val="auto"/>
        </w:rPr>
        <w:t>Approval of valuers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valuers must be Approved Brokers. The Agent may from time to time notify the Borrower and the Lenders of approval of any additional independent ship brokers which have been approved by the Borrower and the Agent (acting on the instructions of the Majority Lenders) as Approved Brokers for the purposes of this clause 25 and this Agreement, and the Majority Lenders may from time to time request the replacement of an Approved Broker.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25.10</w:t>
      </w:r>
      <w:r>
        <w:rPr>
          <w:sz w:val="20"/>
          <w:szCs w:val="20"/>
          <w:color w:val="auto"/>
        </w:rPr>
        <w:tab/>
      </w:r>
      <w:r>
        <w:rPr>
          <w:rFonts w:ascii="Times New Roman" w:cs="Times New Roman" w:eastAsia="Times New Roman" w:hAnsi="Times New Roman"/>
          <w:sz w:val="17"/>
          <w:szCs w:val="17"/>
          <w:b w:val="1"/>
          <w:bCs w:val="1"/>
          <w:color w:val="auto"/>
        </w:rPr>
        <w:t>Appointment of Approved Brokers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a valuation is required for the purposes of this clause 25, the Borrower shall promptly appoint the relevant Approved Brokers to provide such a valuation. If the Borrower fails to appoint Approved Brokers within 5 Business Days of being required to do so, the Agent may appoint the relevant Approved Brokers to provide that valuation.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25.11</w:t>
      </w:r>
      <w:r>
        <w:rPr>
          <w:sz w:val="20"/>
          <w:szCs w:val="20"/>
          <w:color w:val="auto"/>
        </w:rPr>
        <w:tab/>
      </w:r>
      <w:r>
        <w:rPr>
          <w:rFonts w:ascii="Times New Roman" w:cs="Times New Roman" w:eastAsia="Times New Roman" w:hAnsi="Times New Roman"/>
          <w:sz w:val="17"/>
          <w:szCs w:val="17"/>
          <w:b w:val="1"/>
          <w:bCs w:val="1"/>
          <w:color w:val="auto"/>
        </w:rPr>
        <w:t>Number of valuers</w:t>
      </w:r>
    </w:p>
    <w:p>
      <w:pPr>
        <w:spacing w:after="0" w:line="229" w:lineRule="exact"/>
        <w:rPr>
          <w:sz w:val="20"/>
          <w:szCs w:val="20"/>
          <w:color w:val="auto"/>
        </w:rPr>
      </w:pPr>
    </w:p>
    <w:p>
      <w:pPr>
        <w:ind w:left="1300" w:right="20" w:hanging="644"/>
        <w:spacing w:after="0" w:line="282" w:lineRule="auto"/>
        <w:tabs>
          <w:tab w:leader="none" w:pos="13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valuation must be carried out by two (2) Approved Brokers both of whom shall be nominated by the Borrower. If the Borrower fails promptly to nominate an Approved Broker then the Agent may nominate that valuer.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two (2) valuations of a Ship made by two (2) Approved Brokers vary by more than 15%, then a third Approved Broker must be nominated by the Borrower to provide a valuation of such Ship. If the Borrower fails to promptly nominate such third Approved Broker, then the Agent may nominate that third Approved Broker.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25.12</w:t>
      </w:r>
      <w:r>
        <w:rPr>
          <w:sz w:val="20"/>
          <w:szCs w:val="20"/>
          <w:color w:val="auto"/>
        </w:rPr>
        <w:tab/>
      </w:r>
      <w:r>
        <w:rPr>
          <w:rFonts w:ascii="Times New Roman" w:cs="Times New Roman" w:eastAsia="Times New Roman" w:hAnsi="Times New Roman"/>
          <w:sz w:val="17"/>
          <w:szCs w:val="17"/>
          <w:b w:val="1"/>
          <w:bCs w:val="1"/>
          <w:color w:val="auto"/>
        </w:rPr>
        <w:t>Differences in valuations</w:t>
      </w:r>
    </w:p>
    <w:p>
      <w:pPr>
        <w:spacing w:after="0" w:line="229" w:lineRule="exact"/>
        <w:rPr>
          <w:sz w:val="20"/>
          <w:szCs w:val="20"/>
          <w:color w:val="auto"/>
        </w:rPr>
      </w:pPr>
    </w:p>
    <w:p>
      <w:pPr>
        <w:ind w:left="1300" w:hanging="644"/>
        <w:spacing w:after="0" w:line="282" w:lineRule="auto"/>
        <w:tabs>
          <w:tab w:leader="none" w:pos="13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valuations of a Ship provided by different Approved Brokers differ, the value of the relevant Ship for the purposes of the Finance Documents will be the mean average of those valuations.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Approved Broker provides a range of values for a Ship, the value of such Ship for the purposes of the Finance Documents will be the mean average of the values comprising such range.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25.13</w:t>
        <w:tab/>
        <w:t>Security shortfall</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Security Value is less than the Minimum Value, the Agent may, and shall, if so directed by the Majority Lenders, by notice to the Borrower require that such deficiency be remedied. The Borrower shall then within 30 days of receipt of such notice ensure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0" w:name="page281"/>
    <w:bookmarkEnd w:id="280"/>
    <w:p>
      <w:pPr>
        <w:ind w:left="1300"/>
        <w:spacing w:after="0"/>
        <w:rPr>
          <w:sz w:val="20"/>
          <w:szCs w:val="20"/>
          <w:color w:val="auto"/>
        </w:rPr>
      </w:pPr>
      <w:r>
        <w:rPr>
          <w:rFonts w:ascii="Times New Roman" w:cs="Times New Roman" w:eastAsia="Times New Roman" w:hAnsi="Times New Roman"/>
          <w:sz w:val="18"/>
          <w:szCs w:val="18"/>
          <w:color w:val="auto"/>
        </w:rPr>
        <w:t>the Security Value equals or exceeds the Minimum Value. For this purpose, the Borrower may:</w:t>
      </w:r>
    </w:p>
    <w:p>
      <w:pPr>
        <w:spacing w:after="0" w:line="225" w:lineRule="exact"/>
        <w:rPr>
          <w:sz w:val="20"/>
          <w:szCs w:val="20"/>
          <w:color w:val="auto"/>
        </w:rPr>
      </w:pPr>
    </w:p>
    <w:p>
      <w:pPr>
        <w:ind w:left="1960" w:hanging="656"/>
        <w:spacing w:after="0" w:line="282" w:lineRule="auto"/>
        <w:tabs>
          <w:tab w:leader="none" w:pos="19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security over cash in dollars or other assets approved by the Majority Lenders in accordance with this clause 25; and/or</w:t>
      </w:r>
    </w:p>
    <w:p>
      <w:pPr>
        <w:spacing w:after="0" w:line="159"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 part of the Total Commitments under clause 7.3 </w:t>
      </w:r>
      <w:r>
        <w:rPr>
          <w:rFonts w:ascii="Times New Roman" w:cs="Times New Roman" w:eastAsia="Times New Roman" w:hAnsi="Times New Roman"/>
          <w:sz w:val="18"/>
          <w:szCs w:val="18"/>
          <w:i w:val="1"/>
          <w:iCs w:val="1"/>
          <w:color w:val="auto"/>
        </w:rPr>
        <w:t>(Voluntary cancellation)</w:t>
      </w:r>
      <w:r>
        <w:rPr>
          <w:rFonts w:ascii="Times New Roman" w:cs="Times New Roman" w:eastAsia="Times New Roman" w:hAnsi="Times New Roman"/>
          <w:sz w:val="18"/>
          <w:szCs w:val="18"/>
          <w:color w:val="auto"/>
        </w:rPr>
        <w:t xml:space="preserve"> and prepay under clause 7.4 </w:t>
      </w:r>
      <w:r>
        <w:rPr>
          <w:rFonts w:ascii="Times New Roman" w:cs="Times New Roman" w:eastAsia="Times New Roman" w:hAnsi="Times New Roman"/>
          <w:sz w:val="18"/>
          <w:szCs w:val="18"/>
          <w:i w:val="1"/>
          <w:iCs w:val="1"/>
          <w:color w:val="auto"/>
        </w:rPr>
        <w:t xml:space="preserve">(Voluntary prepayment) </w:t>
      </w:r>
      <w:r>
        <w:rPr>
          <w:rFonts w:ascii="Times New Roman" w:cs="Times New Roman" w:eastAsia="Times New Roman" w:hAnsi="Times New Roman"/>
          <w:sz w:val="18"/>
          <w:szCs w:val="18"/>
          <w:color w:val="auto"/>
        </w:rPr>
        <w:t>all or part of one or more Loans as necessary to ensure that the outstanding Loans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exceed the Total Commitments (as so reduced).</w:t>
      </w:r>
    </w:p>
    <w:p>
      <w:pPr>
        <w:spacing w:after="0" w:line="175" w:lineRule="exact"/>
        <w:rPr>
          <w:sz w:val="20"/>
          <w:szCs w:val="20"/>
          <w:color w:val="auto"/>
        </w:rPr>
      </w:pPr>
    </w:p>
    <w:p>
      <w:pPr>
        <w:ind w:left="1300" w:hanging="644"/>
        <w:spacing w:after="0" w:line="282" w:lineRule="auto"/>
        <w:tabs>
          <w:tab w:leader="none" w:pos="13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pursuant to clause 25.13(a)(i) shall be made without any requirement as to any minimum amount required by clause 7.4 (</w:t>
      </w:r>
      <w:r>
        <w:rPr>
          <w:rFonts w:ascii="Times New Roman" w:cs="Times New Roman" w:eastAsia="Times New Roman" w:hAnsi="Times New Roman"/>
          <w:sz w:val="18"/>
          <w:szCs w:val="18"/>
          <w:i w:val="1"/>
          <w:iCs w:val="1"/>
          <w:color w:val="auto"/>
        </w:rPr>
        <w:t>Voluntary prepayment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25.14</w:t>
      </w:r>
      <w:r>
        <w:rPr>
          <w:sz w:val="20"/>
          <w:szCs w:val="20"/>
          <w:color w:val="auto"/>
        </w:rPr>
        <w:tab/>
      </w:r>
      <w:r>
        <w:rPr>
          <w:rFonts w:ascii="Times New Roman" w:cs="Times New Roman" w:eastAsia="Times New Roman" w:hAnsi="Times New Roman"/>
          <w:sz w:val="17"/>
          <w:szCs w:val="17"/>
          <w:b w:val="1"/>
          <w:bCs w:val="1"/>
          <w:color w:val="auto"/>
        </w:rPr>
        <w:t>Creation of additional security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value of any additional security which the Borrower offers to provide to remedy all or part of a shortfall in the amount of the Security Value will only be taken into account for the purposes of determining the Security Value if and when:</w:t>
      </w:r>
    </w:p>
    <w:p>
      <w:pPr>
        <w:spacing w:after="0" w:line="162" w:lineRule="exact"/>
        <w:rPr>
          <w:sz w:val="20"/>
          <w:szCs w:val="20"/>
          <w:color w:val="auto"/>
        </w:rPr>
      </w:pPr>
    </w:p>
    <w:p>
      <w:pPr>
        <w:ind w:left="1300" w:hanging="644"/>
        <w:spacing w:after="0" w:line="282" w:lineRule="auto"/>
        <w:tabs>
          <w:tab w:leader="none" w:pos="13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additional security, its value and the method of its valuation have been approved by the Majority Lenders (except in the case of otherwise approved first ranking security over cash in Dollars which shall be valued at par);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unconditionally amended with such consequential amendments as required by the Agent acting reasonably;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or its duly authorised representative, has received such documents and evidence it may require in relation to that amendment and additional security including documents and evidence of the type referred to in Schedule 3 </w:t>
      </w:r>
      <w:r>
        <w:rPr>
          <w:rFonts w:ascii="Times New Roman" w:cs="Times New Roman" w:eastAsia="Times New Roman" w:hAnsi="Times New Roman"/>
          <w:sz w:val="18"/>
          <w:szCs w:val="18"/>
          <w:i w:val="1"/>
          <w:iCs w:val="1"/>
          <w:color w:val="auto"/>
        </w:rPr>
        <w:t xml:space="preserve">(Conditions precedent) </w:t>
      </w:r>
      <w:r>
        <w:rPr>
          <w:rFonts w:ascii="Times New Roman" w:cs="Times New Roman" w:eastAsia="Times New Roman" w:hAnsi="Times New Roman"/>
          <w:sz w:val="18"/>
          <w:szCs w:val="18"/>
          <w:color w:val="auto"/>
        </w:rPr>
        <w:t>in relation to that amendment and additional security and its execution and (if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25.15</w:t>
      </w:r>
      <w:r>
        <w:rPr>
          <w:sz w:val="20"/>
          <w:szCs w:val="20"/>
          <w:color w:val="auto"/>
        </w:rPr>
        <w:tab/>
      </w:r>
      <w:r>
        <w:rPr>
          <w:rFonts w:ascii="Times New Roman" w:cs="Times New Roman" w:eastAsia="Times New Roman" w:hAnsi="Times New Roman"/>
          <w:sz w:val="17"/>
          <w:szCs w:val="17"/>
          <w:b w:val="1"/>
          <w:bCs w:val="1"/>
          <w:color w:val="auto"/>
        </w:rPr>
        <w:t>Security release</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the Security Value shall at any time exceed the Minimum Value, and the Borrower shall previously have provided further security to the Security Agent and/or the other Finance Parties pursuant to clause 25.13 (</w:t>
      </w:r>
      <w:r>
        <w:rPr>
          <w:rFonts w:ascii="Times New Roman" w:cs="Times New Roman" w:eastAsia="Times New Roman" w:hAnsi="Times New Roman"/>
          <w:sz w:val="18"/>
          <w:szCs w:val="18"/>
          <w:i w:val="1"/>
          <w:iCs w:val="1"/>
          <w:color w:val="auto"/>
        </w:rPr>
        <w:t>Security shortfall</w:t>
      </w:r>
      <w:r>
        <w:rPr>
          <w:rFonts w:ascii="Times New Roman" w:cs="Times New Roman" w:eastAsia="Times New Roman" w:hAnsi="Times New Roman"/>
          <w:sz w:val="18"/>
          <w:szCs w:val="18"/>
          <w:color w:val="auto"/>
        </w:rPr>
        <w:t>), the Security Agent and the other Finance Parties shall, as soon as reasonably practicable after notice from the Borrower to do so and subject to being indemnified against the reasonable cost of doing so, procure the release of any such further security specified by the Borrower provided that the Agent (acting on the instructions of the Majority Lenders) is satisfied that, immediately following such release, the Security Value will equal or exceed the Minimum Value and no other Event of Default shall have occurred and be continuing.</w:t>
      </w:r>
    </w:p>
    <w:p>
      <w:pPr>
        <w:spacing w:after="0" w:line="185" w:lineRule="exact"/>
        <w:rPr>
          <w:sz w:val="20"/>
          <w:szCs w:val="20"/>
          <w:color w:val="auto"/>
        </w:rPr>
      </w:pPr>
    </w:p>
    <w:p>
      <w:pPr>
        <w:ind w:right="7340" w:firstLine="8"/>
        <w:spacing w:after="0" w:line="503" w:lineRule="auto"/>
        <w:tabs>
          <w:tab w:leader="none" w:pos="648"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Chartering undertakings 26.1 Undertaking to comply</w:t>
      </w:r>
    </w:p>
    <w:p>
      <w:pPr>
        <w:ind w:left="660"/>
        <w:spacing w:after="0" w:line="282" w:lineRule="auto"/>
        <w:rPr>
          <w:sz w:val="20"/>
          <w:szCs w:val="20"/>
          <w:color w:val="auto"/>
        </w:rPr>
      </w:pPr>
      <w:r>
        <w:rPr>
          <w:rFonts w:ascii="Times New Roman" w:cs="Times New Roman" w:eastAsia="Times New Roman" w:hAnsi="Times New Roman"/>
          <w:sz w:val="18"/>
          <w:szCs w:val="18"/>
          <w:color w:val="auto"/>
        </w:rPr>
        <w:t>Each Obligor who is a Party undertakes that the following provisions of this clause 26 will be complied with in relation to each Mortgaged Ship (which is subject to a Charter) and its Charter Documents throughout the relevant Ship’s Mortgage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1" w:name="page282"/>
    <w:bookmarkEnd w:id="28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Variations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for amendments or variations which:</w:t>
      </w:r>
    </w:p>
    <w:p>
      <w:pPr>
        <w:spacing w:after="0" w:line="225" w:lineRule="exact"/>
        <w:rPr>
          <w:sz w:val="20"/>
          <w:szCs w:val="20"/>
          <w:color w:val="auto"/>
        </w:rPr>
      </w:pPr>
    </w:p>
    <w:p>
      <w:pPr>
        <w:ind w:left="1300" w:hanging="644"/>
        <w:spacing w:after="0"/>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fixed tenor of a Charter;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applicable charter rate in respect of the original fixed tenor of a Charter;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charter hire rate during an extension of the tenor of a Charter which is materially less beneficial to the relevant Owner than the terms which at the time could be reasonably expected to be obtained on the open market for vessels of the same age and type as the relevant Ship and for charter commitments of a similar type and period;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extension of a Charter, would result in the Charterer being a Non Acceptable Charterer;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scheduled dates for payment of charter hire under a Charter by more than 30 days or change the payment terms to payments in arrear;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assignment, transfer or novation of a Charter Document whether from the relevant Owner, the relevant Charterer or the relevant Charter Guarantor (subject to the last sentence of this clause 26.2);</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the conversion of a Charter to a bareboat charter or an arrangement under which operational control over the Ship is passed to another person;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termination rights under a Charter or relate to or amend or otherwise affect a Charter Guarantee or otherwise relate to, constitute, or cause or could cause: (A) a release of a Charter Guarantee or (B) a release of any obligations under a Charter Guarantee;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governing law, jurisdiction, assignability or quiet enjoyment provisions of a Charter,</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where, in each case, amendments and variations shall be notified to the Agent and approval from the Majority Lenders shall be required, each Owner shall be entitled to amend or vary a Charter (but not a Charter Guarantee) without approval. The relevant Owner shall notify the Agent of any variation of a Charter promptly upon the Agent’s request. For the avoidance of doubt, in relation to paragraph (f) above, the relevant Owner shall be entitled to novate the Charter of its Ship to another Owner who owns a Ship which at that point is not subject to another Charter because its Charter’s original fixed tenor has expired by lapse of time, but always subject and without prejudice to the provisions of Clause 7.11 </w:t>
      </w:r>
      <w:r>
        <w:rPr>
          <w:rFonts w:ascii="Times New Roman" w:cs="Times New Roman" w:eastAsia="Times New Roman" w:hAnsi="Times New Roman"/>
          <w:sz w:val="18"/>
          <w:szCs w:val="18"/>
          <w:i w:val="1"/>
          <w:iCs w:val="1"/>
          <w:color w:val="auto"/>
        </w:rPr>
        <w:t>(Mandatory prepayment and cancellation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Charter or Charter Guarantee termination)</w:t>
      </w:r>
      <w:r>
        <w:rPr>
          <w:rFonts w:ascii="Times New Roman" w:cs="Times New Roman" w:eastAsia="Times New Roman" w:hAnsi="Times New Roman"/>
          <w:sz w:val="18"/>
          <w:szCs w:val="18"/>
          <w:color w:val="auto"/>
        </w:rPr>
        <w:t>, the obligations of the Borrower under clause 22.8 (</w:t>
      </w:r>
      <w:r>
        <w:rPr>
          <w:rFonts w:ascii="Times New Roman" w:cs="Times New Roman" w:eastAsia="Times New Roman" w:hAnsi="Times New Roman"/>
          <w:sz w:val="18"/>
          <w:szCs w:val="18"/>
          <w:i w:val="1"/>
          <w:iCs w:val="1"/>
          <w:color w:val="auto"/>
        </w:rPr>
        <w:t>Chartering</w:t>
      </w:r>
      <w:r>
        <w:rPr>
          <w:rFonts w:ascii="Times New Roman" w:cs="Times New Roman" w:eastAsia="Times New Roman" w:hAnsi="Times New Roman"/>
          <w:sz w:val="18"/>
          <w:szCs w:val="18"/>
          <w:color w:val="auto"/>
        </w:rPr>
        <w: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this Clause 26 and any other provisions of this Agreement and the other Finance Documents.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Releases and waivers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Except with approval, there shall be no release by the relevant Owner of any obligation of any other person under the Charter Documents (including by way of novation or assignment or transfer), no waiver of any breach of any such obligation and no consent to anything which would otherwise be such a breach except if any such release, waiver or consent relates to obligations, breaches or circumstances which are not relevant to, and do not constitute:</w:t>
      </w:r>
    </w:p>
    <w:p>
      <w:pPr>
        <w:spacing w:after="0" w:line="178" w:lineRule="exact"/>
        <w:rPr>
          <w:sz w:val="20"/>
          <w:szCs w:val="20"/>
          <w:color w:val="auto"/>
        </w:rPr>
      </w:pPr>
    </w:p>
    <w:p>
      <w:pPr>
        <w:ind w:left="1300" w:hanging="644"/>
        <w:spacing w:after="0"/>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referred to in, or restricted by, clause 26.2 (</w:t>
      </w:r>
      <w:r>
        <w:rPr>
          <w:rFonts w:ascii="Times New Roman" w:cs="Times New Roman" w:eastAsia="Times New Roman" w:hAnsi="Times New Roman"/>
          <w:sz w:val="18"/>
          <w:szCs w:val="18"/>
          <w:i w:val="1"/>
          <w:iCs w:val="1"/>
          <w:color w:val="auto"/>
        </w:rPr>
        <w:t>Variations</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from any obligation to pay moneys to any of the Obligors under the Charter Documents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2" w:name="page283"/>
    <w:bookmarkEnd w:id="28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26.4</w:t>
      </w:r>
      <w:r>
        <w:rPr>
          <w:sz w:val="20"/>
          <w:szCs w:val="20"/>
          <w:color w:val="auto"/>
        </w:rPr>
        <w:tab/>
      </w:r>
      <w:r>
        <w:rPr>
          <w:rFonts w:ascii="Times New Roman" w:cs="Times New Roman" w:eastAsia="Times New Roman" w:hAnsi="Times New Roman"/>
          <w:sz w:val="17"/>
          <w:szCs w:val="17"/>
          <w:b w:val="1"/>
          <w:bCs w:val="1"/>
          <w:color w:val="auto"/>
        </w:rPr>
        <w:t>Termination by the relevant Owner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with approval, the relevant Owner shall not terminate or rescind any Charter Document or withdraw the Ship from service under the Charter or take any similar 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26.5</w:t>
      </w:r>
      <w:r>
        <w:rPr>
          <w:sz w:val="20"/>
          <w:szCs w:val="20"/>
          <w:color w:val="auto"/>
        </w:rPr>
        <w:tab/>
      </w:r>
      <w:r>
        <w:rPr>
          <w:rFonts w:ascii="Times New Roman" w:cs="Times New Roman" w:eastAsia="Times New Roman" w:hAnsi="Times New Roman"/>
          <w:sz w:val="18"/>
          <w:szCs w:val="18"/>
          <w:b w:val="1"/>
          <w:bCs w:val="1"/>
          <w:color w:val="auto"/>
        </w:rPr>
        <w:t>Charter performance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relevant Owner shall perform its obligations under the Charter Documents and use its reasonable endeavours to ensure that each other party to them performs their obligations under the Charter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26.6</w:t>
      </w:r>
      <w:r>
        <w:rPr>
          <w:sz w:val="20"/>
          <w:szCs w:val="20"/>
          <w:color w:val="auto"/>
        </w:rPr>
        <w:tab/>
      </w:r>
      <w:r>
        <w:rPr>
          <w:rFonts w:ascii="Times New Roman" w:cs="Times New Roman" w:eastAsia="Times New Roman" w:hAnsi="Times New Roman"/>
          <w:sz w:val="17"/>
          <w:szCs w:val="17"/>
          <w:b w:val="1"/>
          <w:bCs w:val="1"/>
          <w:color w:val="auto"/>
        </w:rPr>
        <w:t>Notice of assignment of Charter Documents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relevant Owner shall (i) give notice of assignment of the Charter Documents to the other parties to such documents promptly upon execution of the relevant Charter Assignment in the form specified by the relevant Charter Assignment for that Ship; (ii) use reasonable endeavours to obtain and provide the Agent with a copy of that notice acknowledged by each counterparty of the Owner thereunder in the form specified therein which shall be on reasonable, market standard terms, and</w:t>
      </w:r>
    </w:p>
    <w:p>
      <w:pPr>
        <w:spacing w:after="0" w:line="3" w:lineRule="exact"/>
        <w:rPr>
          <w:sz w:val="20"/>
          <w:szCs w:val="20"/>
          <w:color w:val="auto"/>
        </w:rPr>
      </w:pPr>
    </w:p>
    <w:p>
      <w:pPr>
        <w:jc w:val="both"/>
        <w:ind w:left="660" w:hanging="4"/>
        <w:spacing w:after="0" w:line="253" w:lineRule="auto"/>
        <w:tabs>
          <w:tab w:leader="none" w:pos="99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relevant Charterer requires from the Security Agent or any other Finance Party a quiet enjoyment agreement as a condition of its approval of the relevant Mortgage, ensure that the Agent receives a copy of (1) the notice referred to in paragraph (i) above, acknowledged by each such counterparty (such acknowledgment to be included, where reasonably practicable, in the relevant Quiet Enjoyment Agreement, if applicable) and (2) the relevant Quiet Enjoyment Agreement which is to be executed by a charterer, at the times required under clause 26.9 (</w:t>
      </w:r>
      <w:r>
        <w:rPr>
          <w:rFonts w:ascii="Times New Roman" w:cs="Times New Roman" w:eastAsia="Times New Roman" w:hAnsi="Times New Roman"/>
          <w:sz w:val="18"/>
          <w:szCs w:val="18"/>
          <w:i w:val="1"/>
          <w:iCs w:val="1"/>
          <w:color w:val="auto"/>
        </w:rPr>
        <w:t>Quiet Enjoyment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26.7</w:t>
      </w:r>
      <w:r>
        <w:rPr>
          <w:sz w:val="20"/>
          <w:szCs w:val="20"/>
          <w:color w:val="auto"/>
        </w:rPr>
        <w:tab/>
      </w:r>
      <w:r>
        <w:rPr>
          <w:rFonts w:ascii="Times New Roman" w:cs="Times New Roman" w:eastAsia="Times New Roman" w:hAnsi="Times New Roman"/>
          <w:sz w:val="17"/>
          <w:szCs w:val="17"/>
          <w:b w:val="1"/>
          <w:bCs w:val="1"/>
          <w:color w:val="auto"/>
        </w:rPr>
        <w:t>Payment of Charter Earnings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Earnings which the relevant Owner is entitled to receive under the relevant Charter Documents shall be paid into the relevant Owner’s Earnings Account or, following the occurrence of an Event of Default which is continuing, in the manner required by the Security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26.8</w:t>
      </w:r>
      <w:r>
        <w:rPr>
          <w:sz w:val="20"/>
          <w:szCs w:val="20"/>
          <w:color w:val="auto"/>
        </w:rPr>
        <w:tab/>
      </w:r>
      <w:r>
        <w:rPr>
          <w:rFonts w:ascii="Times New Roman" w:cs="Times New Roman" w:eastAsia="Times New Roman" w:hAnsi="Times New Roman"/>
          <w:sz w:val="17"/>
          <w:szCs w:val="17"/>
          <w:b w:val="1"/>
          <w:bCs w:val="1"/>
          <w:color w:val="auto"/>
        </w:rPr>
        <w:t>Termination Cure</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Without prejudice to clause 7.11 </w:t>
      </w:r>
      <w:r>
        <w:rPr>
          <w:rFonts w:ascii="Times New Roman" w:cs="Times New Roman" w:eastAsia="Times New Roman" w:hAnsi="Times New Roman"/>
          <w:sz w:val="18"/>
          <w:szCs w:val="18"/>
          <w:i w:val="1"/>
          <w:iCs w:val="1"/>
          <w:color w:val="auto"/>
        </w:rPr>
        <w:t>(Mandatory prepayment and cancellation following Charter or Charter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rights of the Finance Parties thereunder and the Obligors’ other obligations under the Finance Documents,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Initial Charter or Charter Guarantee related to an Initial Charter is cancelled or rescinded or (except as a result of the relevant Ship being a Total Loss) frustrated, or if any Ship is withdrawn from service under an Initial Charter before the time that Initial Charter was scheduled to expire, then the Borrower shall use their reasonable endeavours to ensure that:</w:t>
      </w:r>
    </w:p>
    <w:p>
      <w:pPr>
        <w:spacing w:after="0" w:line="185" w:lineRule="exact"/>
        <w:rPr>
          <w:sz w:val="20"/>
          <w:szCs w:val="20"/>
          <w:color w:val="auto"/>
        </w:rPr>
      </w:pPr>
    </w:p>
    <w:p>
      <w:pPr>
        <w:ind w:left="1300" w:hanging="644"/>
        <w:spacing w:after="0" w:line="282" w:lineRule="auto"/>
        <w:tabs>
          <w:tab w:leader="none" w:pos="13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such cancellation, rescission, frustration or withdrawal, the relevant Owner of that Ship will enter into a Replacement Charter for that Ship;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forthwith after the entry into such Replacement Charter, the relevant Owner will grant in favour of the Security Agent a Charter Assignment in respect of such Replacement Charter and will provide and deliver to the Agent in respect of the same, any documents and evidence of the nature described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as reasonably required by the Agent.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26.9</w:t>
      </w:r>
      <w:r>
        <w:rPr>
          <w:sz w:val="20"/>
          <w:szCs w:val="20"/>
          <w:color w:val="auto"/>
        </w:rPr>
        <w:tab/>
      </w:r>
      <w:r>
        <w:rPr>
          <w:rFonts w:ascii="Times New Roman" w:cs="Times New Roman" w:eastAsia="Times New Roman" w:hAnsi="Times New Roman"/>
          <w:sz w:val="17"/>
          <w:szCs w:val="17"/>
          <w:b w:val="1"/>
          <w:bCs w:val="1"/>
          <w:color w:val="auto"/>
        </w:rPr>
        <w:t>Quiet Enjoyment</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Initial Charter or other charter commitment in force as of the date of this Agreement, if a quiet enjoyment agreement is required in respect of a Ship pursuant to the terms of the relevant Initial Charter or other charter commitment (as applicable), the Lenders agree to instruct the Security Agent to enter into a Quiet Enjoyment Agreement with the relevant charterer on substantially the same terms as any quiet enjoyment agreement provided in connection with any of the credit facilities listed in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3" w:name="page284"/>
    <w:bookmarkEnd w:id="283"/>
    <w:p>
      <w:pPr>
        <w:ind w:left="1300"/>
        <w:spacing w:after="0" w:line="282" w:lineRule="auto"/>
        <w:rPr>
          <w:sz w:val="20"/>
          <w:szCs w:val="20"/>
          <w:color w:val="auto"/>
        </w:rPr>
      </w:pPr>
      <w:r>
        <w:rPr>
          <w:rFonts w:ascii="Times New Roman" w:cs="Times New Roman" w:eastAsia="Times New Roman" w:hAnsi="Times New Roman"/>
          <w:sz w:val="18"/>
          <w:szCs w:val="18"/>
          <w:color w:val="auto"/>
        </w:rPr>
        <w:t>“Existing Indebtedness” (if applicable). Each duly executed Quiet Enjoyment Agreement will be delivered to the Agent in the agreed form:</w:t>
      </w:r>
    </w:p>
    <w:p>
      <w:pPr>
        <w:spacing w:after="0" w:line="162" w:lineRule="exact"/>
        <w:rPr>
          <w:sz w:val="20"/>
          <w:szCs w:val="20"/>
          <w:color w:val="auto"/>
        </w:rPr>
      </w:pPr>
    </w:p>
    <w:p>
      <w:pPr>
        <w:jc w:val="both"/>
        <w:ind w:left="1960" w:hanging="656"/>
        <w:spacing w:after="0" w:line="266" w:lineRule="auto"/>
        <w:tabs>
          <w:tab w:leader="none" w:pos="196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 later than the first Utilisation Date, in the event that the relevant charterer requires a quiet enjoyment agreement from the Security Agent or any other Finance Party as a condition to its approval of the relevant Mortgage (to the extent not already waived by that charterer);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relevant charterer requires a quiet enjoyment agreement from the Security Agent or any other Finance Party (but not as a condition to its approval of the relevant Mortgage), by the first Utilisation Date, or if it is not possible to reach an agreement between the Borrower, the Security Agent and the relevant charterer by that date, then within 60 days from the first Utilisation Date (or any other longer period as may be agreed between the Majority Lenders and the Borrower).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Charter or other charter commitment (other than a charter or other charter commitment referred to in paragraph (a) above), if a quiet enjoyment agreement is required in respect of a Ship pursuant to the terms of that Charter or other charter commitment (as applicable), the Lenders agree to instruct the Security Agent to enter into a quiet enjoyment agreement with such charterer on substantially the same terms as any of the Quiet Enjoyment Agreements in respect of any Initial Charter for a Ship referred to in Schedule 2 (</w:t>
      </w:r>
      <w:r>
        <w:rPr>
          <w:rFonts w:ascii="Times New Roman" w:cs="Times New Roman" w:eastAsia="Times New Roman" w:hAnsi="Times New Roman"/>
          <w:sz w:val="18"/>
          <w:szCs w:val="18"/>
          <w:i w:val="1"/>
          <w:iCs w:val="1"/>
          <w:color w:val="auto"/>
        </w:rPr>
        <w:t>Ship information</w:t>
      </w:r>
      <w:r>
        <w:rPr>
          <w:rFonts w:ascii="Times New Roman" w:cs="Times New Roman" w:eastAsia="Times New Roman" w:hAnsi="Times New Roman"/>
          <w:sz w:val="18"/>
          <w:szCs w:val="18"/>
          <w:color w:val="auto"/>
        </w:rPr>
        <w:t>) on the date when the relevant Ship is delivered to the relevant charterer thereunder and the Borrower shall use reasonable endeavours to ensure that the relevant quiet enjoyment agreement will contain terms providing that if the charterer is in breach of any applicable sanctions then the Security Agent’s obligations thereunder can be terminated by the Security Agent.</w:t>
      </w:r>
    </w:p>
    <w:p>
      <w:pPr>
        <w:spacing w:after="0" w:line="19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the Parties acknowledge that the Security Agent will not, and will not be expected to, deliver and release an executed Quiet Enjoyment Agreement to the relevant Owner or any charterer for any Ship, until such Ship is about to be or has actually been delivered to the relevant charterer under the relevant Charter.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Bank accounts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Undertaking to comply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who is a Party undertakes that this clause 27 will be complied with throughout the Facility Period.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7"/>
          <w:szCs w:val="17"/>
          <w:b w:val="1"/>
          <w:bCs w:val="1"/>
          <w:color w:val="auto"/>
        </w:rPr>
        <w:t>Earnings Account</w:t>
      </w:r>
    </w:p>
    <w:p>
      <w:pPr>
        <w:spacing w:after="0" w:line="229" w:lineRule="exact"/>
        <w:rPr>
          <w:sz w:val="20"/>
          <w:szCs w:val="20"/>
          <w:color w:val="auto"/>
        </w:rPr>
      </w:pPr>
    </w:p>
    <w:p>
      <w:pPr>
        <w:ind w:left="1300" w:hanging="644"/>
        <w:spacing w:after="0" w:line="282" w:lineRule="auto"/>
        <w:tabs>
          <w:tab w:leader="none" w:pos="1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Owner and the Borrower shall be the holder of one Account with an Account Bank, each of which is designated as an “Earnings Account” for the purposes of the Finance Documents.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of the Mortgaged Ships and all moneys payable to the relevant Owner under each Ship’s Insurances and any net amount payable to the Borrower under any Hedging Contract shall be paid by the persons from whom they are due to the relevant Earnings Account unless required to be paid to the Security Agent under the relevant Finance Documents.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Account Holder(s) shall not withdraw amounts standing to the credit of an Earnings Account except as permitted by paragraph (d) below or by the terms of any Account Security.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4" w:name="page285"/>
    <w:bookmarkEnd w:id="284"/>
    <w:p>
      <w:pPr>
        <w:ind w:left="1300"/>
        <w:spacing w:after="0"/>
        <w:rPr>
          <w:sz w:val="20"/>
          <w:szCs w:val="20"/>
          <w:color w:val="auto"/>
        </w:rPr>
      </w:pPr>
      <w:r>
        <w:rPr>
          <w:rFonts w:ascii="Times New Roman" w:cs="Times New Roman" w:eastAsia="Times New Roman" w:hAnsi="Times New Roman"/>
          <w:sz w:val="18"/>
          <w:szCs w:val="18"/>
          <w:color w:val="auto"/>
        </w:rPr>
        <w:t>and the Finance Documents and provided that such withdrawal will not cause or result in an Event of Default.</w:t>
      </w:r>
    </w:p>
    <w:p>
      <w:pPr>
        <w:spacing w:after="0" w:line="225" w:lineRule="exact"/>
        <w:rPr>
          <w:sz w:val="20"/>
          <w:szCs w:val="20"/>
          <w:color w:val="auto"/>
        </w:rPr>
      </w:pPr>
    </w:p>
    <w:p>
      <w:pPr>
        <w:ind w:left="1300" w:hanging="644"/>
        <w:spacing w:after="0"/>
        <w:tabs>
          <w:tab w:leader="none" w:pos="13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undertake to shall procure that: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in excess of $100,000 standing to the credit of each Earnings Account of each Owner will automatically be transferred on a daily basis to the Earnings Account of the Borrower in accordance with arrangements made separately between the Borrower, the Owners and the Account Bank (the </w:t>
      </w:r>
      <w:r>
        <w:rPr>
          <w:rFonts w:ascii="Times New Roman" w:cs="Times New Roman" w:eastAsia="Times New Roman" w:hAnsi="Times New Roman"/>
          <w:sz w:val="18"/>
          <w:szCs w:val="18"/>
          <w:b w:val="1"/>
          <w:bCs w:val="1"/>
          <w:color w:val="auto"/>
        </w:rPr>
        <w:t>Target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automated transfers of funds (sweep or otherwise) under the Target Balance Arrangements from the Earnings Account of the Borrower to any other account or person;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Balance Arrangements existing on or about the date of this Agreement shall not be varied without prior written approval of the Majority Lenders.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27.3</w:t>
      </w:r>
      <w:r>
        <w:rPr>
          <w:sz w:val="20"/>
          <w:szCs w:val="20"/>
          <w:color w:val="auto"/>
        </w:rPr>
        <w:tab/>
      </w:r>
      <w:r>
        <w:rPr>
          <w:rFonts w:ascii="Times New Roman" w:cs="Times New Roman" w:eastAsia="Times New Roman" w:hAnsi="Times New Roman"/>
          <w:sz w:val="17"/>
          <w:szCs w:val="17"/>
          <w:b w:val="1"/>
          <w:bCs w:val="1"/>
          <w:color w:val="auto"/>
        </w:rPr>
        <w:t>Other provisions</w:t>
      </w:r>
    </w:p>
    <w:p>
      <w:pPr>
        <w:spacing w:after="0" w:line="229" w:lineRule="exact"/>
        <w:rPr>
          <w:sz w:val="20"/>
          <w:szCs w:val="20"/>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may only be designated for the purposes described in this clause 27 if:</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is made in writing by the Agent and acknowledged by the Borrower and specifies the name and address of the Account Bank and the relevant Account Holder(s) and the number and any designation or other reference attributed to the Account;</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Security has been duly executed and delivered by the relevant Account Holder(s) in favour of the Security Agent (and any other Finance Party required by the Agent);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required by the Account Security to be given to an Account Bank has been given to, and acknowledged by, the Account Bank in the form required by the relevant Account Security;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or its duly authorised representative, has received such documents and evidence it may require in relation to the Account and the Account Security including documents and evidence of the type referred to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xml:space="preserve"> in relation to the Account and the relevant Account Security.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payment of interest and other terms regulating any Account will be a matter of separate agreement between the relevant Account Holder(s) and an Account Bank.</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Account is a fixed term deposit account, the relevant Account Holder(s) may select the terms of deposits until the relevant Account Security has become enforceable and the Security Agent directs otherwise.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Finance Parties agrees that if it is an Account Bank in respect of an Account then there will be no restrictions on creating a Security Interest over that Account as contemplated by this Agreement and it shall not (except with the approval of the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5" w:name="page286"/>
    <w:bookmarkEnd w:id="285"/>
    <w:p>
      <w:pPr>
        <w:ind w:left="1300"/>
        <w:spacing w:after="0" w:line="282" w:lineRule="auto"/>
        <w:rPr>
          <w:sz w:val="20"/>
          <w:szCs w:val="20"/>
          <w:color w:val="auto"/>
        </w:rPr>
      </w:pPr>
      <w:r>
        <w:rPr>
          <w:rFonts w:ascii="Times New Roman" w:cs="Times New Roman" w:eastAsia="Times New Roman" w:hAnsi="Times New Roman"/>
          <w:sz w:val="18"/>
          <w:szCs w:val="18"/>
          <w:color w:val="auto"/>
        </w:rPr>
        <w:t>Lenders) exercise any right of combination, consolidation or set-off which it may have in respect of that Account in a manner adverse to the rights of the other Finance Parties.</w:t>
      </w:r>
    </w:p>
    <w:p>
      <w:pPr>
        <w:spacing w:after="0" w:line="162" w:lineRule="exact"/>
        <w:rPr>
          <w:sz w:val="20"/>
          <w:szCs w:val="20"/>
          <w:color w:val="auto"/>
        </w:rPr>
      </w:pPr>
    </w:p>
    <w:p>
      <w:pPr>
        <w:jc w:val="both"/>
        <w:ind w:left="1300" w:hanging="644"/>
        <w:spacing w:after="0" w:line="258"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Account Bank gives notice to any Obligor and/or the Security Agent of its intention to terminate the instructions and authorisations given to it under any notice of charge of account delivered pursuant to, and in accordance with the terms of, any Account Security in respect of any Account, the Obligors shall arrange for a new Account to replace the Account to which such notice relates and shall ensure that the following documents and evidence have been executed and delivered to the Agent at the cost and expense of the Borrower:</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Security in respect of such new Account duly executed by the parties thereto, together with any notices and acknowledgments required thereunder; and</w:t>
      </w:r>
    </w:p>
    <w:p>
      <w:pPr>
        <w:spacing w:after="0" w:line="159"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and evidence of the type referred to in Schedule 3 (</w:t>
      </w:r>
      <w:r>
        <w:rPr>
          <w:rFonts w:ascii="Times New Roman" w:cs="Times New Roman" w:eastAsia="Times New Roman" w:hAnsi="Times New Roman"/>
          <w:sz w:val="18"/>
          <w:szCs w:val="18"/>
          <w:i w:val="1"/>
          <w:iCs w:val="1"/>
          <w:color w:val="auto"/>
        </w:rPr>
        <w:t>Condition Precedent</w:t>
      </w:r>
      <w:r>
        <w:rPr>
          <w:rFonts w:ascii="Times New Roman" w:cs="Times New Roman" w:eastAsia="Times New Roman" w:hAnsi="Times New Roman"/>
          <w:sz w:val="18"/>
          <w:szCs w:val="18"/>
          <w:color w:val="auto"/>
        </w:rPr>
        <w:t>) in connection with such Account and such Account Security referred to in this paragraph (g).</w:t>
      </w:r>
    </w:p>
    <w:p>
      <w:pPr>
        <w:spacing w:after="0" w:line="156" w:lineRule="exact"/>
        <w:rPr>
          <w:sz w:val="20"/>
          <w:szCs w:val="20"/>
          <w:color w:val="auto"/>
        </w:rPr>
      </w:pPr>
    </w:p>
    <w:p>
      <w:pPr>
        <w:ind w:right="7480" w:firstLine="8"/>
        <w:spacing w:after="0" w:line="503" w:lineRule="auto"/>
        <w:tabs>
          <w:tab w:leader="none" w:pos="648"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restrictions 28.1 Undertaking to comply</w:t>
      </w: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Except as otherwise approved by the Majority Lenders, each Obligor who is a Party undertakes that this clause 28 will be complied with throughout the Facility Period by and in respect of each person to which each relevant provision of this clause is expressed to apply.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General negative pledge</w:t>
      </w:r>
    </w:p>
    <w:p>
      <w:pPr>
        <w:spacing w:after="0" w:line="225" w:lineRule="exact"/>
        <w:rPr>
          <w:sz w:val="20"/>
          <w:szCs w:val="20"/>
          <w:color w:val="auto"/>
        </w:rPr>
      </w:pPr>
    </w:p>
    <w:p>
      <w:pPr>
        <w:ind w:left="1300" w:hanging="644"/>
        <w:spacing w:after="0"/>
        <w:tabs>
          <w:tab w:leader="none" w:pos="13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clause 28.2, </w:t>
      </w:r>
      <w:r>
        <w:rPr>
          <w:rFonts w:ascii="Times New Roman" w:cs="Times New Roman" w:eastAsia="Times New Roman" w:hAnsi="Times New Roman"/>
          <w:sz w:val="18"/>
          <w:szCs w:val="18"/>
          <w:b w:val="1"/>
          <w:bCs w:val="1"/>
          <w:color w:val="auto"/>
        </w:rPr>
        <w:t>Quasi-Security</w:t>
      </w:r>
      <w:r>
        <w:rPr>
          <w:rFonts w:ascii="Times New Roman" w:cs="Times New Roman" w:eastAsia="Times New Roman" w:hAnsi="Times New Roman"/>
          <w:sz w:val="18"/>
          <w:szCs w:val="18"/>
          <w:color w:val="auto"/>
        </w:rPr>
        <w:t xml:space="preserve"> means an arrangement or transaction described in paragraph (c) below.</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 shall permit any Security Interest to exist, arise or be created or extended over all or any part of its assets except for Permitted Security Interests.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provision of this clause 28), no Owner shall:</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assets on terms whereby it is or may be leased to, or re-acquired by, an Obligor or any other Group Member other than pursuant to disposals permitted under clause 28.7 (</w:t>
      </w:r>
      <w:r>
        <w:rPr>
          <w:rFonts w:ascii="Times New Roman" w:cs="Times New Roman" w:eastAsia="Times New Roman" w:hAnsi="Times New Roman"/>
          <w:sz w:val="18"/>
          <w:szCs w:val="18"/>
          <w:i w:val="1"/>
          <w:iCs w:val="1"/>
          <w:color w:val="auto"/>
        </w:rPr>
        <w:t>Disposals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factor or otherwise dispose of any of its receivables on recourse terms (except for the discounting of bills or notes in the ordinary course of business);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under which money or the benefit of a bank or other account may be applied, set-off or made subject to a combination of accounts;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other preferential arrangement having a similar effect,</w:t>
      </w:r>
    </w:p>
    <w:p>
      <w:pPr>
        <w:spacing w:after="0" w:line="225"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arrangement or transaction is entered into primarily as a method of raising Financial Indebtedness or of financing the acquisition of an asset.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(b) and (c) above do not apply to any Security Interest or (as the case may be) Quasi-Security, listed below:</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granted or expressed to be granted by any of the Security Documents;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Mortgaged Ship, Permitted Maritime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6" w:name="page287"/>
    <w:bookmarkEnd w:id="28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28.3</w:t>
      </w:r>
      <w:r>
        <w:rPr>
          <w:sz w:val="20"/>
          <w:szCs w:val="20"/>
          <w:color w:val="auto"/>
        </w:rPr>
        <w:tab/>
      </w:r>
      <w:r>
        <w:rPr>
          <w:rFonts w:ascii="Times New Roman" w:cs="Times New Roman" w:eastAsia="Times New Roman" w:hAnsi="Times New Roman"/>
          <w:sz w:val="18"/>
          <w:szCs w:val="18"/>
          <w:b w:val="1"/>
          <w:bCs w:val="1"/>
          <w:color w:val="auto"/>
        </w:rPr>
        <w:t>Financial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Owner shall incur or permit to exist, any Financial Indebtedness owed by it to anyone else except:</w:t>
      </w:r>
    </w:p>
    <w:p>
      <w:pPr>
        <w:spacing w:after="0" w:line="225" w:lineRule="exact"/>
        <w:rPr>
          <w:sz w:val="20"/>
          <w:szCs w:val="20"/>
          <w:color w:val="auto"/>
        </w:rPr>
      </w:pPr>
    </w:p>
    <w:p>
      <w:pPr>
        <w:ind w:left="1300" w:right="20" w:hanging="644"/>
        <w:spacing w:after="0" w:line="282" w:lineRule="auto"/>
        <w:tabs>
          <w:tab w:leader="none" w:pos="13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Indebtedness incurred under the Finance Documents and Hedging Contracts for Hedging Transactions entered into pursuant to clause 29.2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Indebtedness owed to another Obligor (provided that any such Financial Indebtedness owed by an Owner is unsecured and subordinated to the Finance Documents on approved terms);</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Indebtedness permitted under clause 28.4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Indebtedness permitted under clause 28.5 </w:t>
      </w:r>
      <w:r>
        <w:rPr>
          <w:rFonts w:ascii="Times New Roman" w:cs="Times New Roman" w:eastAsia="Times New Roman" w:hAnsi="Times New Roman"/>
          <w:sz w:val="18"/>
          <w:szCs w:val="18"/>
          <w:i w:val="1"/>
          <w:iCs w:val="1"/>
          <w:color w:val="auto"/>
        </w:rPr>
        <w:t>(Loans and credit)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28.4</w:t>
      </w:r>
      <w:r>
        <w:rPr>
          <w:sz w:val="20"/>
          <w:szCs w:val="20"/>
          <w:color w:val="auto"/>
        </w:rPr>
        <w:tab/>
      </w:r>
      <w:r>
        <w:rPr>
          <w:rFonts w:ascii="Times New Roman" w:cs="Times New Roman" w:eastAsia="Times New Roman" w:hAnsi="Times New Roman"/>
          <w:sz w:val="17"/>
          <w:szCs w:val="17"/>
          <w:b w:val="1"/>
          <w:bCs w:val="1"/>
          <w:color w:val="auto"/>
        </w:rPr>
        <w:t>Guarantees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 Owner shall give or permit to exist, any guarantee by it in respect of indebtedness of any person or allow any of its indebtedness to be guaranteed by anyone else except:</w:t>
      </w:r>
    </w:p>
    <w:p>
      <w:pPr>
        <w:spacing w:after="0" w:line="162" w:lineRule="exact"/>
        <w:rPr>
          <w:sz w:val="20"/>
          <w:szCs w:val="20"/>
          <w:color w:val="auto"/>
        </w:rPr>
      </w:pPr>
    </w:p>
    <w:p>
      <w:pPr>
        <w:ind w:left="1300" w:hanging="644"/>
        <w:spacing w:after="0" w:line="282" w:lineRule="auto"/>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obligations of Affiliates that are not Financial Indebtedness or obligations prohibited by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 favour of its own trade creditors given in the ordinary course of its business or in order to avoid the creation of, or to release, a Permitted Maritime Lien; and</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which are Financial Indebtedness permitted under clause 28.3 </w:t>
      </w:r>
      <w:r>
        <w:rPr>
          <w:rFonts w:ascii="Times New Roman" w:cs="Times New Roman" w:eastAsia="Times New Roman" w:hAnsi="Times New Roman"/>
          <w:sz w:val="18"/>
          <w:szCs w:val="18"/>
          <w:i w:val="1"/>
          <w:iCs w:val="1"/>
          <w:color w:val="auto"/>
        </w:rPr>
        <w:t>(Financial Indebtedness)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28.5</w:t>
      </w:r>
      <w:r>
        <w:rPr>
          <w:sz w:val="20"/>
          <w:szCs w:val="20"/>
          <w:color w:val="auto"/>
        </w:rPr>
        <w:tab/>
      </w:r>
      <w:r>
        <w:rPr>
          <w:rFonts w:ascii="Times New Roman" w:cs="Times New Roman" w:eastAsia="Times New Roman" w:hAnsi="Times New Roman"/>
          <w:sz w:val="17"/>
          <w:szCs w:val="17"/>
          <w:b w:val="1"/>
          <w:bCs w:val="1"/>
          <w:color w:val="auto"/>
        </w:rPr>
        <w:t>Loans and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Owner shall make, grant or permit to exist any loans or any credit by it to anyone else other than:</w:t>
      </w:r>
    </w:p>
    <w:p>
      <w:pPr>
        <w:spacing w:after="0" w:line="223" w:lineRule="exact"/>
        <w:rPr>
          <w:sz w:val="20"/>
          <w:szCs w:val="20"/>
          <w:color w:val="auto"/>
        </w:rPr>
      </w:pPr>
    </w:p>
    <w:p>
      <w:pPr>
        <w:ind w:left="1300" w:hanging="644"/>
        <w:spacing w:after="0"/>
        <w:tabs>
          <w:tab w:leader="none" w:pos="13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credit to another Borrower or Guarantor permitted under clause 28.3 </w:t>
      </w:r>
      <w:r>
        <w:rPr>
          <w:rFonts w:ascii="Times New Roman" w:cs="Times New Roman" w:eastAsia="Times New Roman" w:hAnsi="Times New Roman"/>
          <w:sz w:val="18"/>
          <w:szCs w:val="18"/>
          <w:i w:val="1"/>
          <w:iCs w:val="1"/>
          <w:color w:val="auto"/>
        </w:rPr>
        <w:t>(Financial Indebtedness)</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credit granted by it to its customers on normal commercial terms in the ordinary course of its trading activities.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28.6</w:t>
      </w:r>
      <w:r>
        <w:rPr>
          <w:sz w:val="20"/>
          <w:szCs w:val="20"/>
          <w:color w:val="auto"/>
        </w:rPr>
        <w:tab/>
      </w:r>
      <w:r>
        <w:rPr>
          <w:rFonts w:ascii="Times New Roman" w:cs="Times New Roman" w:eastAsia="Times New Roman" w:hAnsi="Times New Roman"/>
          <w:sz w:val="17"/>
          <w:szCs w:val="17"/>
          <w:b w:val="1"/>
          <w:bCs w:val="1"/>
          <w:color w:val="auto"/>
        </w:rPr>
        <w:t>Bank accounts, operating leases and other financial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Owner shall:</w:t>
      </w:r>
    </w:p>
    <w:p>
      <w:pPr>
        <w:spacing w:after="0" w:line="225" w:lineRule="exact"/>
        <w:rPr>
          <w:sz w:val="20"/>
          <w:szCs w:val="20"/>
          <w:color w:val="auto"/>
        </w:rPr>
      </w:pPr>
    </w:p>
    <w:p>
      <w:pPr>
        <w:ind w:left="1300" w:right="20" w:hanging="644"/>
        <w:spacing w:after="0" w:line="282" w:lineRule="auto"/>
        <w:tabs>
          <w:tab w:leader="none" w:pos="13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any current or deposit account with a bank or financial institution except for the Accounts and the deposit of money, operation of current accounts and the conduct of electronic banking operations through the Accounts;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cash in any account other than the Accounts;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obligations under operating leases relating to assets;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party to any banking or financial transaction, whether on or off balance sheet, that is not expressly permitted under this clause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7" w:name="page288"/>
    <w:bookmarkEnd w:id="28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28.7</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Owner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76" w:lineRule="exact"/>
        <w:rPr>
          <w:sz w:val="20"/>
          <w:szCs w:val="20"/>
          <w:color w:val="auto"/>
        </w:rPr>
      </w:pPr>
    </w:p>
    <w:p>
      <w:pPr>
        <w:ind w:left="1300" w:hanging="644"/>
        <w:spacing w:after="0"/>
        <w:tabs>
          <w:tab w:leader="none" w:pos="13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of assets made in (and on terms reflecting) the ordinary course of trading of the disposing entity;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of obsolete assets, or assets which are no longer required for the purpose of the business of the Borrower, in each case for cash on normal commercial terms and on an arm's length basis;</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permitted by clauses 28.2 (</w:t>
      </w:r>
      <w:r>
        <w:rPr>
          <w:rFonts w:ascii="Times New Roman" w:cs="Times New Roman" w:eastAsia="Times New Roman" w:hAnsi="Times New Roman"/>
          <w:sz w:val="18"/>
          <w:szCs w:val="18"/>
          <w:i w:val="1"/>
          <w:iCs w:val="1"/>
          <w:color w:val="auto"/>
        </w:rPr>
        <w:t>General negative pledge</w:t>
      </w:r>
      <w:r>
        <w:rPr>
          <w:rFonts w:ascii="Times New Roman" w:cs="Times New Roman" w:eastAsia="Times New Roman" w:hAnsi="Times New Roman"/>
          <w:sz w:val="18"/>
          <w:szCs w:val="18"/>
          <w:color w:val="auto"/>
        </w:rPr>
        <w:t>), 28.3 (</w:t>
      </w:r>
      <w:r>
        <w:rPr>
          <w:rFonts w:ascii="Times New Roman" w:cs="Times New Roman" w:eastAsia="Times New Roman" w:hAnsi="Times New Roman"/>
          <w:sz w:val="18"/>
          <w:szCs w:val="18"/>
          <w:i w:val="1"/>
          <w:iCs w:val="1"/>
          <w:color w:val="auto"/>
        </w:rPr>
        <w:t>Financial Indebtedness</w:t>
      </w:r>
      <w:r>
        <w:rPr>
          <w:rFonts w:ascii="Times New Roman" w:cs="Times New Roman" w:eastAsia="Times New Roman" w:hAnsi="Times New Roman"/>
          <w:sz w:val="18"/>
          <w:szCs w:val="18"/>
          <w:color w:val="auto"/>
        </w:rPr>
        <w:t>) or 22.3 (</w:t>
      </w:r>
      <w:r>
        <w:rPr>
          <w:rFonts w:ascii="Times New Roman" w:cs="Times New Roman" w:eastAsia="Times New Roman" w:hAnsi="Times New Roman"/>
          <w:sz w:val="18"/>
          <w:szCs w:val="18"/>
          <w:i w:val="1"/>
          <w:iCs w:val="1"/>
          <w:color w:val="auto"/>
        </w:rPr>
        <w:t>Sale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of a Ship</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cash or cash equivalents in the acquisition of assets or services in the ordinary course of its business.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28.8</w:t>
      </w:r>
      <w:r>
        <w:rPr>
          <w:sz w:val="20"/>
          <w:szCs w:val="20"/>
          <w:color w:val="auto"/>
        </w:rPr>
        <w:tab/>
      </w:r>
      <w:r>
        <w:rPr>
          <w:rFonts w:ascii="Times New Roman" w:cs="Times New Roman" w:eastAsia="Times New Roman" w:hAnsi="Times New Roman"/>
          <w:sz w:val="17"/>
          <w:szCs w:val="17"/>
          <w:b w:val="1"/>
          <w:bCs w:val="1"/>
          <w:color w:val="auto"/>
        </w:rPr>
        <w:t>Contracts and arrangements with Affiliates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Owner shall be party to any arrangement or contract with any of its Affiliates (other than intra- Group loans, and then only if and to the extent otherwise expressly permitted by the other provisions of this clause 28) unless such arrangement or contract is on an arm's length basis.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28.9</w:t>
      </w:r>
      <w:r>
        <w:rPr>
          <w:sz w:val="20"/>
          <w:szCs w:val="20"/>
          <w:color w:val="auto"/>
        </w:rPr>
        <w:tab/>
      </w:r>
      <w:r>
        <w:rPr>
          <w:rFonts w:ascii="Times New Roman" w:cs="Times New Roman" w:eastAsia="Times New Roman" w:hAnsi="Times New Roman"/>
          <w:sz w:val="17"/>
          <w:szCs w:val="17"/>
          <w:b w:val="1"/>
          <w:bCs w:val="1"/>
          <w:color w:val="auto"/>
        </w:rPr>
        <w:t>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Owner shall establish or acquire a company or other entity.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28.10</w:t>
      </w:r>
      <w:r>
        <w:rPr>
          <w:sz w:val="20"/>
          <w:szCs w:val="20"/>
          <w:color w:val="auto"/>
        </w:rPr>
        <w:tab/>
      </w:r>
      <w:r>
        <w:rPr>
          <w:rFonts w:ascii="Times New Roman" w:cs="Times New Roman" w:eastAsia="Times New Roman" w:hAnsi="Times New Roman"/>
          <w:sz w:val="17"/>
          <w:szCs w:val="17"/>
          <w:b w:val="1"/>
          <w:bCs w:val="1"/>
          <w:color w:val="auto"/>
        </w:rPr>
        <w:t>Acquisitions and investments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 Owner shall acquire any person, business, assets or liabilities or make any investment in any person or business or enter into any joint-venture arrangement except:</w:t>
      </w:r>
    </w:p>
    <w:p>
      <w:pPr>
        <w:spacing w:after="0" w:line="162" w:lineRule="exact"/>
        <w:rPr>
          <w:sz w:val="20"/>
          <w:szCs w:val="20"/>
          <w:color w:val="auto"/>
        </w:rPr>
      </w:pPr>
    </w:p>
    <w:p>
      <w:pPr>
        <w:ind w:left="1300" w:hanging="644"/>
        <w:spacing w:after="0"/>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or investments related to maintenance of a Ship in the ordinary course of its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assets in the ordinary course of business (not being new businesses or vessels);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liabilities in the ordinary course of its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or credit not otherwise prohibited under this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Transaction Document to which it is party.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28.11</w:t>
      </w:r>
      <w:r>
        <w:rPr>
          <w:sz w:val="20"/>
          <w:szCs w:val="20"/>
          <w:color w:val="auto"/>
        </w:rPr>
        <w:tab/>
      </w:r>
      <w:r>
        <w:rPr>
          <w:rFonts w:ascii="Times New Roman" w:cs="Times New Roman" w:eastAsia="Times New Roman" w:hAnsi="Times New Roman"/>
          <w:sz w:val="17"/>
          <w:szCs w:val="17"/>
          <w:b w:val="1"/>
          <w:bCs w:val="1"/>
          <w:color w:val="auto"/>
        </w:rPr>
        <w:t>Reduction of capital</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Owner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28.12</w:t>
      </w:r>
      <w:r>
        <w:rPr>
          <w:sz w:val="20"/>
          <w:szCs w:val="20"/>
          <w:color w:val="auto"/>
        </w:rPr>
        <w:tab/>
      </w:r>
      <w:r>
        <w:rPr>
          <w:rFonts w:ascii="Times New Roman" w:cs="Times New Roman" w:eastAsia="Times New Roman" w:hAnsi="Times New Roman"/>
          <w:sz w:val="17"/>
          <w:szCs w:val="17"/>
          <w:b w:val="1"/>
          <w:bCs w:val="1"/>
          <w:color w:val="auto"/>
        </w:rPr>
        <w:t>Distributions and other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not:</w:t>
      </w:r>
    </w:p>
    <w:p>
      <w:pPr>
        <w:spacing w:after="0" w:line="225" w:lineRule="exact"/>
        <w:rPr>
          <w:sz w:val="20"/>
          <w:szCs w:val="20"/>
          <w:color w:val="auto"/>
        </w:rPr>
      </w:pPr>
    </w:p>
    <w:p>
      <w:pPr>
        <w:ind w:left="1300" w:right="20" w:hanging="644"/>
        <w:spacing w:after="0" w:line="282" w:lineRule="auto"/>
        <w:tabs>
          <w:tab w:leader="none" w:pos="13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(including by way of set-off, combination of accounts or otherwise) any dividend, or redeem or make any other distribution) or payment (whether in cash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8" w:name="page289"/>
    <w:bookmarkEnd w:id="288"/>
    <w:p>
      <w:pPr>
        <w:ind w:left="1300"/>
        <w:spacing w:after="0" w:line="282" w:lineRule="auto"/>
        <w:rPr>
          <w:sz w:val="20"/>
          <w:szCs w:val="20"/>
          <w:color w:val="auto"/>
        </w:rPr>
      </w:pPr>
      <w:r>
        <w:rPr>
          <w:rFonts w:ascii="Times New Roman" w:cs="Times New Roman" w:eastAsia="Times New Roman" w:hAnsi="Times New Roman"/>
          <w:sz w:val="18"/>
          <w:szCs w:val="18"/>
          <w:color w:val="auto"/>
        </w:rPr>
        <w:t>specie) including any interest and/or unpaid dividends, in respect of its equity or any other share capital or any warrants for the time being in issue; or</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the following conditions are met:</w:t>
      </w:r>
    </w:p>
    <w:p>
      <w:pPr>
        <w:spacing w:after="0" w:line="225" w:lineRule="exact"/>
        <w:rPr>
          <w:sz w:val="20"/>
          <w:szCs w:val="20"/>
          <w:color w:val="auto"/>
        </w:rPr>
      </w:pPr>
    </w:p>
    <w:p>
      <w:pPr>
        <w:ind w:left="1960" w:hanging="656"/>
        <w:spacing w:after="0" w:line="282" w:lineRule="auto"/>
        <w:tabs>
          <w:tab w:leader="none" w:pos="19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at the time of the declaration or payment of any such dividend, distribution or other payment, nor would result from the declaration or payment of the same;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82" w:lineRule="auto"/>
        <w:tabs>
          <w:tab w:leader="none" w:pos="19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when any such dividend, distribution or other payment is declared and made and following declaration and payment of the same, it would be in compliance with clause 20.3 (</w:t>
      </w:r>
      <w:r>
        <w:rPr>
          <w:rFonts w:ascii="Times New Roman" w:cs="Times New Roman" w:eastAsia="Times New Roman" w:hAnsi="Times New Roman"/>
          <w:sz w:val="18"/>
          <w:szCs w:val="18"/>
          <w:i w:val="1"/>
          <w:iCs w:val="1"/>
          <w:color w:val="auto"/>
        </w:rPr>
        <w:t>Group financial condition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Hedging Contracts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29.1</w:t>
      </w:r>
      <w:r>
        <w:rPr>
          <w:sz w:val="20"/>
          <w:szCs w:val="20"/>
          <w:color w:val="auto"/>
        </w:rPr>
        <w:tab/>
      </w:r>
      <w:r>
        <w:rPr>
          <w:rFonts w:ascii="Times New Roman" w:cs="Times New Roman" w:eastAsia="Times New Roman" w:hAnsi="Times New Roman"/>
          <w:sz w:val="17"/>
          <w:szCs w:val="17"/>
          <w:b w:val="1"/>
          <w:bCs w:val="1"/>
          <w:color w:val="auto"/>
        </w:rPr>
        <w:t>Undertaking to comply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who is a Party undertakes that this clause 29 will be complied with throughout the Facility Period.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29.2</w:t>
      </w:r>
      <w:r>
        <w:rPr>
          <w:sz w:val="20"/>
          <w:szCs w:val="20"/>
          <w:color w:val="auto"/>
        </w:rPr>
        <w:tab/>
      </w:r>
      <w:r>
        <w:rPr>
          <w:rFonts w:ascii="Times New Roman" w:cs="Times New Roman" w:eastAsia="Times New Roman" w:hAnsi="Times New Roman"/>
          <w:sz w:val="17"/>
          <w:szCs w:val="17"/>
          <w:b w:val="1"/>
          <w:bCs w:val="1"/>
          <w:color w:val="auto"/>
        </w:rPr>
        <w:t>Hedging</w:t>
      </w:r>
    </w:p>
    <w:p>
      <w:pPr>
        <w:spacing w:after="0" w:line="229" w:lineRule="exact"/>
        <w:rPr>
          <w:sz w:val="20"/>
          <w:szCs w:val="20"/>
          <w:color w:val="auto"/>
        </w:rPr>
      </w:pPr>
    </w:p>
    <w:p>
      <w:pPr>
        <w:ind w:left="1300" w:right="20" w:hanging="644"/>
        <w:spacing w:after="0" w:line="282"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Facility Period, the Borrower wishes to enter into any Treasury Transaction so as to hedge all or any part of their exposure under this Agreement to interest rate fluctuations, it shall advise the Agent in writing.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Treasury Transaction shall be concluded by the Borrower only, with one or more of the Hedging Providers on the terms of the Hedging Master Agreements (except with the approval of the Majority Lenders) and no such Treasury Transaction shall be concluded unless:</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purpose is to hedge the Borrower’s interest rate risk in relation to one or more Loans for a period expiring no later than the Final Reduction Date;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notional amount, when aggregated with the notional amount of any other continuing Hedging Contracts for all Loans, does not and will not exceed all the Loans as then scheduled to be repaid pursuant to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Hedging Transactions which meet the requirements of paragraphs (a) to (b) above, the Borrower shall not enter into Hedging Transactions, except with approval.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entry into of any Confirmation under a Hedging Contract, deliver to the Agent an original or certified copy of such Confirmation.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before entering into or agreeing to enter into any Treasury Transactions with any Hedging Provider, ensure that the following documents and evidence have been executed and delivered to the Agent at the cost and expense of the Borrower: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Hedging Master Agreement with each Hedging Provider and the Hedging Contract Security in respect of all Hedging Master Agreements duly executed by the parties thereto, together with any notices and acknowledgments required thereunder;</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Hedging Providers in writing, a second priority mortgage over m.v. GasLog Warsaw which shall secure, among other things,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9" w:name="page290"/>
    <w:bookmarkEnd w:id="289"/>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liabilities of the Obligors under the Hedging Contracts in the agreed form on a subordinated basis towards the interests of the Lenders secured by the relevant Mortgage over such Ship and subject to a subordination deed in all respects acceptable to the Lenders; and</w:t>
      </w:r>
    </w:p>
    <w:p>
      <w:pPr>
        <w:spacing w:after="0" w:line="174" w:lineRule="exact"/>
        <w:rPr>
          <w:sz w:val="20"/>
          <w:szCs w:val="20"/>
          <w:color w:val="auto"/>
        </w:rPr>
      </w:pPr>
    </w:p>
    <w:p>
      <w:pPr>
        <w:ind w:left="1960" w:hanging="656"/>
        <w:spacing w:after="0" w:line="284" w:lineRule="auto"/>
        <w:tabs>
          <w:tab w:leader="none" w:pos="196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and evidence of the type referred to in Schedule 3 (</w:t>
      </w:r>
      <w:r>
        <w:rPr>
          <w:rFonts w:ascii="Times New Roman" w:cs="Times New Roman" w:eastAsia="Times New Roman" w:hAnsi="Times New Roman"/>
          <w:sz w:val="18"/>
          <w:szCs w:val="18"/>
          <w:i w:val="1"/>
          <w:iCs w:val="1"/>
          <w:color w:val="auto"/>
        </w:rPr>
        <w:t>Condition Precedent</w:t>
      </w:r>
      <w:r>
        <w:rPr>
          <w:rFonts w:ascii="Times New Roman" w:cs="Times New Roman" w:eastAsia="Times New Roman" w:hAnsi="Times New Roman"/>
          <w:sz w:val="18"/>
          <w:szCs w:val="18"/>
          <w:color w:val="auto"/>
        </w:rPr>
        <w:t>) in connection with the documents referred to in paragraphs (i) and (ii) above.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29.3</w:t>
      </w:r>
      <w:r>
        <w:rPr>
          <w:sz w:val="20"/>
          <w:szCs w:val="20"/>
          <w:color w:val="auto"/>
        </w:rPr>
        <w:tab/>
      </w:r>
      <w:r>
        <w:rPr>
          <w:rFonts w:ascii="Times New Roman" w:cs="Times New Roman" w:eastAsia="Times New Roman" w:hAnsi="Times New Roman"/>
          <w:sz w:val="17"/>
          <w:szCs w:val="17"/>
          <w:b w:val="1"/>
          <w:bCs w:val="1"/>
          <w:color w:val="auto"/>
        </w:rPr>
        <w:t>Unwinding of Hedging Contracts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If at any time, and whether as a result of any prepayment (in whole or in part) of a Loan or any cancellation (in whole or in part) of any Commitment or otherwise, the aggregate notional amount under all Hedging Transactions in respect of all the Loans entered into by the Borrower exceeds or will exceed the amount of all the Loans outstanding at that time after such prepayment or cancellation, then the Borrower or a Hedging Provider with outstanding Hedging Contracts may (or, at the request of the Agent, must) close out and terminate (in whole or in part) those Hedging Transactions as are necessary to ensure that the aggregate notional amount under the remaining continuing Hedging Transactions in relation to the Loans does not exceed or will not exceed, the amount of all the outstanding Loans at that time and as scheduled to be repaid from time to time thereafter pursuant to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reductions in the aggregate notional amount of the Hedging Transactions in accordance with this clause 29.3 will be apportioned to the notional amount of the outstanding Hedging Transactions in such manner as the Borrower may determine.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29.4</w:t>
      </w:r>
      <w:r>
        <w:rPr>
          <w:sz w:val="20"/>
          <w:szCs w:val="20"/>
          <w:color w:val="auto"/>
        </w:rPr>
        <w:tab/>
      </w:r>
      <w:r>
        <w:rPr>
          <w:rFonts w:ascii="Times New Roman" w:cs="Times New Roman" w:eastAsia="Times New Roman" w:hAnsi="Times New Roman"/>
          <w:sz w:val="17"/>
          <w:szCs w:val="17"/>
          <w:b w:val="1"/>
          <w:bCs w:val="1"/>
          <w:color w:val="auto"/>
        </w:rPr>
        <w:t>Variations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clause 46.3(a), any Hedging Master Agreement and the Hedging Contracts shall not be varied.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29.5</w:t>
      </w:r>
      <w:r>
        <w:rPr>
          <w:sz w:val="20"/>
          <w:szCs w:val="20"/>
          <w:color w:val="auto"/>
        </w:rPr>
        <w:tab/>
      </w:r>
      <w:r>
        <w:rPr>
          <w:rFonts w:ascii="Times New Roman" w:cs="Times New Roman" w:eastAsia="Times New Roman" w:hAnsi="Times New Roman"/>
          <w:sz w:val="17"/>
          <w:szCs w:val="17"/>
          <w:b w:val="1"/>
          <w:bCs w:val="1"/>
          <w:color w:val="auto"/>
        </w:rPr>
        <w:t>Releases and waivers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Except with approval and subject to clause 29.6 (</w:t>
      </w:r>
      <w:r>
        <w:rPr>
          <w:rFonts w:ascii="Times New Roman" w:cs="Times New Roman" w:eastAsia="Times New Roman" w:hAnsi="Times New Roman"/>
          <w:sz w:val="18"/>
          <w:szCs w:val="18"/>
          <w:i w:val="1"/>
          <w:iCs w:val="1"/>
          <w:color w:val="auto"/>
        </w:rPr>
        <w:t>Assignment of Hedging Contracts by Borrower</w:t>
      </w:r>
      <w:r>
        <w:rPr>
          <w:rFonts w:ascii="Times New Roman" w:cs="Times New Roman" w:eastAsia="Times New Roman" w:hAnsi="Times New Roman"/>
          <w:sz w:val="18"/>
          <w:szCs w:val="18"/>
          <w:color w:val="auto"/>
        </w:rPr>
        <w:t>), there shall be no release by the Borrower of any obligation of any other person under the Hedging Contracts (including by way of novation), no waiver of any breach of any such obligation and no consent to anything which would otherwise be such a breach.</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29.6</w:t>
      </w:r>
      <w:r>
        <w:rPr>
          <w:sz w:val="20"/>
          <w:szCs w:val="20"/>
          <w:color w:val="auto"/>
        </w:rPr>
        <w:tab/>
      </w:r>
      <w:r>
        <w:rPr>
          <w:rFonts w:ascii="Times New Roman" w:cs="Times New Roman" w:eastAsia="Times New Roman" w:hAnsi="Times New Roman"/>
          <w:sz w:val="17"/>
          <w:szCs w:val="17"/>
          <w:b w:val="1"/>
          <w:bCs w:val="1"/>
          <w:color w:val="auto"/>
        </w:rPr>
        <w:t>Assignment of Hedging Contracts by Borrower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with approval or by the Hedging Contract Security, the Borrower shall not assign or otherwise dispose of its rights under any Hedging Contract unless such transfer is made by way of a novation or transfer of a Hedging Contract to another Hedging Provider or Lender.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29.7</w:t>
      </w:r>
      <w:r>
        <w:rPr>
          <w:sz w:val="20"/>
          <w:szCs w:val="20"/>
          <w:color w:val="auto"/>
        </w:rPr>
        <w:tab/>
      </w:r>
      <w:r>
        <w:rPr>
          <w:rFonts w:ascii="Times New Roman" w:cs="Times New Roman" w:eastAsia="Times New Roman" w:hAnsi="Times New Roman"/>
          <w:sz w:val="17"/>
          <w:szCs w:val="17"/>
          <w:b w:val="1"/>
          <w:bCs w:val="1"/>
          <w:color w:val="auto"/>
        </w:rPr>
        <w:t>Performance of Hedging Contracts by Borrower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perform its obligations under the Hedging Contract.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29.8</w:t>
      </w:r>
      <w:r>
        <w:rPr>
          <w:sz w:val="20"/>
          <w:szCs w:val="20"/>
          <w:color w:val="auto"/>
        </w:rPr>
        <w:tab/>
      </w:r>
      <w:r>
        <w:rPr>
          <w:rFonts w:ascii="Times New Roman" w:cs="Times New Roman" w:eastAsia="Times New Roman" w:hAnsi="Times New Roman"/>
          <w:sz w:val="17"/>
          <w:szCs w:val="17"/>
          <w:b w:val="1"/>
          <w:bCs w:val="1"/>
          <w:color w:val="auto"/>
        </w:rPr>
        <w:t>Information concerning Hedging Contracts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Borrower shall provide the Agent with any information it may request concerning any Hedging Contract, including all reasonable information, accounts and records that may be necessary or of assistance to enable the Agent to verify the amounts of all payments and any other amounts payable under the Hedging Contracts.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29.9</w:t>
      </w:r>
      <w:r>
        <w:rPr>
          <w:sz w:val="20"/>
          <w:szCs w:val="20"/>
          <w:color w:val="auto"/>
        </w:rPr>
        <w:tab/>
      </w:r>
      <w:r>
        <w:rPr>
          <w:rFonts w:ascii="Times New Roman" w:cs="Times New Roman" w:eastAsia="Times New Roman" w:hAnsi="Times New Roman"/>
          <w:sz w:val="17"/>
          <w:szCs w:val="17"/>
          <w:b w:val="1"/>
          <w:bCs w:val="1"/>
          <w:color w:val="auto"/>
        </w:rPr>
        <w:t>Qualified Financial Contracts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To the extent that the Finance Documents provide support, through a guarantee or otherwise, for any Hedging Contract or any other agreement or instrument that is a QFC (such support herein referred to as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0" w:name="page291"/>
    <w:bookmarkEnd w:id="290"/>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Finance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jc w:val="both"/>
        <w:ind w:left="1300" w:hanging="644"/>
        <w:spacing w:after="0" w:line="253" w:lineRule="auto"/>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clause 29.9, the following terms have the following meanings:</w:t>
      </w:r>
    </w:p>
    <w:p>
      <w:pPr>
        <w:spacing w:after="0" w:line="221"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BHC Act Affiliate </w:t>
      </w:r>
      <w:r>
        <w:rPr>
          <w:rFonts w:ascii="Times New Roman" w:cs="Times New Roman" w:eastAsia="Times New Roman" w:hAnsi="Times New Roman"/>
          <w:sz w:val="18"/>
          <w:szCs w:val="18"/>
          <w:color w:val="auto"/>
        </w:rPr>
        <w:t>of a party means an “affiliate” (as such term is defined under, and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U.S.C. 1841(k)) of such party.</w:t>
      </w:r>
    </w:p>
    <w:p>
      <w:pPr>
        <w:spacing w:after="0" w:line="154" w:lineRule="exact"/>
        <w:rPr>
          <w:rFonts w:ascii="Times New Roman" w:cs="Times New Roman" w:eastAsia="Times New Roman" w:hAnsi="Times New Roman"/>
          <w:sz w:val="18"/>
          <w:szCs w:val="18"/>
          <w:color w:val="auto"/>
        </w:rPr>
      </w:pPr>
    </w:p>
    <w:p>
      <w:pPr>
        <w:jc w:val="both"/>
        <w:ind w:left="13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Covered Entity </w:t>
      </w:r>
      <w:r>
        <w:rPr>
          <w:rFonts w:ascii="Times New Roman" w:cs="Times New Roman" w:eastAsia="Times New Roman" w:hAnsi="Times New Roman"/>
          <w:sz w:val="18"/>
          <w:szCs w:val="18"/>
          <w:color w:val="auto"/>
        </w:rPr>
        <w:t>means any of the following: (i) a “covered entity” as that term is defined in, and interpreted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Default Right </w:t>
      </w:r>
      <w:r>
        <w:rPr>
          <w:rFonts w:ascii="Times New Roman" w:cs="Times New Roman" w:eastAsia="Times New Roman" w:hAnsi="Times New Roman"/>
          <w:sz w:val="18"/>
          <w:szCs w:val="18"/>
          <w:color w:val="auto"/>
        </w:rPr>
        <w:t>has the meaning assigned to that term in, and shall be interpreted in accordance with, 12 C.F.R.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252.81, 47.2 or 382.1, as applicable.</w:t>
      </w:r>
    </w:p>
    <w:p>
      <w:pPr>
        <w:spacing w:after="0" w:line="154" w:lineRule="exact"/>
        <w:rPr>
          <w:rFonts w:ascii="Times New Roman" w:cs="Times New Roman" w:eastAsia="Times New Roman" w:hAnsi="Times New Roman"/>
          <w:sz w:val="18"/>
          <w:szCs w:val="18"/>
          <w:color w:val="auto"/>
        </w:rPr>
      </w:pPr>
    </w:p>
    <w:p>
      <w:pPr>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QFC </w:t>
      </w:r>
      <w:r>
        <w:rPr>
          <w:rFonts w:ascii="Times New Roman" w:cs="Times New Roman" w:eastAsia="Times New Roman" w:hAnsi="Times New Roman"/>
          <w:sz w:val="18"/>
          <w:szCs w:val="18"/>
          <w:color w:val="auto"/>
        </w:rPr>
        <w:t>has the meaning assigned to the term “qualified financial contract” in, and shall be interpreted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12 U.S.C. 5390(c)(8)(D).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this clause 29.9 and the terms of the Hedging Contracts with regards to QFC, the terms of the Hedging Contracts shall prevail.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29.10</w:t>
      </w:r>
      <w:r>
        <w:rPr>
          <w:sz w:val="20"/>
          <w:szCs w:val="20"/>
          <w:color w:val="auto"/>
        </w:rPr>
        <w:tab/>
      </w:r>
      <w:r>
        <w:rPr>
          <w:rFonts w:ascii="Times New Roman" w:cs="Times New Roman" w:eastAsia="Times New Roman" w:hAnsi="Times New Roman"/>
          <w:sz w:val="17"/>
          <w:szCs w:val="17"/>
          <w:b w:val="1"/>
          <w:bCs w:val="1"/>
          <w:color w:val="auto"/>
        </w:rPr>
        <w:t>Non-application of certain clauses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avoidance of doubt clauses 12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14 (</w:t>
      </w:r>
      <w:r>
        <w:rPr>
          <w:rFonts w:ascii="Times New Roman" w:cs="Times New Roman" w:eastAsia="Times New Roman" w:hAnsi="Times New Roman"/>
          <w:sz w:val="18"/>
          <w:szCs w:val="18"/>
          <w:i w:val="1"/>
          <w:iCs w:val="1"/>
          <w:color w:val="auto"/>
        </w:rPr>
        <w:t>Other indemnities</w:t>
      </w:r>
      <w:r>
        <w:rPr>
          <w:rFonts w:ascii="Times New Roman" w:cs="Times New Roman" w:eastAsia="Times New Roman" w:hAnsi="Times New Roman"/>
          <w:sz w:val="18"/>
          <w:szCs w:val="18"/>
          <w:color w:val="auto"/>
        </w:rPr>
        <w:t>), 15 (</w:t>
      </w:r>
      <w:r>
        <w:rPr>
          <w:rFonts w:ascii="Times New Roman" w:cs="Times New Roman" w:eastAsia="Times New Roman" w:hAnsi="Times New Roman"/>
          <w:sz w:val="18"/>
          <w:szCs w:val="18"/>
          <w:i w:val="1"/>
          <w:iCs w:val="1"/>
          <w:color w:val="auto"/>
        </w:rPr>
        <w:t>Mitigation by the Lenders</w:t>
      </w:r>
      <w:r>
        <w:rPr>
          <w:rFonts w:ascii="Times New Roman" w:cs="Times New Roman" w:eastAsia="Times New Roman" w:hAnsi="Times New Roman"/>
          <w:sz w:val="18"/>
          <w:szCs w:val="18"/>
          <w:color w:val="auto"/>
        </w:rPr>
        <w:t>), 40.7 (</w:t>
      </w:r>
      <w:r>
        <w:rPr>
          <w:rFonts w:ascii="Times New Roman" w:cs="Times New Roman" w:eastAsia="Times New Roman" w:hAnsi="Times New Roman"/>
          <w:sz w:val="18"/>
          <w:szCs w:val="18"/>
          <w:i w:val="1"/>
          <w:iCs w:val="1"/>
          <w:color w:val="auto"/>
        </w:rPr>
        <w:t>No set-off by Obligors</w:t>
      </w:r>
      <w:r>
        <w:rPr>
          <w:rFonts w:ascii="Times New Roman" w:cs="Times New Roman" w:eastAsia="Times New Roman" w:hAnsi="Times New Roman"/>
          <w:sz w:val="18"/>
          <w:szCs w:val="18"/>
          <w:color w:val="auto"/>
        </w:rPr>
        <w:t>), 40.8 (</w:t>
      </w:r>
      <w:r>
        <w:rPr>
          <w:rFonts w:ascii="Times New Roman" w:cs="Times New Roman" w:eastAsia="Times New Roman" w:hAnsi="Times New Roman"/>
          <w:sz w:val="18"/>
          <w:szCs w:val="18"/>
          <w:i w:val="1"/>
          <w:iCs w:val="1"/>
          <w:color w:val="auto"/>
        </w:rPr>
        <w:t>Business Days</w:t>
      </w:r>
      <w:r>
        <w:rPr>
          <w:rFonts w:ascii="Times New Roman" w:cs="Times New Roman" w:eastAsia="Times New Roman" w:hAnsi="Times New Roman"/>
          <w:sz w:val="18"/>
          <w:szCs w:val="18"/>
          <w:color w:val="auto"/>
        </w:rPr>
        <w:t>), 40.10 (</w:t>
      </w:r>
      <w:r>
        <w:rPr>
          <w:rFonts w:ascii="Times New Roman" w:cs="Times New Roman" w:eastAsia="Times New Roman" w:hAnsi="Times New Roman"/>
          <w:sz w:val="18"/>
          <w:szCs w:val="18"/>
          <w:i w:val="1"/>
          <w:iCs w:val="1"/>
          <w:color w:val="auto"/>
        </w:rPr>
        <w:t>Currency of Account</w:t>
      </w:r>
      <w:r>
        <w:rPr>
          <w:rFonts w:ascii="Times New Roman" w:cs="Times New Roman" w:eastAsia="Times New Roman" w:hAnsi="Times New Roman"/>
          <w:sz w:val="18"/>
          <w:szCs w:val="18"/>
          <w:color w:val="auto"/>
        </w:rPr>
        <w:t>), 40.11 (</w:t>
      </w:r>
      <w:r>
        <w:rPr>
          <w:rFonts w:ascii="Times New Roman" w:cs="Times New Roman" w:eastAsia="Times New Roman" w:hAnsi="Times New Roman"/>
          <w:sz w:val="18"/>
          <w:szCs w:val="18"/>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43.3 (</w:t>
      </w:r>
      <w:r>
        <w:rPr>
          <w:rFonts w:ascii="Times New Roman" w:cs="Times New Roman" w:eastAsia="Times New Roman" w:hAnsi="Times New Roman"/>
          <w:sz w:val="18"/>
          <w:szCs w:val="18"/>
          <w:i w:val="1"/>
          <w:iCs w:val="1"/>
          <w:color w:val="auto"/>
        </w:rPr>
        <w:t>Day count convention</w:t>
      </w:r>
      <w:r>
        <w:rPr>
          <w:rFonts w:ascii="Times New Roman" w:cs="Times New Roman" w:eastAsia="Times New Roman" w:hAnsi="Times New Roman"/>
          <w:sz w:val="18"/>
          <w:szCs w:val="18"/>
          <w:color w:val="auto"/>
        </w:rPr>
        <w:t>), 46.10 (</w:t>
      </w:r>
      <w:r>
        <w:rPr>
          <w:rFonts w:ascii="Times New Roman" w:cs="Times New Roman" w:eastAsia="Times New Roman" w:hAnsi="Times New Roman"/>
          <w:sz w:val="18"/>
          <w:szCs w:val="18"/>
          <w:i w:val="1"/>
          <w:iCs w:val="1"/>
          <w:color w:val="auto"/>
        </w:rPr>
        <w:t>Changes to reference rates</w:t>
      </w:r>
      <w:r>
        <w:rPr>
          <w:rFonts w:ascii="Times New Roman" w:cs="Times New Roman" w:eastAsia="Times New Roman" w:hAnsi="Times New Roman"/>
          <w:sz w:val="18"/>
          <w:szCs w:val="18"/>
          <w:color w:val="auto"/>
        </w:rPr>
        <w:t>) and 47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shall not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Providers or with respect to Hedging Contracts, in which cases the terms of the Hedging Contracts shall prevail.</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color w:val="auto"/>
        </w:rPr>
        <w:t xml:space="preserve">Each of the events or circumstances set out in this clause 30 (except clause 30.23 </w:t>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 is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1" w:name="page292"/>
    <w:bookmarkEnd w:id="29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 Obligor does not pay on the due date any amount payable pursuant to a Finance Document at the place at and in the currency in which it is expressed to be payable provided however that no Event of Default shall occur if:</w:t>
      </w:r>
    </w:p>
    <w:p>
      <w:pPr>
        <w:spacing w:after="0" w:line="162" w:lineRule="exact"/>
        <w:rPr>
          <w:sz w:val="20"/>
          <w:szCs w:val="20"/>
          <w:color w:val="auto"/>
        </w:rPr>
      </w:pPr>
    </w:p>
    <w:p>
      <w:pPr>
        <w:ind w:left="1300" w:hanging="644"/>
        <w:spacing w:after="0"/>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has occurred;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made within three (3) Business Days of the due date.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8"/>
          <w:szCs w:val="18"/>
          <w:b w:val="1"/>
          <w:bCs w:val="1"/>
          <w:color w:val="auto"/>
        </w:rPr>
        <w:t>Hedging Contracts</w:t>
      </w:r>
    </w:p>
    <w:p>
      <w:pPr>
        <w:spacing w:after="0" w:line="229" w:lineRule="exact"/>
        <w:rPr>
          <w:sz w:val="20"/>
          <w:szCs w:val="20"/>
          <w:color w:val="auto"/>
        </w:rPr>
      </w:pPr>
    </w:p>
    <w:p>
      <w:pPr>
        <w:ind w:left="1300" w:right="20" w:hanging="644"/>
        <w:spacing w:after="0" w:line="282" w:lineRule="auto"/>
        <w:tabs>
          <w:tab w:leader="none" w:pos="130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in any Hedging Master Agreement) has occurred and is continuing under any Hedging Contract.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term by the Borrower under any Hedging Contract.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Financial covenants</w:t>
      </w:r>
    </w:p>
    <w:p>
      <w:pPr>
        <w:spacing w:after="0" w:line="227" w:lineRule="exact"/>
        <w:rPr>
          <w:sz w:val="20"/>
          <w:szCs w:val="20"/>
          <w:color w:val="auto"/>
        </w:rPr>
      </w:pPr>
    </w:p>
    <w:p>
      <w:pPr>
        <w:ind w:left="1300" w:hanging="644"/>
        <w:spacing w:after="0"/>
        <w:tabs>
          <w:tab w:leader="none" w:pos="13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does not comply with clause 20 </w:t>
      </w:r>
      <w:r>
        <w:rPr>
          <w:rFonts w:ascii="Times New Roman" w:cs="Times New Roman" w:eastAsia="Times New Roman" w:hAnsi="Times New Roman"/>
          <w:sz w:val="18"/>
          <w:szCs w:val="18"/>
          <w:i w:val="1"/>
          <w:iCs w:val="1"/>
          <w:color w:val="auto"/>
        </w:rPr>
        <w:t>(Financial covenants).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do not comply with clause 25.13 (</w:t>
      </w:r>
      <w:r>
        <w:rPr>
          <w:rFonts w:ascii="Times New Roman" w:cs="Times New Roman" w:eastAsia="Times New Roman" w:hAnsi="Times New Roman"/>
          <w:sz w:val="18"/>
          <w:szCs w:val="18"/>
          <w:i w:val="1"/>
          <w:iCs w:val="1"/>
          <w:color w:val="auto"/>
        </w:rPr>
        <w:t>Security shortfall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do not comply with clause 27.2(e) or clause 27.3(g).</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7" w:lineRule="exact"/>
        <w:rPr>
          <w:sz w:val="20"/>
          <w:szCs w:val="20"/>
          <w:color w:val="auto"/>
        </w:rPr>
      </w:pPr>
    </w:p>
    <w:p>
      <w:pPr>
        <w:ind w:left="1300" w:hanging="644"/>
        <w:spacing w:after="0"/>
        <w:tabs>
          <w:tab w:leader="none" w:pos="130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Insurances of a Mortgaged Ship are not placed and kept in force in the manner required by clause 24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insurer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cancels any such Insurances and such Insurances are not immediately replaced by the Borrower to the full satisfaction of all the Lenders;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disclaims liability under them by reason of any mis-statement or failure or default by any person.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229" w:lineRule="exact"/>
        <w:rPr>
          <w:sz w:val="20"/>
          <w:szCs w:val="20"/>
          <w:color w:val="auto"/>
        </w:rPr>
      </w:pPr>
    </w:p>
    <w:p>
      <w:pPr>
        <w:ind w:left="1300" w:hanging="644"/>
        <w:spacing w:after="0"/>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does not comply with any provision of the Finance Documents except the following provisions:</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referred to in clause 30.2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xml:space="preserve">, clause 30.3(a) </w:t>
      </w:r>
      <w:r>
        <w:rPr>
          <w:rFonts w:ascii="Times New Roman" w:cs="Times New Roman" w:eastAsia="Times New Roman" w:hAnsi="Times New Roman"/>
          <w:sz w:val="18"/>
          <w:szCs w:val="18"/>
          <w:i w:val="1"/>
          <w:iCs w:val="1"/>
          <w:color w:val="auto"/>
        </w:rPr>
        <w:t>(Hedging Contracts)</w:t>
      </w:r>
      <w:r>
        <w:rPr>
          <w:rFonts w:ascii="Times New Roman" w:cs="Times New Roman" w:eastAsia="Times New Roman" w:hAnsi="Times New Roman"/>
          <w:sz w:val="18"/>
          <w:szCs w:val="18"/>
          <w:color w:val="auto"/>
        </w:rPr>
        <w:t xml:space="preserve">, clause 30.4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and clause 30.5</w:t>
      </w:r>
      <w:r>
        <w:rPr>
          <w:rFonts w:ascii="Times New Roman" w:cs="Times New Roman" w:eastAsia="Times New Roman" w:hAnsi="Times New Roman"/>
          <w:sz w:val="18"/>
          <w:szCs w:val="18"/>
          <w:i w:val="1"/>
          <w:iCs w:val="1"/>
          <w:color w:val="auto"/>
        </w:rPr>
        <w:t xml:space="preserve"> (Insurance) </w:t>
      </w:r>
      <w:r>
        <w:rPr>
          <w:rFonts w:ascii="Times New Roman" w:cs="Times New Roman" w:eastAsia="Times New Roman" w:hAnsi="Times New Roman"/>
          <w:sz w:val="18"/>
          <w:szCs w:val="18"/>
          <w:color w:val="auto"/>
        </w:rPr>
        <w:t>or any other provision of this clause 30;</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of clauses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and 26.8 (</w:t>
      </w:r>
      <w:r>
        <w:rPr>
          <w:rFonts w:ascii="Times New Roman" w:cs="Times New Roman" w:eastAsia="Times New Roman" w:hAnsi="Times New Roman"/>
          <w:sz w:val="18"/>
          <w:szCs w:val="18"/>
          <w:i w:val="1"/>
          <w:iCs w:val="1"/>
          <w:color w:val="auto"/>
        </w:rPr>
        <w:t>Termination Cure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of clause 26.4 (</w:t>
      </w:r>
      <w:r>
        <w:rPr>
          <w:rFonts w:ascii="Times New Roman" w:cs="Times New Roman" w:eastAsia="Times New Roman" w:hAnsi="Times New Roman"/>
          <w:sz w:val="18"/>
          <w:szCs w:val="18"/>
          <w:i w:val="1"/>
          <w:iCs w:val="1"/>
          <w:color w:val="auto"/>
        </w:rPr>
        <w:t>Termination by the relevant Owner</w:t>
      </w:r>
      <w:r>
        <w:rPr>
          <w:rFonts w:ascii="Times New Roman" w:cs="Times New Roman" w:eastAsia="Times New Roman" w:hAnsi="Times New Roman"/>
          <w:sz w:val="18"/>
          <w:szCs w:val="18"/>
          <w:color w:val="auto"/>
        </w:rPr>
        <w:t>) where an Owner has exercised rights available to it to terminate a Charter Document or withdraw its Ship from service under a Charter;</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Agent (acting on the instructions of the Majority Lenders) considers that the failure to comply is capable of remedy and the failure is remedied within twenty days of the earlier of (A) the Agent giving notice to the Borrower and (B) the Borrower or any other Obligor becoming aware of the failure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2" w:name="page293"/>
    <w:bookmarkEnd w:id="29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30.7</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 unless the same is capable of remedy and is remedied within twenty (20) days of the earlier of (a) the Agent giving notice to the Borrower and (b) the Borrower or any other Obligor becoming aware of the same (but excluding any representation or statement made under clause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to which this clause 30.7 shall not apply).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30.8</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300" w:hanging="644"/>
        <w:spacing w:after="0"/>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is not paid when due nor within any originally applicable grace period.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for any Financial Indebtedness of any Obligor is cancelled or suspended by a creditor of any Obligor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to a Treasury Transaction entered into by any Obligor becomes entitled to terminate that Treasury Transaction early by reason of an event of default (however described).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30.8 if the aggregate amount of Financial Indebtedness or commitment for Financial Indebtedness falling within paragraphs 30.8(a) to 30.8(e) above is: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$10,000,000 (or its equivalent in any other currency or currencies) in respect of any Obligor (excluding the Owners); and/or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$1,000,000 (or its equivalent in any other currency or currencies) in respect of any Owner.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30.9</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1300" w:hanging="644"/>
        <w:spacing w:after="0"/>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or admits inability to pay its debts as they fall due;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making payments on any of its debts;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financial difficulties, commences negotiations with one or more of its creditors with a view to rescheduling any of its indebtedness.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assets of any Obligor is less than its liabilities (taking into account contingent and prospective liabilities).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any Obligor. If a moratorium occurs, the ending of the moratorium will not remedy any Event of Default caused by that moratorium.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3" w:name="page294"/>
    <w:bookmarkEnd w:id="29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30.10</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1300" w:hanging="644"/>
        <w:spacing w:after="0"/>
        <w:tabs>
          <w:tab w:leader="none" w:pos="13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action, legal proceedings or other procedure or step is taken in relation to:</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creditor of any Obligor;</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administrative receiver, administrator, compulsory manager or other similar officer in respect of any Obligor or any of its assets (including the directors of any Obligor requesting a person to appoint any such officer in relation to it or any of its assets); or</w:t>
      </w:r>
    </w:p>
    <w:p>
      <w:pPr>
        <w:spacing w:after="0" w:line="175" w:lineRule="exact"/>
        <w:rPr>
          <w:rFonts w:ascii="Times New Roman" w:cs="Times New Roman" w:eastAsia="Times New Roman" w:hAnsi="Times New Roman"/>
          <w:sz w:val="18"/>
          <w:szCs w:val="18"/>
          <w:color w:val="auto"/>
        </w:rPr>
      </w:pPr>
    </w:p>
    <w:p>
      <w:pPr>
        <w:ind w:left="1960" w:right="3060" w:hanging="656"/>
        <w:spacing w:after="0" w:line="530" w:lineRule="auto"/>
        <w:tabs>
          <w:tab w:leader="none" w:pos="1960" w:val="left"/>
        </w:tabs>
        <w:numPr>
          <w:ilvl w:val="1"/>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enforcement of any Security Interest over any assets of any Obligor, or any analogous procedure or step is taken in any jurisdiction.</w:t>
      </w:r>
    </w:p>
    <w:p>
      <w:pPr>
        <w:jc w:val="both"/>
        <w:ind w:left="1300" w:hanging="644"/>
        <w:spacing w:after="0" w:line="266" w:lineRule="auto"/>
        <w:tabs>
          <w:tab w:leader="none" w:pos="13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 to any winding-up petition (or analogous procedure or step) which is frivolous or vexatious and is discharged, stayed or dismissed within 15 (fifteen) days of commencement or, if earlier, the date on which it is advertised.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30.11</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expropriation, attachment, sequestration, distress, execution or any other analogous process or enforcement action affects any asset or assets of any Obligor for an amount in excess of $10,000,000 (or the equivalent in any other currency) in respect of any of the Obligors (other than the Owners) and/or $1,000,000 (or the equivalent in any other currency) in respect of any Owner, and is not discharged within thirty (30) days.</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or order is made against any Obligor for an amount in excess of $10,000,000 (or the equivalent in any other currency) in respect of any of the Obligors (other than the Owners) and/or $1,000,000 (or the equivalent in any other currency) in respect of any of the Owners and is not stayed or complied with within thirty (30) days.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30.12</w:t>
      </w:r>
      <w:r>
        <w:rPr>
          <w:sz w:val="20"/>
          <w:szCs w:val="20"/>
          <w:color w:val="auto"/>
        </w:rPr>
        <w:tab/>
      </w:r>
      <w:r>
        <w:rPr>
          <w:rFonts w:ascii="Times New Roman" w:cs="Times New Roman" w:eastAsia="Times New Roman" w:hAnsi="Times New Roman"/>
          <w:sz w:val="17"/>
          <w:szCs w:val="17"/>
          <w:b w:val="1"/>
          <w:bCs w:val="1"/>
          <w:color w:val="auto"/>
        </w:rPr>
        <w:t>Unlawfulness and invalidity</w:t>
      </w:r>
    </w:p>
    <w:p>
      <w:pPr>
        <w:spacing w:after="0" w:line="229" w:lineRule="exact"/>
        <w:rPr>
          <w:sz w:val="20"/>
          <w:szCs w:val="20"/>
          <w:color w:val="auto"/>
        </w:rPr>
      </w:pPr>
    </w:p>
    <w:p>
      <w:pPr>
        <w:ind w:left="1300" w:hanging="644"/>
        <w:spacing w:after="0"/>
        <w:tabs>
          <w:tab w:leader="none" w:pos="13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becomes unlawful for an Obligor to perform any of its obligations under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obligations of any Obligor under any Finance Documents are not (subject to the Legal Reservations) or cease to be legal, valid, binding or enforceable and the cessation individually or cumulatively with any other cessations materially and adversely affects the interests of the Lenders under the Finance Documents.</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Document or any Transaction Security ceases to be in full force and effect or ceases to be legal, valid, binding, enforceable or effective or is alleged by a party to it (other than a Finance Party) to be ineffective for any reason.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30.13</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Obligor suspends or ceases to carry on all or a material part of its business (except in the case of an Owner as a result of the sale of its Ship in accordance with, and subject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4" w:name="page295"/>
    <w:bookmarkEnd w:id="29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30.14</w:t>
      </w:r>
      <w:r>
        <w:rPr>
          <w:sz w:val="20"/>
          <w:szCs w:val="20"/>
          <w:color w:val="auto"/>
        </w:rPr>
        <w:tab/>
      </w:r>
      <w:r>
        <w:rPr>
          <w:rFonts w:ascii="Times New Roman" w:cs="Times New Roman" w:eastAsia="Times New Roman" w:hAnsi="Times New Roman"/>
          <w:sz w:val="17"/>
          <w:szCs w:val="17"/>
          <w:b w:val="1"/>
          <w:bCs w:val="1"/>
          <w:color w:val="auto"/>
        </w:rPr>
        <w:t>Expropriation</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 other than:</w:t>
      </w:r>
    </w:p>
    <w:p>
      <w:pPr>
        <w:spacing w:after="0" w:line="174" w:lineRule="exact"/>
        <w:rPr>
          <w:sz w:val="20"/>
          <w:szCs w:val="20"/>
          <w:color w:val="auto"/>
        </w:rPr>
      </w:pPr>
    </w:p>
    <w:p>
      <w:pPr>
        <w:ind w:left="1300" w:hanging="644"/>
        <w:spacing w:after="0"/>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arrest or detention of a Mortgaged Ship referred to in clause 30.19 (</w:t>
      </w:r>
      <w:r>
        <w:rPr>
          <w:rFonts w:ascii="Times New Roman" w:cs="Times New Roman" w:eastAsia="Times New Roman" w:hAnsi="Times New Roman"/>
          <w:sz w:val="18"/>
          <w:szCs w:val="18"/>
          <w:i w:val="1"/>
          <w:iCs w:val="1"/>
          <w:color w:val="auto"/>
        </w:rPr>
        <w:t>Arrest of Ship</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requisition for title, confiscation or other compulsory acquisition of a Mortgaged Ship by a government entity, condemnation, capture, hijacking, piracy or theft of a Mortgaged Ship which would fall under the Total Loss provisions of clause 7.8 (</w:t>
      </w:r>
      <w:r>
        <w:rPr>
          <w:rFonts w:ascii="Times New Roman" w:cs="Times New Roman" w:eastAsia="Times New Roman" w:hAnsi="Times New Roman"/>
          <w:sz w:val="18"/>
          <w:szCs w:val="18"/>
          <w:i w:val="1"/>
          <w:iCs w:val="1"/>
          <w:color w:val="auto"/>
        </w:rPr>
        <w:t>Sale or Total Loss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30.15</w:t>
      </w:r>
      <w:r>
        <w:rPr>
          <w:sz w:val="20"/>
          <w:szCs w:val="20"/>
          <w:color w:val="auto"/>
        </w:rPr>
        <w:tab/>
      </w:r>
      <w:r>
        <w:rPr>
          <w:rFonts w:ascii="Times New Roman" w:cs="Times New Roman" w:eastAsia="Times New Roman" w:hAnsi="Times New Roman"/>
          <w:sz w:val="17"/>
          <w:szCs w:val="17"/>
          <w:b w:val="1"/>
          <w:bCs w:val="1"/>
          <w:color w:val="auto"/>
        </w:rPr>
        <w:t>Repudiation and rescission of Finance Documents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Obligor rescinds or repudiates a Finance Document or any of the Transaction Security.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30.16</w:t>
      </w:r>
      <w:r>
        <w:rPr>
          <w:sz w:val="20"/>
          <w:szCs w:val="20"/>
          <w:color w:val="auto"/>
        </w:rPr>
        <w:tab/>
      </w:r>
      <w:r>
        <w:rPr>
          <w:rFonts w:ascii="Times New Roman" w:cs="Times New Roman" w:eastAsia="Times New Roman" w:hAnsi="Times New Roman"/>
          <w:sz w:val="17"/>
          <w:szCs w:val="17"/>
          <w:b w:val="1"/>
          <w:bCs w:val="1"/>
          <w:color w:val="auto"/>
        </w:rPr>
        <w:t>Litigation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litigation, alternative dispute resolution, arbitration or administrative, proceeding (including investigative proceeding) is taking place against any Obligor or any of its assets, rights or revenues which, if adversely determined, might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30.17</w:t>
      </w:r>
      <w:r>
        <w:rPr>
          <w:sz w:val="20"/>
          <w:szCs w:val="20"/>
          <w:color w:val="auto"/>
        </w:rPr>
        <w:tab/>
      </w:r>
      <w:r>
        <w:rPr>
          <w:rFonts w:ascii="Times New Roman" w:cs="Times New Roman" w:eastAsia="Times New Roman" w:hAnsi="Times New Roman"/>
          <w:sz w:val="17"/>
          <w:szCs w:val="17"/>
          <w:b w:val="1"/>
          <w:bCs w:val="1"/>
          <w:color w:val="auto"/>
        </w:rPr>
        <w:t>Material Adverse Effect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event or circumstance occurs which has, or is reasonably expected to have,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30.18</w:t>
      </w:r>
      <w:r>
        <w:rPr>
          <w:sz w:val="20"/>
          <w:szCs w:val="20"/>
          <w:color w:val="auto"/>
        </w:rPr>
        <w:tab/>
      </w:r>
      <w:r>
        <w:rPr>
          <w:rFonts w:ascii="Times New Roman" w:cs="Times New Roman" w:eastAsia="Times New Roman" w:hAnsi="Times New Roman"/>
          <w:sz w:val="17"/>
          <w:szCs w:val="17"/>
          <w:b w:val="1"/>
          <w:bCs w:val="1"/>
          <w:color w:val="auto"/>
        </w:rPr>
        <w:t>Security enforceable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Security Interest (other than a Permitted Maritime Lien) in respect of Charged Property becomes enforceable.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30.19</w:t>
      </w:r>
      <w:r>
        <w:rPr>
          <w:sz w:val="20"/>
          <w:szCs w:val="20"/>
          <w:color w:val="auto"/>
        </w:rPr>
        <w:tab/>
      </w:r>
      <w:r>
        <w:rPr>
          <w:rFonts w:ascii="Times New Roman" w:cs="Times New Roman" w:eastAsia="Times New Roman" w:hAnsi="Times New Roman"/>
          <w:sz w:val="17"/>
          <w:szCs w:val="17"/>
          <w:b w:val="1"/>
          <w:bCs w:val="1"/>
          <w:color w:val="auto"/>
        </w:rPr>
        <w:t>Arrest of Ship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45 days thereafter (or such longer period as may be approved).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30.20</w:t>
      </w:r>
      <w:r>
        <w:rPr>
          <w:sz w:val="20"/>
          <w:szCs w:val="20"/>
          <w:color w:val="auto"/>
        </w:rPr>
        <w:tab/>
      </w:r>
      <w:r>
        <w:rPr>
          <w:rFonts w:ascii="Times New Roman" w:cs="Times New Roman" w:eastAsia="Times New Roman" w:hAnsi="Times New Roman"/>
          <w:sz w:val="17"/>
          <w:szCs w:val="17"/>
          <w:b w:val="1"/>
          <w:bCs w:val="1"/>
          <w:color w:val="auto"/>
        </w:rPr>
        <w:t>Ship registration</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Except with approval,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30.21</w:t>
        <w:tab/>
        <w:t>Political risk</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Flag State of any Mortgaged Ship or any Relevant Jurisdiction of an Obligor becomes involved in hostilities or civil war or (2) there is a seizure of power in the Flag State or any such Relevant Jurisdiction by unconstitutional means and (in either such case) such event or circumstance, might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Borrower takes such action within 20 days of notice from the Agent (specifying the relevant action to be taken) to do so (or such longer period as may be approved) as the Agent may require, to ensure that such event or circumstances will not have such an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5" w:name="page296"/>
    <w:bookmarkEnd w:id="29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30.22</w:t>
      </w:r>
      <w:r>
        <w:rPr>
          <w:sz w:val="20"/>
          <w:szCs w:val="20"/>
          <w:color w:val="auto"/>
        </w:rPr>
        <w:tab/>
      </w:r>
      <w:r>
        <w:rPr>
          <w:rFonts w:ascii="Times New Roman" w:cs="Times New Roman" w:eastAsia="Times New Roman" w:hAnsi="Times New Roman"/>
          <w:sz w:val="17"/>
          <w:szCs w:val="17"/>
          <w:b w:val="1"/>
          <w:bCs w:val="1"/>
          <w:color w:val="auto"/>
        </w:rPr>
        <w:t>Breach of Ministerial Decision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Hellenic Republic is the Flag State of a Mortgaged Ship, the relevant Owner commits any breach of the Ministerial Decision (as defined in the relevant Mortgage) with respect to that Mortgaged Ship or cancels or varies such Ministerial Decision except with approval.</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30.23</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and at any time after the occurrence of an Event of Default which is continuing the Agent may, and shall if so directed by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Majority Lenders:</w:t>
      </w:r>
    </w:p>
    <w:p>
      <w:pPr>
        <w:spacing w:after="0" w:line="207" w:lineRule="exact"/>
        <w:rPr>
          <w:sz w:val="20"/>
          <w:szCs w:val="20"/>
          <w:color w:val="auto"/>
        </w:rPr>
      </w:pPr>
    </w:p>
    <w:p>
      <w:pPr>
        <w:ind w:left="1300" w:hanging="644"/>
        <w:spacing w:after="0"/>
        <w:tabs>
          <w:tab w:leader="none" w:pos="130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to the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no withdrawals be made from any Account; and/or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Available Commitments at which time they shall immediately be cancelled and the Facility shall immediately cease to be available for further utilisation; and/or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together with accrued interest, and all other amounts accrued or outstanding under the Finance Documents be immediately due and payable, at which time they shall become immediately due and payable; and/or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be payable on demand, at which time they shall immediately become payable on demand by the Agent on the instructions of the Majority Lenders; and/or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direct the Security Agent and/or any other beneficiary of the Security Documents to exercise any or all of its rights, remedies, powers or discretions under the Finance Documents.</w:t>
      </w:r>
    </w:p>
    <w:p>
      <w:pPr>
        <w:spacing w:after="0" w:line="158" w:lineRule="exact"/>
        <w:rPr>
          <w:sz w:val="20"/>
          <w:szCs w:val="20"/>
          <w:color w:val="auto"/>
        </w:rPr>
      </w:pPr>
    </w:p>
    <w:p>
      <w:pPr>
        <w:ind w:right="7040" w:firstLine="8"/>
        <w:spacing w:after="0" w:line="532" w:lineRule="auto"/>
        <w:tabs>
          <w:tab w:leader="none" w:pos="648" w:val="left"/>
        </w:tabs>
        <w:numPr>
          <w:ilvl w:val="0"/>
          <w:numId w:val="4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Position of Hedging Provider 31.1 Rights of Hedging Provider</w:t>
      </w:r>
    </w:p>
    <w:p>
      <w:pPr>
        <w:spacing w:after="0" w:line="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Hedging Provider is a Finance Party and, as such, will be entitled to share in the Transaction Security in respect of any liabilities of the Borrower under the Hedging Contracts with such Hedging Provider in the manner and to the extent contemplated by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No voting rights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Hedging Provider shall be entitled to vote on any matter where a decision of the Lenders alone is required under this Agreement, whether before or after the termination or close out of the Hedging Contracts with such Hedging Provider, provided that each Hedging Provider shall be entitled to vote on any matter where a decision of all the Finance Parties is expressly required.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8"/>
          <w:szCs w:val="18"/>
          <w:b w:val="1"/>
          <w:bCs w:val="1"/>
          <w:color w:val="auto"/>
        </w:rPr>
        <w:t>Acceleration and enforcement of security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Neither the Agent nor the Security Agent nor any other beneficiary of the Security Documents shall be obliged, in connection with any action taken or proposed to be taken under or pursuant to clause 30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or pursuant to the other Finance Documents, to have any regard to the requirements or interests of any Hedging Provider except to the extent that the relevant Hedging Provider is also a Lender or an Affiliate of a Lender.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Close out of Hedging Contracts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at any time on and after any Event of Default the Agent (acting on the instructions of the Majority Lenders) shall be entitled, by notice in writing to a Hedging Provider, to instruct such Hedging Provider to terminate and close out any Hedging Transactions (or part thereof) with the relevant Hedging Provider (provided that such</w:t>
      </w:r>
    </w:p>
    <w:p>
      <w:pPr>
        <w:sectPr>
          <w:pgSz w:w="11900" w:h="16838" w:orient="portrait"/>
          <w:cols w:equalWidth="0" w:num="1">
            <w:col w:w="9920"/>
          </w:cols>
          <w:pgMar w:left="980" w:top="1305"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05" w:right="999" w:bottom="1440" w:gutter="0" w:footer="0" w:header="0"/>
          <w:type w:val="continuous"/>
        </w:sectPr>
      </w:pPr>
    </w:p>
    <w:bookmarkStart w:id="296" w:name="page297"/>
    <w:bookmarkEnd w:id="296"/>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termination is instructed to be effected on a pro rata basis across all of the Hedging Transactions then outstanding). The relevant Hedging Provider will (and shall be entitled to) terminate and close out the relevant Hedging Transactions (or parts thereof) and/or the relevant Hedging Contracts in accordance with such notice promptly upon receipt of such notice and acceleration of the Facility.</w:t>
      </w:r>
    </w:p>
    <w:p>
      <w:pPr>
        <w:spacing w:after="0" w:line="180" w:lineRule="exact"/>
        <w:rPr>
          <w:sz w:val="20"/>
          <w:szCs w:val="20"/>
          <w:color w:val="auto"/>
        </w:rPr>
      </w:pPr>
    </w:p>
    <w:p>
      <w:pPr>
        <w:ind w:left="840" w:right="20" w:hanging="644"/>
        <w:spacing w:after="0" w:line="282" w:lineRule="auto"/>
        <w:tabs>
          <w:tab w:leader="none" w:pos="8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Hedging Provider shall be entitled to terminate or close out any Hedging Contract or any Hedging Transaction under it prior to its stated maturity except:</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 notice served by the Agent under paragraph (a) above; or</w:t>
      </w:r>
    </w:p>
    <w:p>
      <w:pPr>
        <w:spacing w:after="0" w:line="223"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29.3 (</w:t>
      </w:r>
      <w:r>
        <w:rPr>
          <w:rFonts w:ascii="Times New Roman" w:cs="Times New Roman" w:eastAsia="Times New Roman" w:hAnsi="Times New Roman"/>
          <w:sz w:val="18"/>
          <w:szCs w:val="18"/>
          <w:i w:val="1"/>
          <w:iCs w:val="1"/>
          <w:color w:val="auto"/>
        </w:rPr>
        <w:t>Unwinding of Hedging Contracts</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has not paid amounts due under the Hedging Contract and such amounts remain unpaid for a period which is longer than that provided under the relevant Hedging Contract; or</w:t>
      </w:r>
    </w:p>
    <w:p>
      <w:pPr>
        <w:spacing w:after="0" w:line="15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Agent takes any action under clause 30.23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jc w:val="both"/>
        <w:ind w:left="1500" w:hanging="656"/>
        <w:spacing w:after="0" w:line="261"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Available Commitments have been cancelled, the Loans, together with accrued interest, and all other amounts accrued or outstanding under the Finance Documents (other than amounts outstanding under the Hedging Contracts) have been repaid by the Borrower in full (including by refinancing the Loans in full) and the Facility has ceased to be available for further utilisation; or</w:t>
      </w:r>
    </w:p>
    <w:p>
      <w:pPr>
        <w:spacing w:after="0" w:line="179"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Bankruptcy Event of Default (as defined in the applicable Hedging Master Agreement) has occurred in respect of the Borrower; or</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Hedging Provider or any of its Affiliates ceases to be a Lender; or</w:t>
      </w:r>
    </w:p>
    <w:p>
      <w:pPr>
        <w:spacing w:after="0" w:line="225" w:lineRule="exact"/>
        <w:rPr>
          <w:rFonts w:ascii="Times New Roman" w:cs="Times New Roman" w:eastAsia="Times New Roman" w:hAnsi="Times New Roman"/>
          <w:sz w:val="18"/>
          <w:szCs w:val="18"/>
          <w:color w:val="auto"/>
        </w:rPr>
      </w:pPr>
    </w:p>
    <w:p>
      <w:pPr>
        <w:jc w:val="both"/>
        <w:ind w:left="1500" w:hanging="656"/>
        <w:spacing w:after="0" w:line="266"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Illegality, Force Majeure Event, Tax Event or Tax Event Upon Merger (as each such term is defined in the applicable Hedging Master Agreement) or a Swap Regulatory Event (as defined in clause 31.4(d) below) occurs in relation to that Hedging Provider and/or Hedging Contract to which it is a party.</w:t>
      </w:r>
    </w:p>
    <w:p>
      <w:pPr>
        <w:spacing w:after="0" w:line="173" w:lineRule="exact"/>
        <w:rPr>
          <w:rFonts w:ascii="Times New Roman" w:cs="Times New Roman" w:eastAsia="Times New Roman" w:hAnsi="Times New Roman"/>
          <w:sz w:val="18"/>
          <w:szCs w:val="18"/>
          <w:color w:val="auto"/>
        </w:rPr>
      </w:pPr>
    </w:p>
    <w:p>
      <w:pPr>
        <w:jc w:val="both"/>
        <w:ind w:left="840" w:hanging="644"/>
        <w:spacing w:after="0" w:line="261" w:lineRule="auto"/>
        <w:tabs>
          <w:tab w:leader="none" w:pos="8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any notice has been given or any other action has been taken under clause 30.23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xml:space="preserve">, there is a net amount payable to the Borrower under a Hedging Transaction or a Hedging Contract upon its termination and close out, the relevant Hedging Provider shall forthwith pay that net amount (together with interest earned on such amount) to the Security Agent for application in accordance with clause 37.1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clause 31.4 the following terms have the following meanings:</w:t>
      </w:r>
    </w:p>
    <w:p>
      <w:pPr>
        <w:spacing w:after="0" w:line="221"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Swap Regulatory Event </w:t>
      </w:r>
      <w:r>
        <w:rPr>
          <w:rFonts w:ascii="Times New Roman" w:cs="Times New Roman" w:eastAsia="Times New Roman" w:hAnsi="Times New Roman"/>
          <w:sz w:val="18"/>
          <w:szCs w:val="18"/>
          <w:color w:val="auto"/>
        </w:rPr>
        <w:t>means that due to a Relevant Law applicable to the Borrower or a Hedging Provider:</w:t>
      </w:r>
    </w:p>
    <w:p>
      <w:pPr>
        <w:spacing w:after="0" w:line="229"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Borrower or a Hedging Provider becomes required to clear a Hedging Transaction through a central clearing counterparty and such requirement was not applicable as at the date of this Agreement; or</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Borrower or a Hedging Provider becomes required to provide collateral or any form of initial or variation margin to the other in respect of such Hedging Transaction.</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Relevant Law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1500" w:hanging="656"/>
        <w:spacing w:after="0" w:line="266" w:lineRule="auto"/>
        <w:tabs>
          <w:tab w:leader="none" w:pos="15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and the implementation or adoption of any law, regulation or rule related thereto and any formal or informal technical guidelines and regulatory technical standards, further regulations, official guidance or official rules or procedures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297" w:name="page298"/>
    <w:bookmarkEnd w:id="297"/>
    <w:p>
      <w:pPr>
        <w:jc w:val="both"/>
        <w:ind w:left="1500" w:hanging="656"/>
        <w:spacing w:after="0" w:line="266" w:lineRule="auto"/>
        <w:tabs>
          <w:tab w:leader="none" w:pos="15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EMIR, UK EMIR and the implementation or adoption of any law, regulation or rule related thereto and any formal or informal technical guidelines and regulatory technical standards, further regulations, official guidance or official rules or procedures with respect thereto;</w:t>
      </w:r>
    </w:p>
    <w:p>
      <w:pPr>
        <w:spacing w:after="0" w:line="175" w:lineRule="exact"/>
        <w:rPr>
          <w:rFonts w:ascii="Times New Roman" w:cs="Times New Roman" w:eastAsia="Times New Roman" w:hAnsi="Times New Roman"/>
          <w:sz w:val="18"/>
          <w:szCs w:val="18"/>
          <w:color w:val="auto"/>
        </w:rPr>
      </w:pPr>
    </w:p>
    <w:p>
      <w:pPr>
        <w:jc w:val="both"/>
        <w:ind w:left="1500" w:right="20" w:hanging="656"/>
        <w:spacing w:after="0" w:line="261" w:lineRule="auto"/>
        <w:tabs>
          <w:tab w:leader="none" w:pos="15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or adoption of, or any change in, any applicable law, regulation, rule, guideline, standard or guidance after the date of this Agreement, and with applicable law, regulation, rule, guideline, standard or guidance for this purpose meaning any similar, related or analogous law, regulation, rule, guideline, standard or guidance to those in paragraphs (i) and (ii) above; or</w:t>
      </w:r>
    </w:p>
    <w:p>
      <w:pPr>
        <w:spacing w:after="0" w:line="17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of the laws, regulations, rules, guidelines, standards or guidance referred to in paragraphs</w:t>
      </w:r>
    </w:p>
    <w:p>
      <w:pPr>
        <w:spacing w:after="0" w:line="27" w:lineRule="exact"/>
        <w:rPr>
          <w:rFonts w:ascii="Times New Roman" w:cs="Times New Roman" w:eastAsia="Times New Roman" w:hAnsi="Times New Roman"/>
          <w:sz w:val="18"/>
          <w:szCs w:val="18"/>
          <w:color w:val="auto"/>
        </w:rPr>
      </w:pPr>
    </w:p>
    <w:p>
      <w:pPr>
        <w:jc w:val="both"/>
        <w:ind w:left="1500" w:hanging="8"/>
        <w:spacing w:after="0" w:line="253" w:lineRule="auto"/>
        <w:tabs>
          <w:tab w:leader="none" w:pos="172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(iii) above as a result of the promulgation of, or any change in, the interpretation by any court, tribunal or regulatory authority with competent jurisdictions after the date of this Agreement or as a result of the public or private statement or action by, or response of, any court, tribunal or regulatory authority with competent jurisdiction or any official or representative of any such court, tribunal or regulatory authority acting in an official capacity with respect thereto.</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EMIR </w:t>
      </w:r>
      <w:r>
        <w:rPr>
          <w:rFonts w:ascii="Times New Roman" w:cs="Times New Roman" w:eastAsia="Times New Roman" w:hAnsi="Times New Roman"/>
          <w:sz w:val="18"/>
          <w:szCs w:val="18"/>
          <w:color w:val="auto"/>
        </w:rPr>
        <w:t>means Regulation (EU) 648/2012, commonly known as the European Market Infrastructure Regulation.</w:t>
      </w:r>
    </w:p>
    <w:p>
      <w:pPr>
        <w:spacing w:after="0" w:line="225"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UK EMIR </w:t>
      </w:r>
      <w:r>
        <w:rPr>
          <w:rFonts w:ascii="Times New Roman" w:cs="Times New Roman" w:eastAsia="Times New Roman" w:hAnsi="Times New Roman"/>
          <w:sz w:val="18"/>
          <w:szCs w:val="18"/>
          <w:color w:val="auto"/>
        </w:rPr>
        <w:t>means Regulation (EU) 648/2012, commonly known as the European Market Infrastructure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forms part of United Kingdom domestic law by virtue of European Union (Withdrawal) Act 2018 (as amended or supplemented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9 - Changes to Parties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Changes to the Lenders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b w:val="1"/>
          <w:bCs w:val="1"/>
          <w:color w:val="auto"/>
        </w:rPr>
        <w:t>Assignments by the Lenders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Subject to this clause 32,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may assign any of its rights under any Finance Document 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7"/>
          <w:szCs w:val="17"/>
          <w:b w:val="1"/>
          <w:bCs w:val="1"/>
          <w:color w:val="auto"/>
        </w:rPr>
        <w:t>Borrower consent</w:t>
      </w:r>
    </w:p>
    <w:p>
      <w:pPr>
        <w:spacing w:after="0" w:line="229" w:lineRule="exact"/>
        <w:rPr>
          <w:sz w:val="20"/>
          <w:szCs w:val="20"/>
          <w:color w:val="auto"/>
        </w:rPr>
      </w:pPr>
    </w:p>
    <w:p>
      <w:pPr>
        <w:ind w:left="1300" w:hanging="644"/>
        <w:spacing w:after="0"/>
        <w:tabs>
          <w:tab w:leader="none" w:pos="13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written consent of the Borrower is required for an assignment by a Lender, unless the assignment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another Lender or an Affiliate of any Lender;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fund which is a Related Fund of that Existing Lender;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at a time when an Event of Default is continuing.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immediately advise the Borrower of the assignment.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consent to an assignment may not be unreasonably withheld or delayed and will be deemed to have been given fifteen (15) Business Days after the Lender has requested consent unless consent is expressly refused within that time.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b w:val="1"/>
          <w:bCs w:val="1"/>
          <w:color w:val="auto"/>
        </w:rPr>
        <w:t>Other conditions of assignment</w:t>
      </w:r>
    </w:p>
    <w:p>
      <w:pPr>
        <w:spacing w:after="0" w:line="229" w:lineRule="exact"/>
        <w:rPr>
          <w:sz w:val="20"/>
          <w:szCs w:val="20"/>
          <w:color w:val="auto"/>
        </w:rPr>
      </w:pPr>
    </w:p>
    <w:p>
      <w:pPr>
        <w:ind w:left="1300" w:hanging="644"/>
        <w:spacing w:after="0"/>
        <w:tabs>
          <w:tab w:leader="none" w:pos="13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will only be effective:</w:t>
      </w:r>
    </w:p>
    <w:p>
      <w:pPr>
        <w:spacing w:after="0" w:line="225" w:lineRule="exact"/>
        <w:rPr>
          <w:rFonts w:ascii="Times New Roman" w:cs="Times New Roman" w:eastAsia="Times New Roman" w:hAnsi="Times New Roman"/>
          <w:sz w:val="18"/>
          <w:szCs w:val="18"/>
          <w:color w:val="auto"/>
        </w:rPr>
      </w:pPr>
    </w:p>
    <w:p>
      <w:pPr>
        <w:ind w:left="2080" w:right="20" w:hanging="776"/>
        <w:spacing w:after="0" w:line="266" w:lineRule="auto"/>
        <w:tabs>
          <w:tab w:leader="none" w:pos="198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by the Agent of written confirmation from the New Lender (in form and substance satisfactory to the Agent) that the New Lender will assume the same obligations to the Borrower and the other Finance Parties as it would have been under if it had been an Original Lender;</w:t>
      </w:r>
    </w:p>
    <w:p>
      <w:pPr>
        <w:spacing w:after="0" w:line="175" w:lineRule="exact"/>
        <w:rPr>
          <w:rFonts w:ascii="Times New Roman" w:cs="Times New Roman" w:eastAsia="Times New Roman" w:hAnsi="Times New Roman"/>
          <w:sz w:val="18"/>
          <w:szCs w:val="18"/>
          <w:color w:val="auto"/>
        </w:rPr>
      </w:pPr>
    </w:p>
    <w:p>
      <w:pPr>
        <w:ind w:left="2080" w:hanging="776"/>
        <w:spacing w:after="0" w:line="258" w:lineRule="auto"/>
        <w:tabs>
          <w:tab w:leader="none" w:pos="198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Existing Lender and the New Lender entering into any documentation required for the New Lender to accede as a party to any Security Document to which the Existing Lender is a party in its capacity as a Lender and/or (if it will no longer have an Available Commitment or participation in the Facility) to remove the Existing Lender as a party to and/or beneficiary of any such Security Document and, in relation to such Security Documents, completing any filing, registration or notice requirements;</w:t>
      </w:r>
    </w:p>
    <w:p>
      <w:pPr>
        <w:spacing w:after="0" w:line="183" w:lineRule="exact"/>
        <w:rPr>
          <w:rFonts w:ascii="Times New Roman" w:cs="Times New Roman" w:eastAsia="Times New Roman" w:hAnsi="Times New Roman"/>
          <w:sz w:val="18"/>
          <w:szCs w:val="18"/>
          <w:color w:val="auto"/>
        </w:rPr>
      </w:pPr>
    </w:p>
    <w:p>
      <w:pPr>
        <w:ind w:left="2080" w:hanging="776"/>
        <w:spacing w:after="0" w:line="261" w:lineRule="auto"/>
        <w:tabs>
          <w:tab w:leader="none" w:pos="198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assignment is of all an Existing Lender’s Commitment and all of its participation in the Loans) if the New Lender will have a Commitment and a participation in the Loans (when aggregated with its Affiliates’ and Related Funds’ Commitments and participations) of not less than $10,000,000 (or such other amount as the Agent and the Borrower may agree) as a result of such assignment;</w:t>
      </w:r>
    </w:p>
    <w:p>
      <w:pPr>
        <w:spacing w:after="0" w:line="179" w:lineRule="exact"/>
        <w:rPr>
          <w:rFonts w:ascii="Times New Roman" w:cs="Times New Roman" w:eastAsia="Times New Roman" w:hAnsi="Times New Roman"/>
          <w:sz w:val="18"/>
          <w:szCs w:val="18"/>
          <w:color w:val="auto"/>
        </w:rPr>
      </w:pPr>
    </w:p>
    <w:p>
      <w:pPr>
        <w:ind w:left="2080" w:hanging="776"/>
        <w:spacing w:after="0" w:line="261" w:lineRule="auto"/>
        <w:tabs>
          <w:tab w:leader="none" w:pos="198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performance by the Agent of all necessary “know your customer” or similar checks under all applicable laws and regulations relating to any person that it is required to carry out in relation to such assignment to a New Lender, the completion of which the Agent shall promptly notify to the Existing Lender and the New Lender; and</w:t>
      </w:r>
    </w:p>
    <w:p>
      <w:pPr>
        <w:spacing w:after="0" w:line="179" w:lineRule="exact"/>
        <w:rPr>
          <w:rFonts w:ascii="Times New Roman" w:cs="Times New Roman" w:eastAsia="Times New Roman" w:hAnsi="Times New Roman"/>
          <w:sz w:val="18"/>
          <w:szCs w:val="18"/>
          <w:color w:val="auto"/>
        </w:rPr>
      </w:pPr>
    </w:p>
    <w:p>
      <w:pPr>
        <w:ind w:left="2080" w:hanging="776"/>
        <w:spacing w:after="0" w:line="282" w:lineRule="auto"/>
        <w:tabs>
          <w:tab w:leader="none" w:pos="198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Existing Lender assigns equal fractions of its Commitment and participation in the Loans and each Utilisation (if any)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9" w:name="page300"/>
    <w:bookmarkEnd w:id="299"/>
    <w:p>
      <w:pPr>
        <w:jc w:val="both"/>
        <w:ind w:left="1360" w:hanging="650"/>
        <w:spacing w:after="0" w:line="258" w:lineRule="auto"/>
        <w:tabs>
          <w:tab w:leader="none" w:pos="13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83" w:lineRule="exact"/>
        <w:rPr>
          <w:rFonts w:ascii="Times New Roman" w:cs="Times New Roman" w:eastAsia="Times New Roman" w:hAnsi="Times New Roman"/>
          <w:sz w:val="18"/>
          <w:szCs w:val="18"/>
          <w:color w:val="auto"/>
        </w:rPr>
      </w:pPr>
    </w:p>
    <w:p>
      <w:pPr>
        <w:ind w:left="1360" w:hanging="650"/>
        <w:spacing w:after="0"/>
        <w:tabs>
          <w:tab w:leader="none" w:pos="13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transfers any of its rights or obligations or assigns any of its rights under the Finance Documents or changes its Facility Office;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83" w:lineRule="exact"/>
        <w:rPr>
          <w:sz w:val="20"/>
          <w:szCs w:val="20"/>
          <w:color w:val="auto"/>
        </w:rPr>
      </w:pPr>
    </w:p>
    <w:p>
      <w:pPr>
        <w:jc w:val="both"/>
        <w:ind w:left="1360" w:hanging="650"/>
        <w:spacing w:after="0" w:line="261" w:lineRule="auto"/>
        <w:tabs>
          <w:tab w:leader="none" w:pos="136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clause 32.3 shall restrict or prohibit the merger or any other form of combination between Credit Suisse AG and UBS AG or any Affiliate thereof and to the extent any assignment or other action is required or entered into by Credit Suisse AG for that purpose pursuant to this clause 32.3, all Parties hereby approve of the same.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32.4</w:t>
      </w:r>
      <w:r>
        <w:rPr>
          <w:sz w:val="20"/>
          <w:szCs w:val="20"/>
          <w:color w:val="auto"/>
        </w:rPr>
        <w:tab/>
      </w:r>
      <w:r>
        <w:rPr>
          <w:rFonts w:ascii="Times New Roman" w:cs="Times New Roman" w:eastAsia="Times New Roman" w:hAnsi="Times New Roman"/>
          <w:sz w:val="17"/>
          <w:szCs w:val="17"/>
          <w:b w:val="1"/>
          <w:bCs w:val="1"/>
          <w:color w:val="auto"/>
        </w:rPr>
        <w:t>Processing fee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New Lender shall, on the date upon which an assignment takes effect, pay to the Agent (for its own account) a fee of $10,000.</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32.5</w:t>
      </w:r>
      <w:r>
        <w:rPr>
          <w:sz w:val="20"/>
          <w:szCs w:val="20"/>
          <w:color w:val="auto"/>
        </w:rPr>
        <w:tab/>
      </w:r>
      <w:r>
        <w:rPr>
          <w:rFonts w:ascii="Times New Roman" w:cs="Times New Roman" w:eastAsia="Times New Roman" w:hAnsi="Times New Roman"/>
          <w:sz w:val="17"/>
          <w:szCs w:val="17"/>
          <w:b w:val="1"/>
          <w:bCs w:val="1"/>
          <w:color w:val="auto"/>
        </w:rPr>
        <w:t>Processing expenses</w:t>
      </w:r>
    </w:p>
    <w:p>
      <w:pPr>
        <w:spacing w:after="0" w:line="227"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color w:val="auto"/>
        </w:rPr>
        <w:t xml:space="preserve">The New Lender shall, in addition to any fee payable under clause 32.4 </w:t>
      </w:r>
      <w:r>
        <w:rPr>
          <w:rFonts w:ascii="Times New Roman" w:cs="Times New Roman" w:eastAsia="Times New Roman" w:hAnsi="Times New Roman"/>
          <w:sz w:val="18"/>
          <w:szCs w:val="18"/>
          <w:i w:val="1"/>
          <w:iCs w:val="1"/>
          <w:color w:val="auto"/>
        </w:rPr>
        <w:t>(Processing fee)</w:t>
      </w:r>
      <w:r>
        <w:rPr>
          <w:rFonts w:ascii="Times New Roman" w:cs="Times New Roman" w:eastAsia="Times New Roman" w:hAnsi="Times New Roman"/>
          <w:sz w:val="18"/>
          <w:szCs w:val="18"/>
          <w:color w:val="auto"/>
        </w:rPr>
        <w:t>, promptly on demand, pay the Agent and the Security Agent the amount of:</w:t>
      </w:r>
    </w:p>
    <w:p>
      <w:pPr>
        <w:spacing w:after="0" w:line="160" w:lineRule="exact"/>
        <w:rPr>
          <w:sz w:val="20"/>
          <w:szCs w:val="20"/>
          <w:color w:val="auto"/>
        </w:rPr>
      </w:pPr>
    </w:p>
    <w:p>
      <w:pPr>
        <w:ind w:left="1300" w:right="20" w:hanging="644"/>
        <w:spacing w:after="0" w:line="282" w:lineRule="auto"/>
        <w:tabs>
          <w:tab w:leader="none" w:pos="13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(including legal fees) reasonably incurred by the Agent or the Security Agent in connection with any such assignment;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the Agent or the Security Agent incurs in relation to all stamp duty, registration and other similar Taxes payable in respect of any such assignment.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b w:val="1"/>
          <w:bCs w:val="1"/>
          <w:color w:val="auto"/>
        </w:rPr>
        <w:t>Transfer costs and expenses relating to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Lender shall, promptly on demand, pay the Agent and the Security Agent the amount of:</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(including legal fees) reasonably incurred by the Agent or the Security Agent to facilitate the accession by the New Lender to, or assignment or transfer to the New Lender of, any Security Document granted in favour of (among others) the Lenders and/or the benefit of any such Security Document and any appropriate registration of any such accession or assignment or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0" w:name="page301"/>
    <w:bookmarkEnd w:id="300"/>
    <w:p>
      <w:pPr>
        <w:ind w:left="1300" w:hanging="644"/>
        <w:spacing w:after="0" w:line="282" w:lineRule="auto"/>
        <w:tabs>
          <w:tab w:leader="none" w:pos="13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the Agent or the Security Agent incurs in relation to all stamp duty, registration and other similar Taxes payable in respect of any such accession, assignment or transfer.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32.7</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229" w:lineRule="exact"/>
        <w:rPr>
          <w:sz w:val="20"/>
          <w:szCs w:val="20"/>
          <w:color w:val="auto"/>
        </w:rPr>
      </w:pPr>
    </w:p>
    <w:p>
      <w:pPr>
        <w:ind w:left="1300" w:right="20" w:hanging="644"/>
        <w:spacing w:after="0" w:line="282" w:lineRule="auto"/>
        <w:tabs>
          <w:tab w:leader="none" w:pos="13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the Transaction Security or any other documents;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Basel Regulation to the transactions contemplated by the Finance Documents;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or any other person of its obligations under the Finance Documents or any other documents;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300" w:hanging="644"/>
        <w:spacing w:after="0"/>
        <w:tabs>
          <w:tab w:leader="none" w:pos="13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and the other Finance Parties that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495" w:val="left"/>
        </w:tabs>
        <w:numPr>
          <w:ilvl w:val="2"/>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and affairs of the Obligors and their related entities in connection with its participation in this Agreement; and</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Basel Regulation to the transactions contemplated by the Finance Documents;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application of any Basel Regulation to the transactions contemplated by the Finance Documents;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relied exclusively on any information provided to it by the Existing Lender or any other Finance Party in connection with any Transaction Document or the Transaction Security;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re-assignment from a New Lender of any of the rights assigned under this clause 32; or</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any Transaction Document or by reason of the application of any Basel Regulation to the transactions contemplated by the Transaction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1" w:name="page302"/>
    <w:bookmarkEnd w:id="30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32.8</w:t>
      </w:r>
      <w:r>
        <w:rPr>
          <w:sz w:val="20"/>
          <w:szCs w:val="20"/>
          <w:color w:val="auto"/>
        </w:rPr>
        <w:tab/>
      </w:r>
      <w:r>
        <w:rPr>
          <w:rFonts w:ascii="Times New Roman" w:cs="Times New Roman" w:eastAsia="Times New Roman" w:hAnsi="Times New Roman"/>
          <w:sz w:val="17"/>
          <w:szCs w:val="17"/>
          <w:b w:val="1"/>
          <w:bCs w:val="1"/>
          <w:color w:val="auto"/>
        </w:rPr>
        <w:t>Procedure available for assignment</w:t>
      </w:r>
    </w:p>
    <w:p>
      <w:pPr>
        <w:spacing w:after="0" w:line="227" w:lineRule="exact"/>
        <w:rPr>
          <w:sz w:val="20"/>
          <w:szCs w:val="20"/>
          <w:color w:val="auto"/>
        </w:rPr>
      </w:pPr>
    </w:p>
    <w:p>
      <w:pPr>
        <w:jc w:val="both"/>
        <w:ind w:left="1300" w:hanging="644"/>
        <w:spacing w:after="0" w:line="254" w:lineRule="auto"/>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out in clause 32.2 </w:t>
      </w:r>
      <w:r>
        <w:rPr>
          <w:rFonts w:ascii="Times New Roman" w:cs="Times New Roman" w:eastAsia="Times New Roman" w:hAnsi="Times New Roman"/>
          <w:sz w:val="18"/>
          <w:szCs w:val="18"/>
          <w:i w:val="1"/>
          <w:iCs w:val="1"/>
          <w:color w:val="auto"/>
        </w:rPr>
        <w:t>(Borrower consent)</w:t>
      </w:r>
      <w:r>
        <w:rPr>
          <w:rFonts w:ascii="Times New Roman" w:cs="Times New Roman" w:eastAsia="Times New Roman" w:hAnsi="Times New Roman"/>
          <w:sz w:val="18"/>
          <w:szCs w:val="18"/>
          <w:color w:val="auto"/>
        </w:rPr>
        <w:t xml:space="preserve"> and clause 32.3 </w:t>
      </w:r>
      <w:r>
        <w:rPr>
          <w:rFonts w:ascii="Times New Roman" w:cs="Times New Roman" w:eastAsia="Times New Roman" w:hAnsi="Times New Roman"/>
          <w:sz w:val="18"/>
          <w:szCs w:val="18"/>
          <w:i w:val="1"/>
          <w:iCs w:val="1"/>
          <w:color w:val="auto"/>
        </w:rPr>
        <w:t>(Other conditions of assignment)</w:t>
      </w:r>
      <w:r>
        <w:rPr>
          <w:rFonts w:ascii="Times New Roman" w:cs="Times New Roman" w:eastAsia="Times New Roman" w:hAnsi="Times New Roman"/>
          <w:sz w:val="18"/>
          <w:szCs w:val="18"/>
          <w:color w:val="auto"/>
        </w:rPr>
        <w:t xml:space="preserve"> an assignment may be effected in accordance with paragraph (d) below when (a) the Agent executes an otherwise duly completed Transfer Certificate and (b) the Agent executes any document required under paragraph (a) of clause 32.3 </w:t>
      </w:r>
      <w:r>
        <w:rPr>
          <w:rFonts w:ascii="Times New Roman" w:cs="Times New Roman" w:eastAsia="Times New Roman" w:hAnsi="Times New Roman"/>
          <w:sz w:val="18"/>
          <w:szCs w:val="18"/>
          <w:i w:val="1"/>
          <w:iCs w:val="1"/>
          <w:color w:val="auto"/>
        </w:rPr>
        <w:t xml:space="preserve">(Other conditions of assignment) </w:t>
      </w:r>
      <w:r>
        <w:rPr>
          <w:rFonts w:ascii="Times New Roman" w:cs="Times New Roman" w:eastAsia="Times New Roman" w:hAnsi="Times New Roman"/>
          <w:sz w:val="18"/>
          <w:szCs w:val="18"/>
          <w:color w:val="auto"/>
        </w:rPr>
        <w:t>which it may be necessary for it to execute in each case delivered to it by the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and the New Lender duly executed by them and, in the case of any such other document, any other relevant person. The Agent shall, subject to paragraph (b) below,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w:t>
      </w:r>
    </w:p>
    <w:p>
      <w:pPr>
        <w:spacing w:after="0" w:line="19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who are Parties and the other Finance Parties irrevocably authorise the Agent to execute any Transfer Certificate on their behalf without any consultation with them.</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32.11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on the Transfer Date:</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the rights under the Finance Documents expressed to be the subject of the assignment in the Transfer Certificate;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Lender will be released by each Obligor and the other Finance Parties from the obligations owed by it (the </w:t>
      </w:r>
      <w:r>
        <w:rPr>
          <w:rFonts w:ascii="Times New Roman" w:cs="Times New Roman" w:eastAsia="Times New Roman" w:hAnsi="Times New Roman"/>
          <w:sz w:val="18"/>
          <w:szCs w:val="18"/>
          <w:b w:val="1"/>
          <w:bCs w:val="1"/>
          <w:color w:val="auto"/>
        </w:rPr>
        <w:t>Relevant Obligations</w:t>
      </w:r>
      <w:r>
        <w:rPr>
          <w:rFonts w:ascii="Times New Roman" w:cs="Times New Roman" w:eastAsia="Times New Roman" w:hAnsi="Times New Roman"/>
          <w:sz w:val="18"/>
          <w:szCs w:val="18"/>
          <w:color w:val="auto"/>
        </w:rPr>
        <w:t>) and expressed to be the subject of the release in the Transfer Certificate (but the obligations owed by the Obligors under the Finance Documents shall not be released);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will be bound by obligations equivalent to the Relevant Obligations.</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may utilise procedures other than those set out in this clause 32.8 (</w:t>
      </w:r>
      <w:r>
        <w:rPr>
          <w:rFonts w:ascii="Times New Roman" w:cs="Times New Roman" w:eastAsia="Times New Roman" w:hAnsi="Times New Roman"/>
          <w:sz w:val="18"/>
          <w:szCs w:val="18"/>
          <w:i w:val="1"/>
          <w:iCs w:val="1"/>
          <w:color w:val="auto"/>
        </w:rPr>
        <w:t>Procedure available for assignment</w:t>
      </w:r>
      <w:r>
        <w:rPr>
          <w:rFonts w:ascii="Times New Roman" w:cs="Times New Roman" w:eastAsia="Times New Roman" w:hAnsi="Times New Roman"/>
          <w:sz w:val="18"/>
          <w:szCs w:val="18"/>
          <w:color w:val="auto"/>
        </w:rPr>
        <w:t>) to assign their rights under the Finance Documents (but not, without the consent of the relevant Obligor or unless in accordance with this clause 32.8 (</w:t>
      </w:r>
      <w:r>
        <w:rPr>
          <w:rFonts w:ascii="Times New Roman" w:cs="Times New Roman" w:eastAsia="Times New Roman" w:hAnsi="Times New Roman"/>
          <w:sz w:val="18"/>
          <w:szCs w:val="18"/>
          <w:i w:val="1"/>
          <w:iCs w:val="1"/>
          <w:color w:val="auto"/>
        </w:rPr>
        <w:t>Procedure available for assignment</w:t>
      </w:r>
      <w:r>
        <w:rPr>
          <w:rFonts w:ascii="Times New Roman" w:cs="Times New Roman" w:eastAsia="Times New Roman" w:hAnsi="Times New Roman"/>
          <w:sz w:val="18"/>
          <w:szCs w:val="18"/>
          <w:color w:val="auto"/>
        </w:rPr>
        <w:t xml:space="preserve">) to obtain a release by that Obligor from the obligations owed to that Obligor by the Lenders nor the assumption of equivalent obligations by a New Lender) provided that they comply with the conditions set out in clause 32.2 </w:t>
      </w:r>
      <w:r>
        <w:rPr>
          <w:rFonts w:ascii="Times New Roman" w:cs="Times New Roman" w:eastAsia="Times New Roman" w:hAnsi="Times New Roman"/>
          <w:sz w:val="18"/>
          <w:szCs w:val="18"/>
          <w:i w:val="1"/>
          <w:iCs w:val="1"/>
          <w:color w:val="auto"/>
        </w:rPr>
        <w:t>(Borrower consent)</w:t>
      </w:r>
      <w:r>
        <w:rPr>
          <w:rFonts w:ascii="Times New Roman" w:cs="Times New Roman" w:eastAsia="Times New Roman" w:hAnsi="Times New Roman"/>
          <w:sz w:val="18"/>
          <w:szCs w:val="18"/>
          <w:color w:val="auto"/>
        </w:rPr>
        <w:t xml:space="preserve"> and clause 32.3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of assignment)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32.9</w:t>
      </w:r>
      <w:r>
        <w:rPr>
          <w:sz w:val="20"/>
          <w:szCs w:val="20"/>
          <w:color w:val="auto"/>
        </w:rPr>
        <w:tab/>
      </w:r>
      <w:r>
        <w:rPr>
          <w:rFonts w:ascii="Times New Roman" w:cs="Times New Roman" w:eastAsia="Times New Roman" w:hAnsi="Times New Roman"/>
          <w:sz w:val="17"/>
          <w:szCs w:val="17"/>
          <w:b w:val="1"/>
          <w:bCs w:val="1"/>
          <w:color w:val="auto"/>
        </w:rPr>
        <w:t>Copy of Transfer Certificate to Borrower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Agent shall, as soon as reasonably practicable after it has executed a Transfer Certificate and any other document required under paragraph (a) of clause 32.3 </w:t>
      </w:r>
      <w:r>
        <w:rPr>
          <w:rFonts w:ascii="Times New Roman" w:cs="Times New Roman" w:eastAsia="Times New Roman" w:hAnsi="Times New Roman"/>
          <w:sz w:val="18"/>
          <w:szCs w:val="18"/>
          <w:i w:val="1"/>
          <w:iCs w:val="1"/>
          <w:color w:val="auto"/>
        </w:rPr>
        <w:t>(Other conditions of assignment</w:t>
      </w:r>
      <w:r>
        <w:rPr>
          <w:rFonts w:ascii="Times New Roman" w:cs="Times New Roman" w:eastAsia="Times New Roman" w:hAnsi="Times New Roman"/>
          <w:sz w:val="18"/>
          <w:szCs w:val="18"/>
          <w:color w:val="auto"/>
        </w:rPr>
        <w:t>, send a copy of that Transfer Certificate and such other documents to the Borrower.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32.10</w:t>
        <w:tab/>
        <w:t>Security over Lenders’ rights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32, each Lender may without consulting with or obtaining consent from any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0" w:lineRule="exact"/>
        <w:rPr>
          <w:sz w:val="20"/>
          <w:szCs w:val="20"/>
          <w:color w:val="auto"/>
        </w:rPr>
      </w:pPr>
    </w:p>
    <w:p>
      <w:pPr>
        <w:ind w:left="1300" w:hanging="644"/>
        <w:spacing w:after="0"/>
        <w:tabs>
          <w:tab w:leader="none" w:pos="13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Interest to secure obligations to a federal reserve or central bank;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02" w:name="page303"/>
    <w:bookmarkEnd w:id="302"/>
    <w:p>
      <w:pPr>
        <w:ind w:left="1300" w:right="20" w:hanging="644"/>
        <w:spacing w:after="0" w:line="282" w:lineRule="auto"/>
        <w:tabs>
          <w:tab w:leader="none" w:pos="13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Interest granted to any holders (or trustee or representatives of holders) of obligations owed, or securities issued, by that Lender as security for those obligations 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that no such charge, assignment or other Security Interest shall:</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other Security Interest for the Lender as a party to any of the Finance Documents;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32.11</w:t>
      </w:r>
      <w:r>
        <w:rPr>
          <w:sz w:val="20"/>
          <w:szCs w:val="20"/>
          <w:color w:val="auto"/>
        </w:rPr>
        <w:tab/>
      </w:r>
      <w:r>
        <w:rPr>
          <w:rFonts w:ascii="Times New Roman" w:cs="Times New Roman" w:eastAsia="Times New Roman" w:hAnsi="Times New Roman"/>
          <w:sz w:val="17"/>
          <w:szCs w:val="17"/>
          <w:b w:val="1"/>
          <w:bCs w:val="1"/>
          <w:color w:val="auto"/>
        </w:rPr>
        <w:t>Pro rata interest settlement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able to distribute interest payments on a “pro rata basis” to Existing Lenders and New Lenders then (in respect of any assignment pursuant to clause 32.8 (</w:t>
      </w:r>
      <w:r>
        <w:rPr>
          <w:rFonts w:ascii="Times New Roman" w:cs="Times New Roman" w:eastAsia="Times New Roman" w:hAnsi="Times New Roman"/>
          <w:sz w:val="18"/>
          <w:szCs w:val="18"/>
          <w:i w:val="1"/>
          <w:iCs w:val="1"/>
          <w:color w:val="auto"/>
        </w:rPr>
        <w:t>Procedure available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the Transfer Date of which, in each case, is after the date of such notification and is not on the last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Interest Period):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8"/>
          <w:szCs w:val="18"/>
          <w:b w:val="1"/>
          <w:bCs w:val="1"/>
          <w:color w:val="auto"/>
        </w:rPr>
        <w:t>Accrued Amounts</w:t>
      </w:r>
      <w:r>
        <w:rPr>
          <w:rFonts w:ascii="Times New Roman" w:cs="Times New Roman" w:eastAsia="Times New Roman" w:hAnsi="Times New Roman"/>
          <w:sz w:val="18"/>
          <w:szCs w:val="18"/>
          <w:color w:val="auto"/>
        </w:rPr>
        <w:t>) and shall become due and payable to the Existing Lender (without further interest accruing on them) on the last day of the current Interest Period; and</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assigned by the Existing Lender will not include the right to the Accrued Amounts, so that, for the avoidance of doubt: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Accrued Amounts become payable, those Accrued Amounts will be payable to the Existing Lender; and</w:t>
      </w:r>
    </w:p>
    <w:p>
      <w:pPr>
        <w:spacing w:after="0" w:line="161" w:lineRule="exact"/>
        <w:rPr>
          <w:rFonts w:ascii="Times New Roman" w:cs="Times New Roman" w:eastAsia="Times New Roman" w:hAnsi="Times New Roman"/>
          <w:sz w:val="18"/>
          <w:szCs w:val="18"/>
          <w:color w:val="auto"/>
        </w:rPr>
      </w:pPr>
    </w:p>
    <w:p>
      <w:pPr>
        <w:jc w:val="both"/>
        <w:ind w:left="2600" w:right="20" w:hanging="648"/>
        <w:spacing w:after="0" w:line="266" w:lineRule="auto"/>
        <w:tabs>
          <w:tab w:leader="none" w:pos="2600"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to the New Lender on that date will be the amount which would, but for the application of this clause 32.11, have been payable to it on that date, but after deduction of the Accrued Amounts.</w:t>
      </w:r>
    </w:p>
    <w:p>
      <w:pPr>
        <w:spacing w:after="0" w:line="17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clause 32.11 references to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be construed to include a reference to any other period for accrual of fees.</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which retains the right to the Accrued Amounts pursuant to this clause 32.11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32.12</w:t>
      </w:r>
      <w:r>
        <w:rPr>
          <w:sz w:val="20"/>
          <w:szCs w:val="20"/>
          <w:color w:val="auto"/>
        </w:rPr>
        <w:tab/>
      </w:r>
      <w:r>
        <w:rPr>
          <w:rFonts w:ascii="Times New Roman" w:cs="Times New Roman" w:eastAsia="Times New Roman" w:hAnsi="Times New Roman"/>
          <w:sz w:val="17"/>
          <w:szCs w:val="17"/>
          <w:b w:val="1"/>
          <w:bCs w:val="1"/>
          <w:color w:val="auto"/>
        </w:rPr>
        <w:t>Accession of Hedging Providers to this Agreement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(other than an Original Lender) which becomes a Lender after the date of this Agreement may, at the same time, become a Party to this Agreement as a Hedging Provider by giving written notice to the Agent at the time it executes and delivers to the Agent the relevant Transfer Certificate (or by stating so therein).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may also request at any time that itself (if not already a Hedging Provider) or an Affiliate of that Lender becomes a Hedging Provider by delivering to the Agent a duly executed Hedging Provider Accession Letter.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or Affiliate will become a Hedging Provider under paragraph (b) above when the Agent receives the relevant Hedging Provider Accession Letter.</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03" w:name="page304"/>
    <w:bookmarkEnd w:id="303"/>
    <w:p>
      <w:pPr>
        <w:ind w:left="652" w:hanging="652"/>
        <w:spacing w:after="0"/>
        <w:tabs>
          <w:tab w:leader="none" w:pos="652"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Obligor may assign any of its rights or transfer any of its rights or obligations under the Finance Documents without the prior written consent of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73" w:right="101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10 - The Finance Parties</w:t>
      </w:r>
    </w:p>
    <w:p>
      <w:pPr>
        <w:spacing w:after="0" w:line="225" w:lineRule="exact"/>
        <w:rPr>
          <w:sz w:val="20"/>
          <w:szCs w:val="20"/>
          <w:color w:val="auto"/>
        </w:rPr>
      </w:pPr>
    </w:p>
    <w:p>
      <w:pPr>
        <w:ind w:right="5740" w:firstLine="8"/>
        <w:spacing w:after="0" w:line="503" w:lineRule="auto"/>
        <w:tabs>
          <w:tab w:leader="none" w:pos="648"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Roles of Agent, Security Agent and Arranger 34.1 Appointment of the Agent and Security Agent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other Finance Party (other than the Security Agent) appoints: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to act as its agent under and in connection with the Finance Documents;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to act as its agent and as trustee under the Security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Security Agent as trustee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Security Agent declares that it holds the Security Property on trust for itself and the other Finance Parties on the terms contained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8"/>
          <w:szCs w:val="18"/>
          <w:b w:val="1"/>
          <w:bCs w:val="1"/>
          <w:color w:val="auto"/>
        </w:rPr>
        <w:t>Authorisation of Agent and Security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Finance Parties authorises the Agent and the Security Agent: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the duties, obligations and responsibilities and to exercise the rights, powers, authorities and discretions specifically given to the Agent or (as the case may be) the Security Agent under or in connection with the Finance Documents together with any other incidental rights, powers, authorities and discretions;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each of the Security Documents and all other documents that may be approved by the Majority Lenders for execution by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34.4</w:t>
      </w:r>
      <w:r>
        <w:rPr>
          <w:sz w:val="20"/>
          <w:szCs w:val="20"/>
          <w:color w:val="auto"/>
        </w:rPr>
        <w:tab/>
      </w:r>
      <w:r>
        <w:rPr>
          <w:rFonts w:ascii="Times New Roman" w:cs="Times New Roman" w:eastAsia="Times New Roman" w:hAnsi="Times New Roman"/>
          <w:sz w:val="17"/>
          <w:szCs w:val="17"/>
          <w:b w:val="1"/>
          <w:bCs w:val="1"/>
          <w:color w:val="auto"/>
        </w:rPr>
        <w:t>Instructions to Agent and the Security Agent</w:t>
      </w:r>
    </w:p>
    <w:p>
      <w:pPr>
        <w:spacing w:after="0" w:line="229" w:lineRule="exact"/>
        <w:rPr>
          <w:sz w:val="20"/>
          <w:szCs w:val="20"/>
          <w:color w:val="auto"/>
        </w:rPr>
      </w:pPr>
    </w:p>
    <w:p>
      <w:pPr>
        <w:ind w:left="1300" w:hanging="644"/>
        <w:spacing w:after="0"/>
        <w:tabs>
          <w:tab w:leader="none" w:pos="130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Security Agent shall:</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(d) and (e) below, exercise or refrain from exercising any right, power, authority or discretion vested in it as Agent or (as the case may be) the Security Agent in accordance with any instructions given to it by:</w:t>
      </w:r>
    </w:p>
    <w:p>
      <w:pPr>
        <w:spacing w:after="0" w:line="17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if the relevant Finance Document stipulates the matter is an all Lender decision; and</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Majority Lenders;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acting) in accordance with paragraph (i) above (or, if the relevant Finance Document stipulates the matter is a decision for any other Finance Party or group of Finance Parties, in accordance with instructions given to it by that Finance Party or group of Finance Parties).</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58" w:lineRule="auto"/>
        <w:tabs>
          <w:tab w:leader="none" w:pos="130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Security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Agent or (as the case may be) the Security Agent may refrain from acting unless and until it receives those instructions or that clarification.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the case of decisions stipulated to be a matter for any other Finance Party or group of Finance Parties under the relevant Finance Document and, unless a contrary indication appears in a Finance Document, any instructions given to the Agent or (as the case may</w:t>
      </w: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305" w:name="page306"/>
    <w:bookmarkEnd w:id="305"/>
    <w:p>
      <w:pPr>
        <w:ind w:left="1300"/>
        <w:spacing w:after="0" w:line="282" w:lineRule="auto"/>
        <w:rPr>
          <w:sz w:val="20"/>
          <w:szCs w:val="20"/>
          <w:color w:val="auto"/>
        </w:rPr>
      </w:pPr>
      <w:r>
        <w:rPr>
          <w:rFonts w:ascii="Times New Roman" w:cs="Times New Roman" w:eastAsia="Times New Roman" w:hAnsi="Times New Roman"/>
          <w:sz w:val="18"/>
          <w:szCs w:val="18"/>
          <w:color w:val="auto"/>
        </w:rPr>
        <w:t>be) the Security Agent by the Majority Lenders shall override any conflicting instructions given by any other Parties and will be binding on all Finance Parties.</w:t>
      </w:r>
    </w:p>
    <w:p>
      <w:pPr>
        <w:spacing w:after="0" w:line="162" w:lineRule="exact"/>
        <w:rPr>
          <w:sz w:val="20"/>
          <w:szCs w:val="20"/>
          <w:color w:val="auto"/>
        </w:rPr>
      </w:pPr>
    </w:p>
    <w:p>
      <w:pPr>
        <w:ind w:left="1300" w:hanging="644"/>
        <w:spacing w:after="0"/>
        <w:tabs>
          <w:tab w:leader="none" w:pos="130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contrary indication appears in a Finance Document;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the Agent or the Security Agent to act in a specified manner or to take a specified action;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provision which protects the Agent’s or the Security Agent’s own position in its personal capacity as opposed to its role of the Agent or the Security Agent for the Finance Parties including, without limitation, clauses 34.9 </w:t>
      </w:r>
      <w:r>
        <w:rPr>
          <w:rFonts w:ascii="Times New Roman" w:cs="Times New Roman" w:eastAsia="Times New Roman" w:hAnsi="Times New Roman"/>
          <w:sz w:val="18"/>
          <w:szCs w:val="18"/>
          <w:i w:val="1"/>
          <w:iCs w:val="1"/>
          <w:color w:val="auto"/>
        </w:rPr>
        <w:t>(No duty to account)</w:t>
      </w:r>
      <w:r>
        <w:rPr>
          <w:rFonts w:ascii="Times New Roman" w:cs="Times New Roman" w:eastAsia="Times New Roman" w:hAnsi="Times New Roman"/>
          <w:sz w:val="18"/>
          <w:szCs w:val="18"/>
          <w:color w:val="auto"/>
        </w:rPr>
        <w:t xml:space="preserve"> to clause 34.14 </w:t>
      </w:r>
      <w:r>
        <w:rPr>
          <w:rFonts w:ascii="Times New Roman" w:cs="Times New Roman" w:eastAsia="Times New Roman" w:hAnsi="Times New Roman"/>
          <w:sz w:val="18"/>
          <w:szCs w:val="18"/>
          <w:i w:val="1"/>
          <w:iCs w:val="1"/>
          <w:color w:val="auto"/>
        </w:rPr>
        <w:t>(Exclusion of liability)</w:t>
      </w:r>
      <w:r>
        <w:rPr>
          <w:rFonts w:ascii="Times New Roman" w:cs="Times New Roman" w:eastAsia="Times New Roman" w:hAnsi="Times New Roman"/>
          <w:sz w:val="18"/>
          <w:szCs w:val="18"/>
          <w:color w:val="auto"/>
        </w:rPr>
        <w:t xml:space="preserve">, clause 34.19 </w:t>
      </w: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to clause 35.5</w:t>
      </w:r>
      <w:r>
        <w:rPr>
          <w:rFonts w:ascii="Times New Roman" w:cs="Times New Roman" w:eastAsia="Times New Roman" w:hAnsi="Times New Roman"/>
          <w:sz w:val="18"/>
          <w:szCs w:val="18"/>
          <w:i w:val="1"/>
          <w:iCs w:val="1"/>
          <w:color w:val="auto"/>
        </w:rPr>
        <w:t xml:space="preserve"> (Custodians and nominees) </w:t>
      </w:r>
      <w:r>
        <w:rPr>
          <w:rFonts w:ascii="Times New Roman" w:cs="Times New Roman" w:eastAsia="Times New Roman" w:hAnsi="Times New Roman"/>
          <w:sz w:val="18"/>
          <w:szCs w:val="18"/>
          <w:color w:val="auto"/>
        </w:rPr>
        <w:t>and clauses 35.8</w:t>
      </w:r>
      <w:r>
        <w:rPr>
          <w:rFonts w:ascii="Times New Roman" w:cs="Times New Roman" w:eastAsia="Times New Roman" w:hAnsi="Times New Roman"/>
          <w:sz w:val="18"/>
          <w:szCs w:val="18"/>
          <w:i w:val="1"/>
          <w:iCs w:val="1"/>
          <w:color w:val="auto"/>
        </w:rPr>
        <w:t xml:space="preserve"> (Acceptance of title) </w:t>
      </w:r>
      <w:r>
        <w:rPr>
          <w:rFonts w:ascii="Times New Roman" w:cs="Times New Roman" w:eastAsia="Times New Roman" w:hAnsi="Times New Roman"/>
          <w:sz w:val="18"/>
          <w:szCs w:val="18"/>
          <w:color w:val="auto"/>
        </w:rPr>
        <w:t>to</w:t>
      </w:r>
    </w:p>
    <w:p>
      <w:pPr>
        <w:spacing w:after="0" w:line="2"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35.12 </w:t>
      </w:r>
      <w:r>
        <w:rPr>
          <w:rFonts w:ascii="Times New Roman" w:cs="Times New Roman" w:eastAsia="Times New Roman" w:hAnsi="Times New Roman"/>
          <w:sz w:val="18"/>
          <w:szCs w:val="18"/>
          <w:i w:val="1"/>
          <w:iCs w:val="1"/>
          <w:color w:val="auto"/>
        </w:rPr>
        <w:t>(Disapplication of Trustee Acts)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giving effect to instructions given by any other Finance Party or group of Finance Parties would (in the Agent’s or (as the case may be) the Security Agent’s opinion) have an effect equivalent to an amendment or waiver which is subject to clause 46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Agent or (as the case may be) the Security Agent shall not act in accordance with those instructions unless consent to it so acting is obtained from each Party (other than itself) whose consent would have been required in respect of that amendment or waiver.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the Security Agent may refrain from acting in accordance with any instructions of any other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provisions of clause 36 </w:t>
      </w:r>
      <w:r>
        <w:rPr>
          <w:rFonts w:ascii="Times New Roman" w:cs="Times New Roman" w:eastAsia="Times New Roman" w:hAnsi="Times New Roman"/>
          <w:sz w:val="18"/>
          <w:szCs w:val="18"/>
          <w:i w:val="1"/>
          <w:iCs w:val="1"/>
          <w:color w:val="auto"/>
        </w:rPr>
        <w:t>(Enforcement of Transaction Security)</w:t>
      </w:r>
      <w:r>
        <w:rPr>
          <w:rFonts w:ascii="Times New Roman" w:cs="Times New Roman" w:eastAsia="Times New Roman" w:hAnsi="Times New Roman"/>
          <w:sz w:val="18"/>
          <w:szCs w:val="18"/>
          <w:color w:val="auto"/>
        </w:rPr>
        <w:t xml:space="preserve"> and the remainder of this clause 34, in the absence of instructions, the Agent and the Security Agent may act (or refrain from acting) as it considers to be in the best interest of the Lenders.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34.5</w:t>
      </w:r>
      <w:r>
        <w:rPr>
          <w:sz w:val="20"/>
          <w:szCs w:val="20"/>
          <w:color w:val="auto"/>
        </w:rPr>
        <w:tab/>
      </w:r>
      <w:r>
        <w:rPr>
          <w:rFonts w:ascii="Times New Roman" w:cs="Times New Roman" w:eastAsia="Times New Roman" w:hAnsi="Times New Roman"/>
          <w:sz w:val="17"/>
          <w:szCs w:val="17"/>
          <w:b w:val="1"/>
          <w:bCs w:val="1"/>
          <w:color w:val="auto"/>
        </w:rPr>
        <w:t>Legal or arbitration proceedings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Neither the Agent nor the Security Agent is authorised to act on behalf of another Finance Party (without first obtaining that Finance Party’s consent) in any legal or arbitration proceedings relating to any Finance Document. This clause 34.5 shall not apply to any legal or arbitration proceeding relating to the perfection, preservation or protection of rights under the Security Documents or enforcement of the Transaction Security.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34.6</w:t>
      </w:r>
      <w:r>
        <w:rPr>
          <w:sz w:val="20"/>
          <w:szCs w:val="20"/>
          <w:color w:val="auto"/>
        </w:rPr>
        <w:tab/>
      </w:r>
      <w:r>
        <w:rPr>
          <w:rFonts w:ascii="Times New Roman" w:cs="Times New Roman" w:eastAsia="Times New Roman" w:hAnsi="Times New Roman"/>
          <w:sz w:val="17"/>
          <w:szCs w:val="17"/>
          <w:b w:val="1"/>
          <w:bCs w:val="1"/>
          <w:color w:val="auto"/>
        </w:rPr>
        <w:t>Duties of the Agent and the Security Agent</w:t>
      </w:r>
    </w:p>
    <w:p>
      <w:pPr>
        <w:spacing w:after="0" w:line="229" w:lineRule="exact"/>
        <w:rPr>
          <w:sz w:val="20"/>
          <w:szCs w:val="20"/>
          <w:color w:val="auto"/>
        </w:rPr>
      </w:pPr>
    </w:p>
    <w:p>
      <w:pPr>
        <w:ind w:left="1300" w:hanging="644"/>
        <w:spacing w:after="0" w:line="282" w:lineRule="auto"/>
        <w:tabs>
          <w:tab w:leader="none" w:pos="13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and the Security Agent’s duties under the Finance Documents are solely mechanical and administrative in nature.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the Agent or (as the case may be) the Security Agent shall promptly: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forward to the Agent a copy of any document received by the Security Agent from any Obligor under any Finance Document;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to a Party the original or a copy of any document which is delivered to the Agent or (as the case may be) the Security Agent for that Party by any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06" w:name="page307"/>
    <w:bookmarkEnd w:id="306"/>
    <w:p>
      <w:pPr>
        <w:ind w:left="1300" w:right="20" w:hanging="644"/>
        <w:spacing w:after="0" w:line="284" w:lineRule="auto"/>
        <w:tabs>
          <w:tab w:leader="none" w:pos="13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clause 32.9 </w:t>
      </w:r>
      <w:r>
        <w:rPr>
          <w:rFonts w:ascii="Times New Roman" w:cs="Times New Roman" w:eastAsia="Times New Roman" w:hAnsi="Times New Roman"/>
          <w:sz w:val="18"/>
          <w:szCs w:val="18"/>
          <w:i w:val="1"/>
          <w:iCs w:val="1"/>
          <w:color w:val="auto"/>
        </w:rPr>
        <w:t>(Copy of Transfer Certificate to Borrower)</w:t>
      </w:r>
      <w:r>
        <w:rPr>
          <w:rFonts w:ascii="Times New Roman" w:cs="Times New Roman" w:eastAsia="Times New Roman" w:hAnsi="Times New Roman"/>
          <w:sz w:val="18"/>
          <w:szCs w:val="18"/>
          <w:color w:val="auto"/>
        </w:rPr>
        <w:t>, paragraph (b) above shall not apply to any Transfer Certificate.</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neither the Agent nor the Security Agent is obliged to review or check the adequacy, accuracy or completeness of any document it forwards to another Party.</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clause 37.12 </w:t>
      </w:r>
      <w:r>
        <w:rPr>
          <w:rFonts w:ascii="Times New Roman" w:cs="Times New Roman" w:eastAsia="Times New Roman" w:hAnsi="Times New Roman"/>
          <w:sz w:val="18"/>
          <w:szCs w:val="18"/>
          <w:i w:val="1"/>
          <w:iCs w:val="1"/>
          <w:color w:val="auto"/>
        </w:rPr>
        <w:t>(Notification of prescribed events)</w:t>
      </w:r>
      <w:r>
        <w:rPr>
          <w:rFonts w:ascii="Times New Roman" w:cs="Times New Roman" w:eastAsia="Times New Roman" w:hAnsi="Times New Roman"/>
          <w:sz w:val="18"/>
          <w:szCs w:val="18"/>
          <w:color w:val="auto"/>
        </w:rPr>
        <w:t>, if the Agent or the Security Agent receives notice from a Party referring to this Agreement, describing a Default and stating that the circumstance described is a Default, it shall promptly notify the other Finance Parties.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Security Agent shall have only those duties, obligations and responsibilities expressly specified in the Finance Documents to which it is expressed to be a party (and no others shall be implied).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34.7</w:t>
      </w:r>
      <w:r>
        <w:rPr>
          <w:sz w:val="20"/>
          <w:szCs w:val="20"/>
          <w:color w:val="auto"/>
        </w:rPr>
        <w:tab/>
      </w:r>
      <w:r>
        <w:rPr>
          <w:rFonts w:ascii="Times New Roman" w:cs="Times New Roman" w:eastAsia="Times New Roman" w:hAnsi="Times New Roman"/>
          <w:sz w:val="17"/>
          <w:szCs w:val="17"/>
          <w:b w:val="1"/>
          <w:bCs w:val="1"/>
          <w:color w:val="auto"/>
        </w:rPr>
        <w:t>Role of the Arrangers and Sustainability Co-ordinator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Except as specifically provided in the Finance Documents, the Arrangers and the Sustainability Co-ordinator have no obligations of any kind to any other Party under or in connection with any Finance Document or the transactions contemplated by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34.8</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Nothing in any Finance Document constitutes the Agent, the Security Agent, any Arranger and the Sustainability Co-ordinator as a trustee or fiduciary of any other person except to the extent that the Security Agent acts as trustee for the other Finance Parties pursuant to clause 34.2 </w:t>
      </w:r>
      <w:r>
        <w:rPr>
          <w:rFonts w:ascii="Times New Roman" w:cs="Times New Roman" w:eastAsia="Times New Roman" w:hAnsi="Times New Roman"/>
          <w:sz w:val="18"/>
          <w:szCs w:val="18"/>
          <w:i w:val="1"/>
          <w:iCs w:val="1"/>
          <w:color w:val="auto"/>
        </w:rPr>
        <w:t>(Security Agent as trustee)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34.9</w:t>
      </w:r>
      <w:r>
        <w:rPr>
          <w:sz w:val="20"/>
          <w:szCs w:val="20"/>
          <w:color w:val="auto"/>
        </w:rPr>
        <w:tab/>
      </w:r>
      <w:r>
        <w:rPr>
          <w:rFonts w:ascii="Times New Roman" w:cs="Times New Roman" w:eastAsia="Times New Roman" w:hAnsi="Times New Roman"/>
          <w:sz w:val="18"/>
          <w:szCs w:val="18"/>
          <w:b w:val="1"/>
          <w:bCs w:val="1"/>
          <w:color w:val="auto"/>
        </w:rPr>
        <w:t>No duty to account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None of the Agent, the Security Agent, any Arranger, the Sustainability Co-ordinator and the Global Co-ordinator shall be bound to account to any other Finance Party for any sum or the profit element of any sum received by it for its own account or have any obligations to the other Finance Parties beyond those expressly stated in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34.10</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Finance Party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34.11</w:t>
      </w:r>
      <w:r>
        <w:rPr>
          <w:sz w:val="20"/>
          <w:szCs w:val="20"/>
          <w:color w:val="auto"/>
        </w:rPr>
        <w:tab/>
      </w:r>
      <w:r>
        <w:rPr>
          <w:rFonts w:ascii="Times New Roman" w:cs="Times New Roman" w:eastAsia="Times New Roman" w:hAnsi="Times New Roman"/>
          <w:sz w:val="17"/>
          <w:szCs w:val="17"/>
          <w:b w:val="1"/>
          <w:bCs w:val="1"/>
          <w:color w:val="auto"/>
        </w:rPr>
        <w:t>Rights and discretions of the Agent and the Security Agent</w:t>
      </w:r>
    </w:p>
    <w:p>
      <w:pPr>
        <w:spacing w:after="0" w:line="229" w:lineRule="exact"/>
        <w:rPr>
          <w:sz w:val="20"/>
          <w:szCs w:val="20"/>
          <w:color w:val="auto"/>
        </w:rPr>
      </w:pPr>
    </w:p>
    <w:p>
      <w:pPr>
        <w:ind w:left="1300" w:hanging="644"/>
        <w:spacing w:after="0"/>
        <w:tabs>
          <w:tab w:leader="none" w:pos="13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 and on any statement made by a director, authorised signatory or employee of any person regarding any matters which may reasonably be assumed to be within his/her knowledge or within his/her power to verify;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07" w:name="page308"/>
    <w:bookmarkEnd w:id="307"/>
    <w:p>
      <w:pPr>
        <w:ind w:left="1500" w:hanging="656"/>
        <w:spacing w:after="0"/>
        <w:tabs>
          <w:tab w:leader="none" w:pos="150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225" w:lineRule="exact"/>
        <w:rPr>
          <w:rFonts w:ascii="Times New Roman" w:cs="Times New Roman" w:eastAsia="Times New Roman" w:hAnsi="Times New Roman"/>
          <w:sz w:val="18"/>
          <w:szCs w:val="18"/>
          <w:color w:val="auto"/>
        </w:rPr>
      </w:pPr>
    </w:p>
    <w:p>
      <w:pPr>
        <w:ind w:left="2140" w:hanging="648"/>
        <w:spacing w:after="0" w:line="266" w:lineRule="auto"/>
        <w:tabs>
          <w:tab w:leader="none" w:pos="2035"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Lenders or other Finance Parties or any group of Lenders or other Finance Parties are duly given in accordance with the terms of the Finance Documents;</w:t>
      </w:r>
    </w:p>
    <w:p>
      <w:pPr>
        <w:spacing w:after="0" w:line="17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 and</w:t>
      </w:r>
    </w:p>
    <w:p>
      <w:pPr>
        <w:spacing w:after="0" w:line="225" w:lineRule="exact"/>
        <w:rPr>
          <w:rFonts w:ascii="Times New Roman" w:cs="Times New Roman" w:eastAsia="Times New Roman" w:hAnsi="Times New Roman"/>
          <w:sz w:val="18"/>
          <w:szCs w:val="18"/>
          <w:color w:val="auto"/>
        </w:rPr>
      </w:pPr>
    </w:p>
    <w:p>
      <w:pPr>
        <w:ind w:left="2140" w:hanging="648"/>
        <w:spacing w:after="0" w:line="266" w:lineRule="auto"/>
        <w:tabs>
          <w:tab w:leader="none" w:pos="2035"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if it receives any instructions to act in relation to the Transaction Security, that all applicable conditions under the Finance Documents for so acting have been satisfied; and</w:t>
      </w:r>
    </w:p>
    <w:p>
      <w:pPr>
        <w:spacing w:after="0" w:line="17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225" w:lineRule="exact"/>
        <w:rPr>
          <w:rFonts w:ascii="Times New Roman" w:cs="Times New Roman" w:eastAsia="Times New Roman" w:hAnsi="Times New Roman"/>
          <w:sz w:val="18"/>
          <w:szCs w:val="18"/>
          <w:color w:val="auto"/>
        </w:rPr>
      </w:pPr>
    </w:p>
    <w:p>
      <w:pPr>
        <w:ind w:left="2140" w:right="20" w:hanging="648"/>
        <w:spacing w:after="0" w:line="282" w:lineRule="auto"/>
        <w:tabs>
          <w:tab w:leader="none" w:pos="214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61"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225" w:lineRule="exact"/>
        <w:rPr>
          <w:rFonts w:ascii="Times New Roman" w:cs="Times New Roman" w:eastAsia="Times New Roman" w:hAnsi="Times New Roman"/>
          <w:sz w:val="18"/>
          <w:szCs w:val="18"/>
          <w:color w:val="auto"/>
        </w:rPr>
      </w:pPr>
    </w:p>
    <w:p>
      <w:pPr>
        <w:ind w:left="21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w:t>
      </w:r>
    </w:p>
    <w:p>
      <w:pPr>
        <w:spacing w:after="0" w:line="161"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assume (unless it has received notice to the contrary in its capacity as agent or (as the case may be) security trustee for the other Finance Parties) that:</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Notifiable Debt Purchase Transaction:</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terminated; or</w:t>
      </w:r>
    </w:p>
    <w:p>
      <w:pPr>
        <w:spacing w:after="0" w:line="225" w:lineRule="exact"/>
        <w:rPr>
          <w:rFonts w:ascii="Times New Roman" w:cs="Times New Roman" w:eastAsia="Times New Roman" w:hAnsi="Times New Roman"/>
          <w:sz w:val="18"/>
          <w:szCs w:val="18"/>
          <w:color w:val="auto"/>
        </w:rPr>
      </w:pPr>
    </w:p>
    <w:p>
      <w:pPr>
        <w:ind w:left="2040" w:hanging="548"/>
        <w:spacing w:after="0"/>
        <w:tabs>
          <w:tab w:leader="none" w:pos="204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with a Borrower Affiliate;</w:t>
      </w:r>
    </w:p>
    <w:p>
      <w:pPr>
        <w:spacing w:after="0" w:line="225"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has occurred (unless (in the case of the Agent) it has actual knowledge of a Default arising under clause 30.2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any group of Finance Parties has not been exercised; and</w:t>
      </w:r>
    </w:p>
    <w:p>
      <w:pPr>
        <w:spacing w:after="0" w:line="16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Borrower (other than (in the case of the Agent) a Utilisation Request) is made on behalf of and with the consent and knowledge of all the Obligors.</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engage and pay for the advice or services of any lawyers, accountants, tax advisers, insurance consultants, ship managers, valuers, surveyors or other professional advisers or experts.</w:t>
      </w:r>
    </w:p>
    <w:p>
      <w:pPr>
        <w:spacing w:after="0" w:line="161" w:lineRule="exact"/>
        <w:rPr>
          <w:rFonts w:ascii="Times New Roman" w:cs="Times New Roman" w:eastAsia="Times New Roman" w:hAnsi="Times New Roman"/>
          <w:sz w:val="18"/>
          <w:szCs w:val="18"/>
          <w:color w:val="auto"/>
        </w:rPr>
      </w:pPr>
    </w:p>
    <w:p>
      <w:pPr>
        <w:jc w:val="both"/>
        <w:ind w:left="840" w:right="20" w:hanging="644"/>
        <w:spacing w:after="0" w:line="261" w:lineRule="auto"/>
        <w:tabs>
          <w:tab w:leader="none" w:pos="8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or paragraph (e) below each of the Agent and the Security Agent may at any time engage and pay for the services of any lawyers to act as independent counsel to it (and so separate from any lawyers instructed by the Lenders or any other Finance Party) if it, in its reasonable opinion, deems this to be desirable.</w:t>
      </w:r>
    </w:p>
    <w:p>
      <w:pPr>
        <w:spacing w:after="0" w:line="179"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Security Agent may rely on the advice or services of any lawyers, accountants, tax advisers, insurance consultants, ship managers, valuers, surveyors or other professional advisers or experts (whether obtained by it or by any other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308" w:name="page309"/>
    <w:bookmarkEnd w:id="308"/>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shall not be liable for any damages, costs or losses to any person, any diminution in value or any liability whatsoever arising as a result of its so relying.</w:t>
      </w:r>
    </w:p>
    <w:p>
      <w:pPr>
        <w:spacing w:after="0" w:line="162" w:lineRule="exact"/>
        <w:rPr>
          <w:sz w:val="20"/>
          <w:szCs w:val="20"/>
          <w:color w:val="auto"/>
        </w:rPr>
      </w:pPr>
    </w:p>
    <w:p>
      <w:pPr>
        <w:ind w:left="1300" w:right="20" w:hanging="644"/>
        <w:spacing w:after="0" w:line="282" w:lineRule="auto"/>
        <w:tabs>
          <w:tab w:leader="none" w:pos="130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Security Agent, any Receiver and any Delegate may act in relation to the Finance Documents, the Transaction Security and the Security Property through its officers, employees and agents and shall not: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error of judgment made by any such person;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to supervise, or be in any way responsible for any loss incurred by reason of misconduct, omission or default on the part, of any such person,</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unless such error or such loss was directly caused by the Agent’s, the Security Agent’s, Receiver’s or Delegate’s gross negligence or wilful misconduct.</w:t>
      </w:r>
    </w:p>
    <w:p>
      <w:pPr>
        <w:spacing w:after="0" w:line="162" w:lineRule="exact"/>
        <w:rPr>
          <w:sz w:val="20"/>
          <w:szCs w:val="20"/>
          <w:color w:val="auto"/>
        </w:rPr>
      </w:pPr>
    </w:p>
    <w:p>
      <w:pPr>
        <w:ind w:left="1300" w:right="20" w:hanging="644"/>
        <w:spacing w:after="0" w:line="282" w:lineRule="auto"/>
        <w:tabs>
          <w:tab w:leader="none" w:pos="13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Finance Document expressly specifies otherwise, the Agent or the Security Agent may disclose to any other Party any information it reasonably believes it has received as agent or security trustee under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(g) above, the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disclose;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written request of the Borrower or the Majority Lenders shall, as soon as reasonably practicable, disclose,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identity of a Defaulting Lender to the other Finance Parties and the Borrower.</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none of the Agent, the Security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clause 34.11(i), the Agent may (but is not obliged to) disclose the identity of a Defaulting Lender to the other Finance Parties and the Borrower and the Agent shall disclose the same upon the written request of the Majority Lenders.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neither the Agent nor the Security Agent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Agent nor any Arranger shall be obliged to request any certificate, opinion or other information under clause 19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xml:space="preserve"> unless so required in writing by a Lender or any Hedging Provider, in which case the Agent shall promptly make the appropriate request of the Borrower if such request would be in accordance with the terms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34.12</w:t>
      </w:r>
      <w:r>
        <w:rPr>
          <w:sz w:val="20"/>
          <w:szCs w:val="20"/>
          <w:color w:val="auto"/>
        </w:rPr>
        <w:tab/>
      </w:r>
      <w:r>
        <w:rPr>
          <w:rFonts w:ascii="Times New Roman" w:cs="Times New Roman" w:eastAsia="Times New Roman" w:hAnsi="Times New Roman"/>
          <w:sz w:val="17"/>
          <w:szCs w:val="17"/>
          <w:b w:val="1"/>
          <w:bCs w:val="1"/>
          <w:color w:val="auto"/>
        </w:rPr>
        <w:t>Responsibility for documentation and other matters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None of the Agent, the Security Agent, any Arranger, any Receiver, the Sustainability Co- ordinator or any Delegate is responsible or liable for:</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(including any information relevant to the Sustainability Certificate) (whether oral or written) supplied by the Agent, the Security Agent, any Arranger, the Sustainability Co-ordinator, an Obligor or any other</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09" w:name="page310"/>
    <w:bookmarkEnd w:id="309"/>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person (including an external reviewer in connection with any information relevant to the Sustainability Certificate and/or any sustainability provisions contemplated in this Agreement)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180" w:lineRule="exact"/>
        <w:rPr>
          <w:sz w:val="20"/>
          <w:szCs w:val="20"/>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Transaction Document, the Transaction Security or any other agreement, arrangement or document entered into, made or executed in anticipation of, under or in connection with any Transaction Document, the Transaction Security or the Security Property;</w:t>
      </w:r>
    </w:p>
    <w:p>
      <w:pPr>
        <w:spacing w:after="0" w:line="175"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Basel Regulation to the transactions contemplated by the Finance Documents;</w:t>
      </w:r>
    </w:p>
    <w:p>
      <w:pPr>
        <w:spacing w:after="0" w:line="22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any loss to the Security Property arising in consequence of the failure, depreciation or loss of any Charged Property or any investments made or retained in good faith or by reason of any other matter or thing;</w:t>
      </w:r>
    </w:p>
    <w:p>
      <w:pPr>
        <w:spacing w:after="0" w:line="17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Obligor or any other party to perform its obligations under any Transaction Document or the financial condition of any such person;</w:t>
      </w:r>
    </w:p>
    <w:p>
      <w:pPr>
        <w:spacing w:after="0" w:line="161"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otherwise provided in this clause 34) taking or omitting to take any other action under or in relation to the Security Documents;</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7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or making any enquiry into the title of any Obligor to any of the Charged Property or any of its other property or assets;</w:t>
      </w:r>
    </w:p>
    <w:p>
      <w:pPr>
        <w:spacing w:after="0" w:line="161" w:lineRule="exact"/>
        <w:rPr>
          <w:rFonts w:ascii="Times New Roman" w:cs="Times New Roman" w:eastAsia="Times New Roman" w:hAnsi="Times New Roman"/>
          <w:sz w:val="18"/>
          <w:szCs w:val="18"/>
          <w:color w:val="auto"/>
        </w:rPr>
      </w:pPr>
    </w:p>
    <w:p>
      <w:pPr>
        <w:ind w:left="840" w:hanging="644"/>
        <w:spacing w:after="0"/>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register any of the Security Documents with the Registrar of Companies or any other public office;</w:t>
      </w:r>
    </w:p>
    <w:p>
      <w:pPr>
        <w:spacing w:after="0" w:line="22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register any of the Security Documents in accordance with the provisions of the documents of title of any Obligor to any of the Charged Property;</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75" w:lineRule="exact"/>
        <w:rPr>
          <w:rFonts w:ascii="Times New Roman" w:cs="Times New Roman" w:eastAsia="Times New Roman" w:hAnsi="Times New Roman"/>
          <w:sz w:val="18"/>
          <w:szCs w:val="18"/>
          <w:color w:val="auto"/>
        </w:rPr>
      </w:pPr>
    </w:p>
    <w:p>
      <w:pPr>
        <w:ind w:left="84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beneficiary of a Security Document failing to perform or discharge any of its duties or obligations under any Finance Document;</w:t>
      </w:r>
    </w:p>
    <w:p>
      <w:pPr>
        <w:spacing w:after="0" w:line="161"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75" w:lineRule="exact"/>
        <w:rPr>
          <w:rFonts w:ascii="Times New Roman" w:cs="Times New Roman" w:eastAsia="Times New Roman" w:hAnsi="Times New Roman"/>
          <w:sz w:val="18"/>
          <w:szCs w:val="18"/>
          <w:color w:val="auto"/>
        </w:rPr>
      </w:pPr>
    </w:p>
    <w:p>
      <w:pPr>
        <w:jc w:val="both"/>
        <w:ind w:left="840" w:hanging="644"/>
        <w:spacing w:after="0" w:line="266"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unsuitability, inadequacy or unfitness of any Charged Property as security for the Loans and shall not be obliged to make any investigation into, and shall be entitled to assume, the suitability, adequacy and fitness of the Charged Property as security for the Loans; or</w:t>
      </w:r>
    </w:p>
    <w:p>
      <w:pPr>
        <w:spacing w:after="0" w:line="175" w:lineRule="exact"/>
        <w:rPr>
          <w:rFonts w:ascii="Times New Roman" w:cs="Times New Roman" w:eastAsia="Times New Roman" w:hAnsi="Times New Roman"/>
          <w:sz w:val="18"/>
          <w:szCs w:val="18"/>
          <w:color w:val="auto"/>
        </w:rPr>
      </w:pPr>
    </w:p>
    <w:p>
      <w:pPr>
        <w:ind w:left="840" w:right="20" w:hanging="644"/>
        <w:spacing w:after="0" w:line="282" w:lineRule="auto"/>
        <w:tabs>
          <w:tab w:leader="none" w:pos="84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to or any unauthorised dealing with the Charged Property nor shall it have any responsibility or liability arising from the fact that the Charged Property, or documents</w:t>
      </w:r>
    </w:p>
    <w:p>
      <w:pPr>
        <w:sectPr>
          <w:pgSz w:w="11900" w:h="16838" w:orient="portrait"/>
          <w:cols w:equalWidth="0" w:num="1">
            <w:col w:w="9460"/>
          </w:cols>
          <w:pgMar w:left="144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type w:val="continuous"/>
        </w:sectPr>
      </w:pPr>
    </w:p>
    <w:bookmarkStart w:id="310" w:name="page311"/>
    <w:bookmarkEnd w:id="310"/>
    <w:p>
      <w:pPr>
        <w:ind w:left="1300" w:right="20"/>
        <w:spacing w:after="0" w:line="282" w:lineRule="auto"/>
        <w:rPr>
          <w:sz w:val="20"/>
          <w:szCs w:val="20"/>
          <w:color w:val="auto"/>
        </w:rPr>
      </w:pPr>
      <w:r>
        <w:rPr>
          <w:rFonts w:ascii="Times New Roman" w:cs="Times New Roman" w:eastAsia="Times New Roman" w:hAnsi="Times New Roman"/>
          <w:sz w:val="18"/>
          <w:szCs w:val="18"/>
          <w:color w:val="auto"/>
        </w:rPr>
        <w:t>relating thereto, may be registered in its name or held by it or any other bank or agent selected by the Agent or the Security Agent.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34.13</w:t>
        <w:tab/>
        <w:t>No duty to monitor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Agent nor the Security Agent shall be bound to enquire:</w:t>
      </w:r>
    </w:p>
    <w:p>
      <w:pPr>
        <w:spacing w:after="0" w:line="225" w:lineRule="exact"/>
        <w:rPr>
          <w:sz w:val="20"/>
          <w:szCs w:val="20"/>
          <w:color w:val="auto"/>
        </w:rPr>
      </w:pPr>
    </w:p>
    <w:p>
      <w:pPr>
        <w:ind w:left="1300" w:hanging="644"/>
        <w:spacing w:after="0"/>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or any Obligor of its obligations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Declassification Date has occurred;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accuracy of any Sustainability Certificate;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Obligor of its obligations under any sustainability-linked terms set out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34.14</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any other provision of any Finance Document excluding or limiting the liability of the Agent, the Security Agent, the Sustainability Co-ordinator, any Receiver or Delegate), none of the Agent, the Security Agent, any Receiver nor any Delegate will be liable (including, without limitation, for negligence or any other category of liability whatsoever) for: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or the Security Property, unless directly caused by its gross negligence or wilful misconduct.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88" w:lineRule="exact"/>
        <w:rPr>
          <w:rFonts w:ascii="Times New Roman" w:cs="Times New Roman" w:eastAsia="Times New Roman" w:hAnsi="Times New Roman"/>
          <w:sz w:val="18"/>
          <w:szCs w:val="18"/>
          <w:color w:val="auto"/>
        </w:rPr>
      </w:pPr>
    </w:p>
    <w:p>
      <w:pPr>
        <w:jc w:val="both"/>
        <w:ind w:left="1960" w:right="20" w:hanging="656"/>
        <w:spacing w:after="0" w:line="261" w:lineRule="auto"/>
        <w:tabs>
          <w:tab w:leader="none" w:pos="19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the Security Property or any other agreement, arrangement or document entered into, made or executed in anticipation of, under or in connection with, any Finance Document or the Security Property;</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which arises on the enforcement or realisation of the Security Property;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to (iii) above, any damages, costs, losses, any diminution in value or any liability whatsoever arising as a result of:</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225"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11" w:name="page312"/>
    <w:bookmarkEnd w:id="311"/>
    <w:p>
      <w:pPr>
        <w:ind w:left="1960"/>
        <w:spacing w:after="0" w:line="282" w:lineRule="auto"/>
        <w:rPr>
          <w:sz w:val="20"/>
          <w:szCs w:val="20"/>
          <w:color w:val="auto"/>
        </w:rPr>
      </w:pPr>
      <w:r>
        <w:rPr>
          <w:rFonts w:ascii="Times New Roman" w:cs="Times New Roman" w:eastAsia="Times New Roman" w:hAnsi="Times New Roman"/>
          <w:sz w:val="18"/>
          <w:szCs w:val="18"/>
          <w:color w:val="auto"/>
        </w:rPr>
        <w:t>malfunction of any third party transport, telecommunications, computer services or systems; natural disasters or acts of God; war, terrorism, insurrection or revolution; or strikes or industrial action.</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(other than the Agent, the Security Agent, that Receiver, the Sustainability Co- ordinator or that Delegate (as applicable)) may take any proceedings against any officer, employee or agent of the Agent, the Security Agent, a Receiver, the Sustainability Co- ordinator or a Delegate in respect of any claim it might have against the Agent, the Security Agent, a Receiver, the Sustainability Co-ordinator or a Delegate or in respect of any act or omission of any kind by that officer, employee or agent in relation to any Transaction Document or any Security Property and any officer, employee or agent of the Agent, the Security Agent, a Receiver or a Delegate may rely on this clause subject to clause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xml:space="preserve"> and the provisions of the Third Parties Act.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Agent or the Security Agent will be liable for any delay (or any related consequences) in crediting an account with an amount required under the Finance Documents to be paid by it if it has taken all necessary steps as soon as reasonably practicable to comply with the regulations or operating procedures of any recognised clearing or settlement system used by it for that purpose.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shall oblige the Agent, the Sustainability Co-ordinator, the Security Agent or any Arranger to carry out: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or other checks in relation to any person;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check on the extent to which any transaction contemplated by any of the Finance Documents might be unlawful for any Finance Party or for any Affiliate of any Finance Party,</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behalf of any other Finance Party and each other Finance Party confirms to the Agent, the Security Agent, the Sustainability Co-ordinator and the Arrangers that it is solely responsible for any such checks it is required to carry out and that it may not rely on any statement in relation to such checks made by the Agent, the Security Agent or any Arranger.</w:t>
      </w:r>
    </w:p>
    <w:p>
      <w:pPr>
        <w:spacing w:after="0" w:line="180" w:lineRule="exact"/>
        <w:rPr>
          <w:sz w:val="20"/>
          <w:szCs w:val="20"/>
          <w:color w:val="auto"/>
        </w:rPr>
      </w:pPr>
    </w:p>
    <w:p>
      <w:pPr>
        <w:jc w:val="both"/>
        <w:ind w:left="1300" w:hanging="644"/>
        <w:spacing w:after="0" w:line="253" w:lineRule="auto"/>
        <w:tabs>
          <w:tab w:leader="none" w:pos="130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liability of the Agent, the Security Agent, the Sustainability Co-ordinator, any Receiver or any Delegate, any liability of the Agent, the Security Agent, the Sustainability Co-ordinator, any Receiver or any Delegate arising under or in connection with any Finance Document or the Security Property shall be limited to the amount of actual loss which has been finally judicially determined to have been suffered (as determined by reference to the date of default of the Agent, the Security Agent, the Sustainability Co-ordinator, Receiver or Delegate (as the case may be) or, if later, the date on which the loss arises as a result of such default) but without reference to any special conditions or circumstances known to the Agent, the Security Agent, the Sustainability Co-ordinator, Receiver or Delegate (as the case may be) at any time which increase the amount of that loss. In no event shall the Agent, the Security Agent, the Sustainability Co-ordinator, any Receiver or any Delegate be liable for any loss of profits, goodwill, reputation, business opportunity or anticipated saving, or for special, punitive, indirect or consequential damages, whether or not the Agent, the Security Agent, the Sustainability Co-ordinator, Receiver or Delegate (as the case may be) has been advised of the possibility of such loss or damages.</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34.15</w:t>
      </w:r>
      <w:r>
        <w:rPr>
          <w:sz w:val="20"/>
          <w:szCs w:val="20"/>
          <w:color w:val="auto"/>
        </w:rPr>
        <w:tab/>
      </w:r>
      <w:r>
        <w:rPr>
          <w:rFonts w:ascii="Times New Roman" w:cs="Times New Roman" w:eastAsia="Times New Roman" w:hAnsi="Times New Roman"/>
          <w:sz w:val="17"/>
          <w:szCs w:val="17"/>
          <w:b w:val="1"/>
          <w:bCs w:val="1"/>
          <w:color w:val="auto"/>
        </w:rPr>
        <w:t>Lenders’ indemnity to the Agent and others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proportion to its share of the Total Commitments or, if the Total Commitments are then zero, to its share of the Total Commitments immediately prior to their being reduced to zero) indemnify the Agent, the Security Agent, the Sustainability Co- ordinator, every Receiver and every Delegate, within three Business Days of demand, against any Losses (including, without limitation, for negligence or any other category of liability whatsoever) incurred by any of them (otherwise than by reason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2" w:name="page313"/>
    <w:bookmarkEnd w:id="312"/>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Agent’s, Security Agent’s, Sustainability Co-ordinator’s, Receiver’s or Delegate’s gross negligence or wilful misconduct) (or, in the circumstances contemplated pursuant to clause 40.12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xml:space="preserve"> notwithstanding the Agent’s negligence, gross negligence, or any other category of liability whatsoever but not including any claim based on the fraud of the Agent) in acting as Agent, Security Agent, Sustainability Co-ordinator, Receiver or Delegate under, or exercising any authority conferred under, the Finance Documents (unless the relevant Agent, Security Agent, Sustainability Co-ordinator, Receiver or Delegate has been reimbursed by an Obligor pursuant to a Finance Document).</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indemnities contained in this clause 34.14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176" w:lineRule="exact"/>
        <w:rPr>
          <w:sz w:val="20"/>
          <w:szCs w:val="20"/>
          <w:color w:val="auto"/>
        </w:rPr>
      </w:pPr>
    </w:p>
    <w:p>
      <w:pPr>
        <w:ind w:left="1300" w:hanging="644"/>
        <w:spacing w:after="0" w:line="282" w:lineRule="auto"/>
        <w:tabs>
          <w:tab w:leader="none" w:pos="13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the Borrower shall immediately on demand reimburse any Lender for any payment that Lender makes to the Agent or the Security Agent or any Receiver or Delegate pursuant to paragraph (a) above.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above shall not apply to the extent that the indemnity payment in respect of which the Lender claims reimbursement relates to a liability of the Agent or the Security Agent to an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34.16</w:t>
      </w:r>
      <w:r>
        <w:rPr>
          <w:sz w:val="20"/>
          <w:szCs w:val="20"/>
          <w:color w:val="auto"/>
        </w:rPr>
        <w:tab/>
      </w:r>
      <w:r>
        <w:rPr>
          <w:rFonts w:ascii="Times New Roman" w:cs="Times New Roman" w:eastAsia="Times New Roman" w:hAnsi="Times New Roman"/>
          <w:sz w:val="17"/>
          <w:szCs w:val="17"/>
          <w:b w:val="1"/>
          <w:bCs w:val="1"/>
          <w:color w:val="auto"/>
        </w:rPr>
        <w:t>Resignation of the Agent or the Security Agent</w:t>
      </w:r>
    </w:p>
    <w:p>
      <w:pPr>
        <w:spacing w:after="0" w:line="229" w:lineRule="exact"/>
        <w:rPr>
          <w:sz w:val="20"/>
          <w:szCs w:val="20"/>
          <w:color w:val="auto"/>
        </w:rPr>
      </w:pPr>
    </w:p>
    <w:p>
      <w:pPr>
        <w:ind w:left="1300" w:hanging="644"/>
        <w:spacing w:after="0" w:line="282"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or the Security Agent may resign and appoint one of its Affiliates as successor by giving notice to the other Finance Parties and the Borrower.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or the Security Agent may without giving any reason therefor resign by giving 30 days’ notice to the other Finance Parties and the Borrower, in which case the Majority Lenders may appoint a successor Agent or Security Agent.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or Security Agent in accordance with paragraph (b) above within 20 days after notice of resignation was given, the retiring Agent or Security Agent (after consultation with (in the case of the Agent) the Borrower or (in the case of the Security Agent) the Agent) may appoint a successor Agent or Security Agent.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or Security Agent wishes to resign because it has concluded that it is no longer appropriate for it to remain as agent or trustee and the Agent or (as the case may be) Security Agent is entitled to appoint a successor Agent or (as the case may be) Security Agent under paragraph (c) above, the Agent or (as the case may be) Security Agent may (if it concludes that it is necessary to do so in order to persuade the proposed successor Agent or (as the case may be) Security Agent to become a party to this Agreement as Agent or (as the case may be) Security Agent) agree with the proposed successor Agent or (as the case may be) Security Agent amendments to this clause 34 and any other term of this Agreement dealing with the rights or obligations of the Agent or (as the case may be) Security Agent consistent with then current market practice for the appointment and protection of corporate trustees together with any reasonable amendments to the fee payable to it in its capacity as Agent or (as the case may be) Security Agent under this Agreement which are consistent with the successor Agent’s or (as the case may be) Security Agent normal fee rates and those amendments will bind the Parties.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or Security Agent shall either at the Lenders’ expense if it has been required to resign pursuant to clause 34.17 (</w:t>
      </w:r>
      <w:r>
        <w:rPr>
          <w:rFonts w:ascii="Times New Roman" w:cs="Times New Roman" w:eastAsia="Times New Roman" w:hAnsi="Times New Roman"/>
          <w:sz w:val="18"/>
          <w:szCs w:val="18"/>
          <w:i w:val="1"/>
          <w:iCs w:val="1"/>
          <w:color w:val="auto"/>
        </w:rPr>
        <w:t>Replacement of the Agent</w:t>
      </w:r>
      <w:r>
        <w:rPr>
          <w:rFonts w:ascii="Times New Roman" w:cs="Times New Roman" w:eastAsia="Times New Roman" w:hAnsi="Times New Roman"/>
          <w:sz w:val="18"/>
          <w:szCs w:val="18"/>
          <w:color w:val="auto"/>
        </w:rPr>
        <w:t>) or otherwise at its own cost, make available to the successor Agent or Security Agent such documents and records and provide such assistance as the successor Agent or Security Agent may reasonably request for the purposes of performing its functions as Agent or (as the case may be) Security Agent under the Finance Documents. The Borrower shall, within three Business Days of demand, reimburse the retiring Agent or (as the case may be)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3" w:name="page314"/>
    <w:bookmarkEnd w:id="313"/>
    <w:p>
      <w:pPr>
        <w:ind w:left="1300"/>
        <w:spacing w:after="0" w:line="282" w:lineRule="auto"/>
        <w:rPr>
          <w:sz w:val="20"/>
          <w:szCs w:val="20"/>
          <w:color w:val="auto"/>
        </w:rPr>
      </w:pPr>
      <w:r>
        <w:rPr>
          <w:rFonts w:ascii="Times New Roman" w:cs="Times New Roman" w:eastAsia="Times New Roman" w:hAnsi="Times New Roman"/>
          <w:sz w:val="18"/>
          <w:szCs w:val="18"/>
          <w:color w:val="auto"/>
        </w:rPr>
        <w:t>Agent for the amount of all costs and expenses (including legal fees) (together with any applicable VAT) properly incurred by it in making available such documents and records and providing such assistance.</w:t>
      </w:r>
    </w:p>
    <w:p>
      <w:pPr>
        <w:spacing w:after="0" w:line="162" w:lineRule="exact"/>
        <w:rPr>
          <w:sz w:val="20"/>
          <w:szCs w:val="20"/>
          <w:color w:val="auto"/>
        </w:rPr>
      </w:pPr>
    </w:p>
    <w:p>
      <w:pPr>
        <w:ind w:left="1300" w:hanging="644"/>
        <w:spacing w:after="0"/>
        <w:tabs>
          <w:tab w:leader="none" w:pos="130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or Security Agent’s resignation notice shall only take effect upon: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successor;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the transfer or assignment of all the Transaction Security and the other Security Property to that successor and any appropriate filings or registrations, any notices of transfer or assignment and the payment of any fees or duties related to such transfer or assignment which the Security Agent considers necessary or advisable have been duly completed.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appointment of the successor Agent shall take effect on the date specified in the notice from the Majority Lenders to the retiring Agent. As from this date, the retiring Agent or Security Agent shall be discharged from any further obligation in respect of the Finance Documents (other than its obligations under paragraph (b) of 35.10 </w:t>
      </w:r>
      <w:r>
        <w:rPr>
          <w:rFonts w:ascii="Times New Roman" w:cs="Times New Roman" w:eastAsia="Times New Roman" w:hAnsi="Times New Roman"/>
          <w:sz w:val="18"/>
          <w:szCs w:val="18"/>
          <w:i w:val="1"/>
          <w:iCs w:val="1"/>
          <w:color w:val="auto"/>
        </w:rPr>
        <w:t>(Winding up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trust) </w:t>
      </w:r>
      <w:r>
        <w:rPr>
          <w:rFonts w:ascii="Times New Roman" w:cs="Times New Roman" w:eastAsia="Times New Roman" w:hAnsi="Times New Roman"/>
          <w:sz w:val="18"/>
          <w:szCs w:val="18"/>
          <w:color w:val="auto"/>
        </w:rPr>
        <w:t>and paragraph (e) above) but shall remain entitled to the benefit of clauses 14.3</w:t>
      </w:r>
      <w:r>
        <w:rPr>
          <w:rFonts w:ascii="Times New Roman" w:cs="Times New Roman" w:eastAsia="Times New Roman" w:hAnsi="Times New Roman"/>
          <w:sz w:val="18"/>
          <w:szCs w:val="18"/>
          <w:i w:val="1"/>
          <w:iCs w:val="1"/>
          <w:color w:val="auto"/>
        </w:rPr>
        <w:t xml:space="preserve"> (Indemnity to the Agent and the Security Agent) </w:t>
      </w:r>
      <w:r>
        <w:rPr>
          <w:rFonts w:ascii="Times New Roman" w:cs="Times New Roman" w:eastAsia="Times New Roman" w:hAnsi="Times New Roman"/>
          <w:sz w:val="18"/>
          <w:szCs w:val="18"/>
          <w:color w:val="auto"/>
        </w:rPr>
        <w:t>and 14.4</w:t>
      </w:r>
      <w:r>
        <w:rPr>
          <w:rFonts w:ascii="Times New Roman" w:cs="Times New Roman" w:eastAsia="Times New Roman" w:hAnsi="Times New Roman"/>
          <w:sz w:val="18"/>
          <w:szCs w:val="18"/>
          <w:i w:val="1"/>
          <w:iCs w:val="1"/>
          <w:color w:val="auto"/>
        </w:rPr>
        <w:t xml:space="preserve"> (Indemnity concerning security) </w:t>
      </w:r>
      <w:r>
        <w:rPr>
          <w:rFonts w:ascii="Times New Roman" w:cs="Times New Roman" w:eastAsia="Times New Roman" w:hAnsi="Times New Roman"/>
          <w:sz w:val="18"/>
          <w:szCs w:val="18"/>
          <w:color w:val="auto"/>
        </w:rPr>
        <w:t>and this clause 34 (and any agency or other fees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retiring Agent or Security Agent in its capacity as such shall cease to accrue from (and shall be payable on) that date). Any successor and each of the other Parties shall have the same rights and obligations amongst themselves as they would have had if that successor had been an original Party.</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89" w:lineRule="auto"/>
        <w:tabs>
          <w:tab w:leader="none" w:pos="1300"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55" w:lineRule="exact"/>
        <w:rPr>
          <w:rFonts w:ascii="Times New Roman" w:cs="Times New Roman" w:eastAsia="Times New Roman" w:hAnsi="Times New Roman"/>
          <w:sz w:val="17"/>
          <w:szCs w:val="17"/>
          <w:color w:val="auto"/>
        </w:rPr>
      </w:pPr>
    </w:p>
    <w:p>
      <w:pPr>
        <w:jc w:val="both"/>
        <w:ind w:left="1960" w:hanging="656"/>
        <w:spacing w:after="0" w:line="267" w:lineRule="auto"/>
        <w:tabs>
          <w:tab w:leader="none" w:pos="19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fails to respond to a request under clause 12.8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xml:space="preserve"> and the Borrower or a Lender reasonably believes that the Agent will not be (or will have ceased to be) a FATCA Exempt Party on or after that FATCA Application Date;</w:t>
      </w:r>
    </w:p>
    <w:p>
      <w:pPr>
        <w:spacing w:after="0" w:line="17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12.8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160"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Borrower and the Lenders that the Agent will not be (or will have ceased to be) a FATCA Exempt Party on or after that FATCA Application Date,</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76" w:lineRule="exact"/>
        <w:rPr>
          <w:sz w:val="20"/>
          <w:szCs w:val="20"/>
          <w:color w:val="auto"/>
        </w:rPr>
      </w:pPr>
    </w:p>
    <w:p>
      <w:pPr>
        <w:ind w:left="1300" w:hanging="644"/>
        <w:spacing w:after="0"/>
        <w:tabs>
          <w:tab w:leader="none" w:pos="130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34.16 shall apply to the resignation of the Sustainability Co-ordinator mutatis mutandis.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34.17</w:t>
      </w:r>
      <w:r>
        <w:rPr>
          <w:sz w:val="20"/>
          <w:szCs w:val="20"/>
          <w:color w:val="auto"/>
        </w:rPr>
        <w:tab/>
      </w:r>
      <w:r>
        <w:rPr>
          <w:rFonts w:ascii="Times New Roman" w:cs="Times New Roman" w:eastAsia="Times New Roman" w:hAnsi="Times New Roman"/>
          <w:sz w:val="17"/>
          <w:szCs w:val="17"/>
          <w:b w:val="1"/>
          <w:bCs w:val="1"/>
          <w:color w:val="auto"/>
        </w:rPr>
        <w:t>Replacement of the Agent</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4" w:name="page315"/>
    <w:bookmarkEnd w:id="314"/>
    <w:p>
      <w:pPr>
        <w:jc w:val="both"/>
        <w:ind w:left="1300" w:hanging="644"/>
        <w:spacing w:after="0" w:line="256" w:lineRule="auto"/>
        <w:tabs>
          <w:tab w:leader="none" w:pos="130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clauses 14.3 </w:t>
      </w:r>
      <w:r>
        <w:rPr>
          <w:rFonts w:ascii="Times New Roman" w:cs="Times New Roman" w:eastAsia="Times New Roman" w:hAnsi="Times New Roman"/>
          <w:sz w:val="18"/>
          <w:szCs w:val="18"/>
          <w:i w:val="1"/>
          <w:iCs w:val="1"/>
          <w:color w:val="auto"/>
        </w:rPr>
        <w:t>(Indemnity to the Agent and the Security Agent)</w:t>
      </w:r>
      <w:r>
        <w:rPr>
          <w:rFonts w:ascii="Times New Roman" w:cs="Times New Roman" w:eastAsia="Times New Roman" w:hAnsi="Times New Roman"/>
          <w:sz w:val="18"/>
          <w:szCs w:val="18"/>
          <w:color w:val="auto"/>
        </w:rPr>
        <w:t xml:space="preserve"> and 14.4 </w:t>
      </w:r>
      <w:r>
        <w:rPr>
          <w:rFonts w:ascii="Times New Roman" w:cs="Times New Roman" w:eastAsia="Times New Roman" w:hAnsi="Times New Roman"/>
          <w:sz w:val="18"/>
          <w:szCs w:val="18"/>
          <w:i w:val="1"/>
          <w:iCs w:val="1"/>
          <w:color w:val="auto"/>
        </w:rPr>
        <w:t>(Indemnity concerning security)</w:t>
      </w:r>
      <w:r>
        <w:rPr>
          <w:rFonts w:ascii="Times New Roman" w:cs="Times New Roman" w:eastAsia="Times New Roman" w:hAnsi="Times New Roman"/>
          <w:sz w:val="18"/>
          <w:szCs w:val="18"/>
          <w:color w:val="auto"/>
        </w:rPr>
        <w:t xml:space="preserve"> and this clause 34 (and any agency fees for the account of the retiring Agent shall cease to accrue from (and shall be payable on) that date).</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amongst themselves as they would have had if such successor had been an original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34.18</w:t>
      </w:r>
      <w:r>
        <w:rPr>
          <w:sz w:val="20"/>
          <w:szCs w:val="20"/>
          <w:color w:val="auto"/>
        </w:rPr>
        <w:tab/>
      </w:r>
      <w:r>
        <w:rPr>
          <w:rFonts w:ascii="Times New Roman" w:cs="Times New Roman" w:eastAsia="Times New Roman" w:hAnsi="Times New Roman"/>
          <w:sz w:val="17"/>
          <w:szCs w:val="17"/>
          <w:b w:val="1"/>
          <w:bCs w:val="1"/>
          <w:color w:val="auto"/>
        </w:rPr>
        <w:t>Replacement of the Security Agent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Majority Lenders may, by notice to the Security Agent, require it to resign in accordance with paragraph (b) of clause 34.16 </w:t>
      </w:r>
      <w:r>
        <w:rPr>
          <w:rFonts w:ascii="Times New Roman" w:cs="Times New Roman" w:eastAsia="Times New Roman" w:hAnsi="Times New Roman"/>
          <w:sz w:val="18"/>
          <w:szCs w:val="18"/>
          <w:i w:val="1"/>
          <w:iCs w:val="1"/>
          <w:color w:val="auto"/>
        </w:rPr>
        <w:t>(Resignation of the Agent or the Security Agent)</w:t>
      </w:r>
      <w:r>
        <w:rPr>
          <w:rFonts w:ascii="Times New Roman" w:cs="Times New Roman" w:eastAsia="Times New Roman" w:hAnsi="Times New Roman"/>
          <w:sz w:val="18"/>
          <w:szCs w:val="18"/>
          <w:color w:val="auto"/>
        </w:rPr>
        <w:t>. In this event, the Security Agent shall resign in accordance with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34.19</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or trustee for the Finance Parties, the Agent or (as the case may be) the Security Agent shall be regarded as acting through its agency, trustee or other division or department directly responsible for the management of the Finance Documents which shall be treated as a separate entity from any other of its divisions or departments.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or (as the case may be) Security Agent, it may be treated as confidential to that division or department and the Agent or (as the case may be) Security Agent shall not be deemed to have notice of it.</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1" w:lineRule="auto"/>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none of the Agent, the Security Agent, the Sustainability Co-ordinator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34.20</w:t>
      </w:r>
      <w:r>
        <w:rPr>
          <w:sz w:val="20"/>
          <w:szCs w:val="20"/>
          <w:color w:val="auto"/>
        </w:rPr>
        <w:tab/>
      </w:r>
      <w:r>
        <w:rPr>
          <w:rFonts w:ascii="Times New Roman" w:cs="Times New Roman" w:eastAsia="Times New Roman" w:hAnsi="Times New Roman"/>
          <w:sz w:val="17"/>
          <w:szCs w:val="17"/>
          <w:b w:val="1"/>
          <w:bCs w:val="1"/>
          <w:color w:val="auto"/>
        </w:rPr>
        <w:t>Agent’s relationship with the Lenders and Hedging Providers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treat the person shown in its records as Lender or as a Hedging Provider at the opening of business (in the place of the Agent’s principal office as notified to the Finance Parties from time to time) as the Lender or (as the case may be) as a Hedging Provider acting through its Facility Office: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Business Days prior notice from that Lender or (as the case may be) as a Hedging Provider to the contrary in accordance with the terms of this Agreement.</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Hedging Provider may by notice to the Agent appoint a person to receive on its behalf all notices, communications, information and documents to be made or despatched to that Lender or (as the case may be) Hedging Provider under the Finance Documents. Such notice shall contain the address and (where communication by electronic mail or other electronic means is permitted under clause 42.6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sending and receipt of information by that means (and, in each case,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5" w:name="page316"/>
    <w:bookmarkEnd w:id="315"/>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or officer, if any, for whose attention communication is to be made) and be treated as a notification of a substitute address, electronic mail address, department and officer (or such other information) by that Lender or (as the case may be) Hedging Provider for the purposes of clause 42.2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xml:space="preserve"> and clause 42.6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that Lender or (as the case may be) Hedging Provider.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34.21</w:t>
      </w:r>
      <w:r>
        <w:rPr>
          <w:sz w:val="20"/>
          <w:szCs w:val="20"/>
          <w:color w:val="auto"/>
        </w:rPr>
        <w:tab/>
      </w:r>
      <w:r>
        <w:rPr>
          <w:rFonts w:ascii="Times New Roman" w:cs="Times New Roman" w:eastAsia="Times New Roman" w:hAnsi="Times New Roman"/>
          <w:sz w:val="17"/>
          <w:szCs w:val="17"/>
          <w:b w:val="1"/>
          <w:bCs w:val="1"/>
          <w:color w:val="auto"/>
        </w:rPr>
        <w:t>Information from the Finance Parties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Finance Party shall supply the Agent or the Security Agent with any information that the Agent or (as the case may be) the Security Agent may reasonably specify as being necessary or desirable to enable the Agent or (as the case may be) the Security Agent to perform its functions as Agent or (as the case may be) Security Agent.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34.22</w:t>
      </w:r>
      <w:r>
        <w:rPr>
          <w:sz w:val="20"/>
          <w:szCs w:val="20"/>
          <w:color w:val="auto"/>
        </w:rPr>
        <w:tab/>
      </w:r>
      <w:r>
        <w:rPr>
          <w:rFonts w:ascii="Times New Roman" w:cs="Times New Roman" w:eastAsia="Times New Roman" w:hAnsi="Times New Roman"/>
          <w:sz w:val="17"/>
          <w:szCs w:val="17"/>
          <w:b w:val="1"/>
          <w:bCs w:val="1"/>
          <w:color w:val="auto"/>
        </w:rPr>
        <w:t>Credit appraisal by the Finance Parties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Without affecting the responsibility of any Obligor for information supplied by it or on its behalf in connection with any Finance Document, each other Finance Party confirms to the Agent, the Security Agent, the Sustainability Co-ordinator and the Arrangers that it has been, and will continue to be, solely responsible for making its own independent appraisal and investigation of all risks arising under or in connection with any Finance Document including but not limited to:</w:t>
      </w:r>
    </w:p>
    <w:p>
      <w:pPr>
        <w:spacing w:after="0" w:line="180" w:lineRule="exact"/>
        <w:rPr>
          <w:sz w:val="20"/>
          <w:szCs w:val="20"/>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Obligor and other Group Member;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Transaction Document, the Transaction Security, the Security Property and any other agreement, arrangement or document entered into, made or executed in anticipation of, under or in connection with any Transaction Document, the Transaction Security or the Security Property;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Basel Regulation to the transactions contemplated by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Finance Party has recourse, and the nature and extent of that recourse, against any Party or any of its respective assets under or in connection with any Finance Document, the Transaction Security, the Security Property, the transactions contemplated by the Finance Documents or any other agreement, arrangement or document entered into, made or executed in anticipation of, under or in connection with any Finance Document, the Transaction Security or the Security Property;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provided by the Agent, the Security Agent, the Sustainability Co-ordinator, the Arrangers or any other Party or by any other person under or in connection with, the transactions contemplated by any Transaction Document or any other agreement, arrangement or document entered into, made or executed in anticipation of, under or in connection with any Transaction Document; and</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or title of any person in or to, or the value or sufficiency of, any part of the Charged Property, the priority of any of the Transaction Security or the existence of any Security Interest affecting the Charged Property.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34.23</w:t>
      </w:r>
      <w:r>
        <w:rPr>
          <w:sz w:val="20"/>
          <w:szCs w:val="20"/>
          <w:color w:val="auto"/>
        </w:rPr>
        <w:tab/>
      </w:r>
      <w:r>
        <w:rPr>
          <w:rFonts w:ascii="Times New Roman" w:cs="Times New Roman" w:eastAsia="Times New Roman" w:hAnsi="Times New Roman"/>
          <w:sz w:val="17"/>
          <w:szCs w:val="17"/>
          <w:b w:val="1"/>
          <w:bCs w:val="1"/>
          <w:color w:val="auto"/>
        </w:rPr>
        <w:t>Deduction from amounts payable by the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6" w:name="page317"/>
    <w:bookmarkEnd w:id="31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34.24</w:t>
      </w:r>
      <w:r>
        <w:rPr>
          <w:sz w:val="20"/>
          <w:szCs w:val="20"/>
          <w:color w:val="auto"/>
        </w:rPr>
        <w:tab/>
      </w:r>
      <w:r>
        <w:rPr>
          <w:rFonts w:ascii="Times New Roman" w:cs="Times New Roman" w:eastAsia="Times New Roman" w:hAnsi="Times New Roman"/>
          <w:sz w:val="17"/>
          <w:szCs w:val="17"/>
          <w:b w:val="1"/>
          <w:bCs w:val="1"/>
          <w:color w:val="auto"/>
        </w:rPr>
        <w:t>Reliance and engagement letters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Each of the Agent, the Security Agent, the Sustainability Co-ordinator and the Arrangers may enter into any reliance letter or engagement letter relating to any valuations, reports, opinions or letters or advice or assistance provided by lawyers, accountants, tax advisers, insurance consultants, ship managers, valuers, surveyors or other professional advisers or experts in connection with the Transaction Documents or the transactions contemplated in the Finance Documents on such terms as it may consider appropriate (including, without limitation, restrictions on the lawyer’s, accountant’s, tax adviser’s, insurance consultant’s, ship manager’s, valuer’s, surveyor’s or other professional adviser’s or expert’s liability and the extent to which their valuations, reports, opinions or letters may be relied on or disclosed).</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34.25</w:t>
      </w:r>
      <w:r>
        <w:rPr>
          <w:sz w:val="20"/>
          <w:szCs w:val="20"/>
          <w:color w:val="auto"/>
        </w:rPr>
        <w:tab/>
      </w:r>
      <w:r>
        <w:rPr>
          <w:rFonts w:ascii="Times New Roman" w:cs="Times New Roman" w:eastAsia="Times New Roman" w:hAnsi="Times New Roman"/>
          <w:sz w:val="17"/>
          <w:szCs w:val="17"/>
          <w:b w:val="1"/>
          <w:bCs w:val="1"/>
          <w:color w:val="auto"/>
        </w:rPr>
        <w:t>Amounts paid in error</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Party to the Agent; nor</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(whether arising under this clause 34.25 or otherwise) which relate to an Erroneous Payment will be affected by any act, omission, matter or thing which, but for this paragraph (b), would reduce, release or prejudice any such obligation or remedy (whether or not known by the Agent or any other Party).</w:t>
      </w:r>
    </w:p>
    <w:p>
      <w:pPr>
        <w:spacing w:after="0" w:line="176" w:lineRule="exact"/>
        <w:rPr>
          <w:sz w:val="20"/>
          <w:szCs w:val="20"/>
          <w:color w:val="auto"/>
        </w:rPr>
      </w:pPr>
    </w:p>
    <w:p>
      <w:pPr>
        <w:jc w:val="both"/>
        <w:ind w:left="1300" w:right="20" w:hanging="644"/>
        <w:spacing w:after="0" w:line="266" w:lineRule="auto"/>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Party to the Agent (whether made pursuant to this clause 34.25 or otherwise) which relate to an Erroneous Payment shall be calculated and be made without (and free and clear of any deduction for) set-off or counterclaim.</w:t>
      </w:r>
    </w:p>
    <w:p>
      <w:pPr>
        <w:spacing w:after="0" w:line="172" w:lineRule="exact"/>
        <w:rPr>
          <w:sz w:val="20"/>
          <w:szCs w:val="20"/>
          <w:color w:val="auto"/>
        </w:rPr>
      </w:pPr>
    </w:p>
    <w:p>
      <w:pPr>
        <w:ind w:right="7220" w:firstLine="8"/>
        <w:spacing w:after="0" w:line="503" w:lineRule="auto"/>
        <w:tabs>
          <w:tab w:leader="none" w:pos="648"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and security matters 35.1 Undertaking to pay</w:t>
      </w:r>
    </w:p>
    <w:p>
      <w:pPr>
        <w:jc w:val="both"/>
        <w:ind w:left="1300" w:hanging="644"/>
        <w:spacing w:after="0" w:line="258" w:lineRule="auto"/>
        <w:tabs>
          <w:tab w:leader="none" w:pos="130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who is a Party undertakes with the Security Agent as trustee for the Finance Parties that it will, on demand by the Security Agent, pay to the Security Agent as trustee for the Finance Parties all money from time to time owing to the other Finance Parties (in addition to paying any money owing under the Finance Documents to the Security Agent for its own account), and discharge all other obligations from time to time incurred, by it under or in connection with the Finance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which such an Obligor makes to another Finance Party in accordance with any Finance Document shall, to the extent of the amount of that payment, satisfy that Obligor’s corresponding obligation under paragraph (a) above to make that payment to the Security Agent.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7"/>
          <w:szCs w:val="17"/>
          <w:b w:val="1"/>
          <w:bCs w:val="1"/>
          <w:color w:val="auto"/>
        </w:rPr>
        <w:t>No responsibility to perfect Transaction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Security Agent shall not be liable for any failure to:</w:t>
      </w:r>
    </w:p>
    <w:p>
      <w:pPr>
        <w:spacing w:after="0" w:line="225" w:lineRule="exact"/>
        <w:rPr>
          <w:sz w:val="20"/>
          <w:szCs w:val="20"/>
          <w:color w:val="auto"/>
        </w:rPr>
      </w:pPr>
    </w:p>
    <w:p>
      <w:pPr>
        <w:ind w:left="1300" w:right="20" w:hanging="644"/>
        <w:spacing w:after="0" w:line="282" w:lineRule="auto"/>
        <w:tabs>
          <w:tab w:leader="none" w:pos="13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whether all deeds and documents which should have been deposited with it under or pursuant to any of the Security Documents have been so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17" w:name="page318"/>
    <w:bookmarkEnd w:id="317"/>
    <w:p>
      <w:pPr>
        <w:ind w:left="1300" w:right="20" w:hanging="644"/>
        <w:spacing w:after="0" w:line="282" w:lineRule="auto"/>
        <w:tabs>
          <w:tab w:leader="none" w:pos="13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deposit with it of any deed or document certifying, representing or constituting the title of any Obligor to any of the Charged Property;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any licence, consent or other authority for the execution, delivery, legality, validity, enforceability or admissibility in evidence of any Finance Document or the Transaction Security;</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to require any Obligor to take, any step to perfect its title to any of the Charged Property or to render the Transaction Security effective or to secure the creation of any ancillary Security Interest under any law or regulation;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further assurance in relation to any Security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35.3</w:t>
      </w:r>
      <w:r>
        <w:rPr>
          <w:sz w:val="20"/>
          <w:szCs w:val="20"/>
          <w:color w:val="auto"/>
        </w:rPr>
        <w:tab/>
      </w:r>
      <w:r>
        <w:rPr>
          <w:rFonts w:ascii="Times New Roman" w:cs="Times New Roman" w:eastAsia="Times New Roman" w:hAnsi="Times New Roman"/>
          <w:sz w:val="18"/>
          <w:szCs w:val="18"/>
          <w:b w:val="1"/>
          <w:bCs w:val="1"/>
          <w:color w:val="auto"/>
        </w:rPr>
        <w:t>Insurance by Security Agent</w:t>
      </w:r>
    </w:p>
    <w:p>
      <w:pPr>
        <w:spacing w:after="0" w:line="229" w:lineRule="exact"/>
        <w:rPr>
          <w:sz w:val="20"/>
          <w:szCs w:val="20"/>
          <w:color w:val="auto"/>
        </w:rPr>
      </w:pPr>
    </w:p>
    <w:p>
      <w:pPr>
        <w:ind w:left="1300" w:hanging="644"/>
        <w:spacing w:after="0"/>
        <w:tabs>
          <w:tab w:leader="none" w:pos="130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not be obliged: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insure any of the Charged Property;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any other person to maintain any insurance;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any obligation to arrange or maintain insurance contained in any Finance Document,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the Security Agent shall not be liable for any damages, costs or losses to any person as a result of the lack of, or inadequacy of, any such insurance.</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Agent requests it to do so in writing and the Security Agent fails to do so within fourteen days after receipt of that request.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35.4</w:t>
      </w:r>
      <w:r>
        <w:rPr>
          <w:sz w:val="20"/>
          <w:szCs w:val="20"/>
          <w:color w:val="auto"/>
        </w:rPr>
        <w:tab/>
      </w:r>
      <w:r>
        <w:rPr>
          <w:rFonts w:ascii="Times New Roman" w:cs="Times New Roman" w:eastAsia="Times New Roman" w:hAnsi="Times New Roman"/>
          <w:sz w:val="17"/>
          <w:szCs w:val="17"/>
          <w:b w:val="1"/>
          <w:bCs w:val="1"/>
          <w:color w:val="auto"/>
        </w:rPr>
        <w:t>Common parties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Although the Agent and the Security Agent may from time to time be the same entity, that entity will have entered into the Finance Documents (to which it is party) in its separate capacities as agent for the other Finance Parties and (as appropriate) security agent and trustee for all of the other Finance Parties. Where any Finance Document provides for an Agent or Security Agent to communicate with or provide instructions to the other, while they are the same entity, such communication or instructions will not be necessary.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35.5</w:t>
      </w:r>
      <w:r>
        <w:rPr>
          <w:sz w:val="20"/>
          <w:szCs w:val="20"/>
          <w:color w:val="auto"/>
        </w:rPr>
        <w:tab/>
      </w:r>
      <w:r>
        <w:rPr>
          <w:rFonts w:ascii="Times New Roman" w:cs="Times New Roman" w:eastAsia="Times New Roman" w:hAnsi="Times New Roman"/>
          <w:sz w:val="17"/>
          <w:szCs w:val="17"/>
          <w:b w:val="1"/>
          <w:bCs w:val="1"/>
          <w:color w:val="auto"/>
        </w:rPr>
        <w:t>Custodians and nominees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18" w:name="page319"/>
    <w:bookmarkEnd w:id="31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35.6</w:t>
      </w:r>
      <w:r>
        <w:rPr>
          <w:sz w:val="20"/>
          <w:szCs w:val="20"/>
          <w:color w:val="auto"/>
        </w:rPr>
        <w:tab/>
      </w:r>
      <w:r>
        <w:rPr>
          <w:rFonts w:ascii="Times New Roman" w:cs="Times New Roman" w:eastAsia="Times New Roman" w:hAnsi="Times New Roman"/>
          <w:sz w:val="17"/>
          <w:szCs w:val="17"/>
          <w:b w:val="1"/>
          <w:bCs w:val="1"/>
          <w:color w:val="auto"/>
        </w:rPr>
        <w:t>Delegation by the Security Agent</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Finance Parties.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Agent, Receiver or Delegate shall be bound to supervise, or be in any way responsible for any damages, costs or losses incurred by reason of any misconduct, omission or default on the part of, any such delegate or sub-delegate.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35.7</w:t>
      </w:r>
      <w:r>
        <w:rPr>
          <w:sz w:val="20"/>
          <w:szCs w:val="20"/>
          <w:color w:val="auto"/>
        </w:rPr>
        <w:tab/>
      </w:r>
      <w:r>
        <w:rPr>
          <w:rFonts w:ascii="Times New Roman" w:cs="Times New Roman" w:eastAsia="Times New Roman" w:hAnsi="Times New Roman"/>
          <w:sz w:val="17"/>
          <w:szCs w:val="17"/>
          <w:b w:val="1"/>
          <w:bCs w:val="1"/>
          <w:color w:val="auto"/>
        </w:rPr>
        <w:t>Additional trustees</w:t>
      </w:r>
    </w:p>
    <w:p>
      <w:pPr>
        <w:spacing w:after="0" w:line="229" w:lineRule="exact"/>
        <w:rPr>
          <w:sz w:val="20"/>
          <w:szCs w:val="20"/>
          <w:color w:val="auto"/>
        </w:rPr>
      </w:pPr>
    </w:p>
    <w:p>
      <w:pPr>
        <w:ind w:left="1300" w:hanging="644"/>
        <w:spacing w:after="0" w:line="282" w:lineRule="auto"/>
        <w:tabs>
          <w:tab w:leader="none" w:pos="130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have power by notice in writing to the other Finance Parties and the Borrower to appoint (and subsequently remove) any person to act as a separate trustee or as a co-trustee jointly with it: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considers that appointment to be in the interests of the Finance Parties;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conforming to any legal requirement, restriction or condition which the Security Agent deems to be relevant;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obtaining or enforcing any judgment in any jurisdiction,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Security Agent shall give prior notice to the Borrower and the Finance Parties of that appointment.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Security Agent, the other Parties shall forthwith execute all such documents and do all such things as may be required to perfect such appointment or removal and each such Party irrevocably authorises the Security Agent in its name and on its behalf to do the same.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 person shall accede to this Agreement as a Security Agent to the extent necessary to carry out their role on terms satisfactory to the Security Agent.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82" w:lineRule="auto"/>
        <w:tabs>
          <w:tab w:leader="none" w:pos="13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shall not be bound to supervise, or be responsible for any loss incurred by reason of any act or omission of, any such person if the Security Agent shall have exercised reasonable care in the selection of such person.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35.8</w:t>
      </w:r>
      <w:r>
        <w:rPr>
          <w:sz w:val="20"/>
          <w:szCs w:val="20"/>
          <w:color w:val="auto"/>
        </w:rPr>
        <w:tab/>
      </w:r>
      <w:r>
        <w:rPr>
          <w:rFonts w:ascii="Times New Roman" w:cs="Times New Roman" w:eastAsia="Times New Roman" w:hAnsi="Times New Roman"/>
          <w:sz w:val="18"/>
          <w:szCs w:val="18"/>
          <w:b w:val="1"/>
          <w:bCs w:val="1"/>
          <w:color w:val="auto"/>
        </w:rPr>
        <w:t>Acceptance of title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19" w:name="page320"/>
    <w:bookmarkEnd w:id="31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35.9</w:t>
      </w:r>
      <w:r>
        <w:rPr>
          <w:sz w:val="20"/>
          <w:szCs w:val="20"/>
          <w:color w:val="auto"/>
        </w:rPr>
        <w:tab/>
      </w:r>
      <w:r>
        <w:rPr>
          <w:rFonts w:ascii="Times New Roman" w:cs="Times New Roman" w:eastAsia="Times New Roman" w:hAnsi="Times New Roman"/>
          <w:sz w:val="17"/>
          <w:szCs w:val="17"/>
          <w:b w:val="1"/>
          <w:bCs w:val="1"/>
          <w:color w:val="auto"/>
        </w:rPr>
        <w:t>Non-recognition of trust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agreed by all the parties to this Agreement that:</w:t>
      </w:r>
    </w:p>
    <w:p>
      <w:pPr>
        <w:spacing w:after="0" w:line="225" w:lineRule="exact"/>
        <w:rPr>
          <w:sz w:val="20"/>
          <w:szCs w:val="20"/>
          <w:color w:val="auto"/>
        </w:rPr>
      </w:pPr>
    </w:p>
    <w:p>
      <w:pPr>
        <w:jc w:val="both"/>
        <w:ind w:left="1360" w:hanging="704"/>
        <w:spacing w:after="0" w:line="261" w:lineRule="auto"/>
        <w:tabs>
          <w:tab w:leader="none" w:pos="136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jurisdiction the courts of which would not recognise or give effect to the trusts expressed to be constituted by this clause 35,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79" w:lineRule="exact"/>
        <w:rPr>
          <w:rFonts w:ascii="Times New Roman" w:cs="Times New Roman" w:eastAsia="Times New Roman" w:hAnsi="Times New Roman"/>
          <w:sz w:val="18"/>
          <w:szCs w:val="18"/>
          <w:color w:val="auto"/>
        </w:rPr>
      </w:pPr>
    </w:p>
    <w:p>
      <w:pPr>
        <w:jc w:val="both"/>
        <w:ind w:left="1360" w:hanging="704"/>
        <w:spacing w:after="0" w:line="256" w:lineRule="auto"/>
        <w:tabs>
          <w:tab w:leader="none" w:pos="136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clause 35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35.10</w:t>
      </w:r>
      <w:r>
        <w:rPr>
          <w:sz w:val="20"/>
          <w:szCs w:val="20"/>
          <w:color w:val="auto"/>
        </w:rPr>
        <w:tab/>
      </w:r>
      <w:r>
        <w:rPr>
          <w:rFonts w:ascii="Times New Roman" w:cs="Times New Roman" w:eastAsia="Times New Roman" w:hAnsi="Times New Roman"/>
          <w:sz w:val="17"/>
          <w:szCs w:val="17"/>
          <w:b w:val="1"/>
          <w:bCs w:val="1"/>
          <w:color w:val="auto"/>
        </w:rPr>
        <w:t>Winding up of trust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Security Agent, with the approval of the Agent, determines that:</w:t>
      </w:r>
    </w:p>
    <w:p>
      <w:pPr>
        <w:spacing w:after="0" w:line="225" w:lineRule="exact"/>
        <w:rPr>
          <w:sz w:val="20"/>
          <w:szCs w:val="20"/>
          <w:color w:val="auto"/>
        </w:rPr>
      </w:pPr>
    </w:p>
    <w:p>
      <w:pPr>
        <w:ind w:left="1300" w:hanging="644"/>
        <w:spacing w:after="0" w:line="282" w:lineRule="auto"/>
        <w:tabs>
          <w:tab w:leader="none" w:pos="130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Secured Obligations and all other obligations secured by the Security Documents have been fully and finally discharged;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Finance Party is under any commitment, obligation or liability (actual or contingent) to make advances or provide other financial accommodation to any Obligor pursuant to the Finance Documents,</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73"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Security Agent which has resigned pursuant to clause 34.16 </w:t>
      </w:r>
      <w:r>
        <w:rPr>
          <w:rFonts w:ascii="Times New Roman" w:cs="Times New Roman" w:eastAsia="Times New Roman" w:hAnsi="Times New Roman"/>
          <w:sz w:val="18"/>
          <w:szCs w:val="18"/>
          <w:i w:val="1"/>
          <w:iCs w:val="1"/>
          <w:color w:val="auto"/>
        </w:rPr>
        <w:t>(Resignation of the Agent or the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shall release, without recourse or warranty, all of its rights under each Security Document.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35.11</w:t>
      </w:r>
      <w:r>
        <w:rPr>
          <w:sz w:val="20"/>
          <w:szCs w:val="20"/>
          <w:color w:val="auto"/>
        </w:rPr>
        <w:tab/>
      </w:r>
      <w:r>
        <w:rPr>
          <w:rFonts w:ascii="Times New Roman" w:cs="Times New Roman" w:eastAsia="Times New Roman" w:hAnsi="Times New Roman"/>
          <w:sz w:val="17"/>
          <w:szCs w:val="17"/>
          <w:b w:val="1"/>
          <w:bCs w:val="1"/>
          <w:color w:val="auto"/>
        </w:rPr>
        <w:t>Powers supplemental to Trustee Acts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35.12</w:t>
      </w:r>
      <w:r>
        <w:rPr>
          <w:sz w:val="20"/>
          <w:szCs w:val="20"/>
          <w:color w:val="auto"/>
        </w:rPr>
        <w:tab/>
      </w:r>
      <w:r>
        <w:rPr>
          <w:rFonts w:ascii="Times New Roman" w:cs="Times New Roman" w:eastAsia="Times New Roman" w:hAnsi="Times New Roman"/>
          <w:sz w:val="17"/>
          <w:szCs w:val="17"/>
          <w:b w:val="1"/>
          <w:bCs w:val="1"/>
          <w:color w:val="auto"/>
        </w:rPr>
        <w:t>Disapplication of Trustee Acts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0" w:name="page321"/>
    <w:bookmarkEnd w:id="320"/>
    <w:p>
      <w:pPr>
        <w:ind w:right="6420" w:firstLine="8"/>
        <w:spacing w:after="0" w:line="503" w:lineRule="auto"/>
        <w:tabs>
          <w:tab w:leader="none" w:pos="648"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Transaction Security 36.1 Enforcement Instructions</w:t>
      </w:r>
    </w:p>
    <w:p>
      <w:pPr>
        <w:ind w:left="1300" w:hanging="644"/>
        <w:spacing w:after="0" w:line="282" w:lineRule="auto"/>
        <w:tabs>
          <w:tab w:leader="none" w:pos="1300"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may refrain from enforcing the Transaction Security unless instructed otherwise by Majority Lenders.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Transaction Security having become enforceable in accordance with its terms, the Majority Lenders may give or refrain from giving instructions to the Security Agent to enforce or refrain from enforcing the Transaction Security as they see fit.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is entitled to rely on and comply with instructions given in accordance with this clause 36.1.</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36.2</w:t>
      </w:r>
      <w:r>
        <w:rPr>
          <w:sz w:val="20"/>
          <w:szCs w:val="20"/>
          <w:color w:val="auto"/>
        </w:rPr>
        <w:tab/>
      </w:r>
      <w:r>
        <w:rPr>
          <w:rFonts w:ascii="Times New Roman" w:cs="Times New Roman" w:eastAsia="Times New Roman" w:hAnsi="Times New Roman"/>
          <w:sz w:val="18"/>
          <w:szCs w:val="18"/>
          <w:b w:val="1"/>
          <w:bCs w:val="1"/>
          <w:color w:val="auto"/>
        </w:rPr>
        <w:t>Manner of enforcement</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If the Transaction Security is being enforced pursuant to clause 36.1 </w:t>
      </w:r>
      <w:r>
        <w:rPr>
          <w:rFonts w:ascii="Times New Roman" w:cs="Times New Roman" w:eastAsia="Times New Roman" w:hAnsi="Times New Roman"/>
          <w:sz w:val="18"/>
          <w:szCs w:val="18"/>
          <w:i w:val="1"/>
          <w:iCs w:val="1"/>
          <w:color w:val="auto"/>
        </w:rPr>
        <w:t>(Enforcement Instructions)</w:t>
      </w:r>
      <w:r>
        <w:rPr>
          <w:rFonts w:ascii="Times New Roman" w:cs="Times New Roman" w:eastAsia="Times New Roman" w:hAnsi="Times New Roman"/>
          <w:sz w:val="18"/>
          <w:szCs w:val="18"/>
          <w:color w:val="auto"/>
        </w:rPr>
        <w:t>, the Security Agent shall enforce the Transaction Security in such manner as the Majority Lenders shall instruct or, in the absence of any such instructions, as the Security Agent considers in its discretion to be appropriate.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36.3</w:t>
      </w:r>
      <w:r>
        <w:rPr>
          <w:sz w:val="20"/>
          <w:szCs w:val="20"/>
          <w:color w:val="auto"/>
        </w:rPr>
        <w:tab/>
      </w:r>
      <w:r>
        <w:rPr>
          <w:rFonts w:ascii="Times New Roman" w:cs="Times New Roman" w:eastAsia="Times New Roman" w:hAnsi="Times New Roman"/>
          <w:sz w:val="17"/>
          <w:szCs w:val="17"/>
          <w:b w:val="1"/>
          <w:bCs w:val="1"/>
          <w:color w:val="auto"/>
        </w:rPr>
        <w:t>Waiver of rights</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To the extent permitted under applicable law and subject to clause 36.1 </w:t>
      </w:r>
      <w:r>
        <w:rPr>
          <w:rFonts w:ascii="Times New Roman" w:cs="Times New Roman" w:eastAsia="Times New Roman" w:hAnsi="Times New Roman"/>
          <w:sz w:val="18"/>
          <w:szCs w:val="18"/>
          <w:i w:val="1"/>
          <w:iCs w:val="1"/>
          <w:color w:val="auto"/>
        </w:rPr>
        <w:t>(Enforcement Instructions)</w:t>
      </w:r>
      <w:r>
        <w:rPr>
          <w:rFonts w:ascii="Times New Roman" w:cs="Times New Roman" w:eastAsia="Times New Roman" w:hAnsi="Times New Roman"/>
          <w:sz w:val="18"/>
          <w:szCs w:val="18"/>
          <w:color w:val="auto"/>
        </w:rPr>
        <w:t xml:space="preserve">, clause 36.2 </w:t>
      </w:r>
      <w:r>
        <w:rPr>
          <w:rFonts w:ascii="Times New Roman" w:cs="Times New Roman" w:eastAsia="Times New Roman" w:hAnsi="Times New Roman"/>
          <w:sz w:val="18"/>
          <w:szCs w:val="18"/>
          <w:i w:val="1"/>
          <w:iCs w:val="1"/>
          <w:color w:val="auto"/>
        </w:rPr>
        <w:t>(Manner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enforcement) </w:t>
      </w:r>
      <w:r>
        <w:rPr>
          <w:rFonts w:ascii="Times New Roman" w:cs="Times New Roman" w:eastAsia="Times New Roman" w:hAnsi="Times New Roman"/>
          <w:sz w:val="18"/>
          <w:szCs w:val="18"/>
          <w:color w:val="auto"/>
        </w:rPr>
        <w:t>and clause 37</w:t>
      </w:r>
      <w:r>
        <w:rPr>
          <w:rFonts w:ascii="Times New Roman" w:cs="Times New Roman" w:eastAsia="Times New Roman" w:hAnsi="Times New Roman"/>
          <w:sz w:val="18"/>
          <w:szCs w:val="18"/>
          <w:i w:val="1"/>
          <w:iCs w:val="1"/>
          <w:color w:val="auto"/>
        </w:rPr>
        <w:t xml:space="preserve"> (Application of Proceeds)</w:t>
      </w:r>
      <w:r>
        <w:rPr>
          <w:rFonts w:ascii="Times New Roman" w:cs="Times New Roman" w:eastAsia="Times New Roman" w:hAnsi="Times New Roman"/>
          <w:sz w:val="18"/>
          <w:szCs w:val="18"/>
          <w:color w:val="auto"/>
        </w:rPr>
        <w:t>, each of the Finance Parties and the Obligors waives all rights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have to require that the Transaction Security be enforced in any particular order or manner or at any particular time or that any amount received or recovered from any person, or by virtue of the enforcement of any of the Transaction Security or of any other Security Interest, which is capable of being applied in or towards discharge of any of the Secured Obligations is so applied.</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36.4</w:t>
      </w:r>
      <w:r>
        <w:rPr>
          <w:sz w:val="20"/>
          <w:szCs w:val="20"/>
          <w:color w:val="auto"/>
        </w:rPr>
        <w:tab/>
      </w:r>
      <w:r>
        <w:rPr>
          <w:rFonts w:ascii="Times New Roman" w:cs="Times New Roman" w:eastAsia="Times New Roman" w:hAnsi="Times New Roman"/>
          <w:sz w:val="17"/>
          <w:szCs w:val="17"/>
          <w:b w:val="1"/>
          <w:bCs w:val="1"/>
          <w:color w:val="auto"/>
        </w:rPr>
        <w:t>Enforcement through Security Agent only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Finance Parties shall not have any independent power to enforce, or have recourse to, any of the Transaction Security or to exercise any right, power, authority or discretion arising or to grant any consents or releases under the Security Documents except through the Security Agent or as required and permitted by this clause 36.4.</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Party (other than the Security Agent) is a party to a Security Document that Finance Party shall:</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take such action as the Security Agent may reasonably require (acting on the instructions of the Agent) to enforce, or have recourse to, any of the Transaction Security constituted by such Security Document or, for such purposes, to exercise any right, power, authority or discretion arising or to grant any consents or releases under such Security Document or (subject to clause 46.4 </w:t>
      </w:r>
      <w:r>
        <w:rPr>
          <w:rFonts w:ascii="Times New Roman" w:cs="Times New Roman" w:eastAsia="Times New Roman" w:hAnsi="Times New Roman"/>
          <w:sz w:val="18"/>
          <w:szCs w:val="18"/>
          <w:i w:val="1"/>
          <w:iCs w:val="1"/>
          <w:color w:val="auto"/>
        </w:rPr>
        <w:t>(Releases)</w:t>
      </w:r>
      <w:r>
        <w:rPr>
          <w:rFonts w:ascii="Times New Roman" w:cs="Times New Roman" w:eastAsia="Times New Roman" w:hAnsi="Times New Roman"/>
          <w:sz w:val="18"/>
          <w:szCs w:val="18"/>
          <w:color w:val="auto"/>
        </w:rPr>
        <w:t>) to release, reassign and/or discharge any such Transaction Security or any guarantee or other obligations under any such Security Document; and</w:t>
      </w:r>
    </w:p>
    <w:p>
      <w:pPr>
        <w:spacing w:after="0" w:line="187"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such action except as so required or (in the case of a release) for a release which is expressly permitted or required by the Finance Documents.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(other than the Security Agent) which is party to a Security Document shall, promptly upon being requested by the Security Agent (acting on the instructions of the Agent) to do so, grant a power of attorney or other sufficient authority to the Security Agent or its legal advisers to enable the Security Agent or such legal advisers to enforce or have recourse in the name of such Finance Party to the relevant Transaction Security constituted by such Security Document or to exercise any such right, power, authority or discretion or to grant any such consent or release under such Security Document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1" w:name="page322"/>
    <w:bookmarkEnd w:id="321"/>
    <w:p>
      <w:pPr>
        <w:ind w:left="1300"/>
        <w:spacing w:after="0"/>
        <w:rPr>
          <w:sz w:val="20"/>
          <w:szCs w:val="20"/>
          <w:color w:val="auto"/>
        </w:rPr>
      </w:pPr>
      <w:r>
        <w:rPr>
          <w:rFonts w:ascii="Times New Roman" w:cs="Times New Roman" w:eastAsia="Times New Roman" w:hAnsi="Times New Roman"/>
          <w:sz w:val="18"/>
          <w:szCs w:val="18"/>
          <w:color w:val="auto"/>
        </w:rPr>
        <w:t>release, reassign and/or discharge any such Transaction Security on behalf of such Finance Party.</w:t>
      </w:r>
    </w:p>
    <w:p>
      <w:pPr>
        <w:spacing w:after="0" w:line="225" w:lineRule="exact"/>
        <w:rPr>
          <w:sz w:val="20"/>
          <w:szCs w:val="20"/>
          <w:color w:val="auto"/>
        </w:rPr>
      </w:pPr>
    </w:p>
    <w:p>
      <w:pPr>
        <w:ind w:left="1300" w:right="20" w:hanging="644"/>
        <w:spacing w:after="0" w:line="282" w:lineRule="auto"/>
        <w:tabs>
          <w:tab w:leader="none" w:pos="130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close-out netting, payment netting, cross-agreement netting or set-off by any Hedging Provider under, and in accordance with the terms of, any Hedging Contract shall not be restricted by this clause 36.4.</w:t>
      </w:r>
    </w:p>
    <w:p>
      <w:pPr>
        <w:spacing w:after="0" w:line="158" w:lineRule="exact"/>
        <w:rPr>
          <w:sz w:val="20"/>
          <w:szCs w:val="20"/>
          <w:color w:val="auto"/>
        </w:rPr>
      </w:pPr>
    </w:p>
    <w:p>
      <w:pPr>
        <w:ind w:right="7440" w:firstLine="8"/>
        <w:spacing w:after="0" w:line="503" w:lineRule="auto"/>
        <w:tabs>
          <w:tab w:leader="none" w:pos="648"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proceeds 37.1 Order of application</w:t>
      </w: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All amounts from time to time received or recovered by the Security Agent pursuant to the terms of any Finance Document or in connection with the realisation or enforcement of all or any part of the Transaction Security (for the purposes of this clause 37, the </w:t>
      </w: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shall be held by the Security Agent on trust to apply them at any time as the Security Agent (in its discretion) sees fit, to the extent permitted by applicable law (and subject to the provisions of this clause 37), in the following order of priority:</w:t>
      </w:r>
    </w:p>
    <w:p>
      <w:pPr>
        <w:spacing w:after="0" w:line="181" w:lineRule="exact"/>
        <w:rPr>
          <w:sz w:val="20"/>
          <w:szCs w:val="20"/>
          <w:color w:val="auto"/>
        </w:rPr>
      </w:pPr>
    </w:p>
    <w:p>
      <w:pPr>
        <w:ind w:left="1300" w:right="20" w:hanging="644"/>
        <w:spacing w:after="0" w:line="284" w:lineRule="auto"/>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discharging any sums owing to the Security Agent (other than pursuant to clause 35.1 </w:t>
      </w:r>
      <w:r>
        <w:rPr>
          <w:rFonts w:ascii="Times New Roman" w:cs="Times New Roman" w:eastAsia="Times New Roman" w:hAnsi="Times New Roman"/>
          <w:sz w:val="18"/>
          <w:szCs w:val="18"/>
          <w:i w:val="1"/>
          <w:iCs w:val="1"/>
          <w:color w:val="auto"/>
        </w:rPr>
        <w:t>(Undertaking to pay)</w:t>
      </w:r>
      <w:r>
        <w:rPr>
          <w:rFonts w:ascii="Times New Roman" w:cs="Times New Roman" w:eastAsia="Times New Roman" w:hAnsi="Times New Roman"/>
          <w:sz w:val="18"/>
          <w:szCs w:val="18"/>
          <w:color w:val="auto"/>
        </w:rPr>
        <w:t>), any Receiver or any Delegate;</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discharging all costs and expenses incurred by any Finance Party in connection with any realisation or enforcement of the Transaction Security taken in accordance with the terms of this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payment or distribution to the Agent on its own behalf and on behalf of the other Finance Parties for application in accordance with clause 40.6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Obligors is under any further actual or contingent liability under any Finance Document, in payment or distribution to any person to whom the Security Agent is obliged to pay or distribute in priority to any Obligor;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if any, in payment or distribution to the relevant Obligor.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7"/>
          <w:szCs w:val="17"/>
          <w:b w:val="1"/>
          <w:bCs w:val="1"/>
          <w:color w:val="auto"/>
        </w:rPr>
        <w:t>Security proceeds realised by other Finance Parties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Where a Finance Party (other than the Security Agent) is a party to a Security Document and that Finance Party receives or recovers any amounts pursuant to the terms of that Security Document or in connection with the realisation or enforcement of all or any part of the Transaction Security which is the subject of that Security Document then, subject to the terms of that Security Document and to the extent permitted by applicable law, such Finance Party shall account to the Security Agent for those amounts and the Security Agent shall apply them in accordance with clause 37.1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 xml:space="preserve"> as if they were Recoveries for the purposes of such clause or (if so directed by the Security Agent) shall apply those amounts in accordance with clause 37.1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7"/>
          <w:szCs w:val="17"/>
          <w:b w:val="1"/>
          <w:bCs w:val="1"/>
          <w:color w:val="auto"/>
        </w:rPr>
        <w:t>Investment of cash proceeds</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 xml:space="preserve">Prior to the application of any Recoveries in accordance with clause 37.1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 xml:space="preserve"> the Security Agent may, in its discretion, hold:</w:t>
      </w:r>
    </w:p>
    <w:p>
      <w:pPr>
        <w:spacing w:after="0" w:line="160" w:lineRule="exact"/>
        <w:rPr>
          <w:sz w:val="20"/>
          <w:szCs w:val="20"/>
          <w:color w:val="auto"/>
        </w:rPr>
      </w:pPr>
    </w:p>
    <w:p>
      <w:pPr>
        <w:ind w:left="1300" w:hanging="644"/>
        <w:spacing w:after="0"/>
        <w:tabs>
          <w:tab w:leader="none" w:pos="130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part of any Recoveries which are in the form of cash;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which is generated by holding, managing, exploiting, collecting, realising or disposing of any proceeds of the Security Property which are not in the form of cash,</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one or more interest bearing suspense or impersonal accounts in the name of the Security Agent with such financial institution (including itself) and for so long as the Security Agent shall think fit (the interest being credited to the relevant account) pending the application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2" w:name="page323"/>
    <w:bookmarkEnd w:id="322"/>
    <w:p>
      <w:pPr>
        <w:ind w:left="660"/>
        <w:spacing w:after="0"/>
        <w:rPr>
          <w:sz w:val="20"/>
          <w:szCs w:val="20"/>
          <w:color w:val="auto"/>
        </w:rPr>
      </w:pPr>
      <w:r>
        <w:rPr>
          <w:rFonts w:ascii="Times New Roman" w:cs="Times New Roman" w:eastAsia="Times New Roman" w:hAnsi="Times New Roman"/>
          <w:sz w:val="18"/>
          <w:szCs w:val="18"/>
          <w:color w:val="auto"/>
        </w:rPr>
        <w:t>time of those moneys in the Security Agent’s discretion in accordance with the provisions of this clause 37.</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7"/>
          <w:szCs w:val="17"/>
          <w:b w:val="1"/>
          <w:bCs w:val="1"/>
          <w:color w:val="auto"/>
        </w:rPr>
        <w:t>Currency conversion</w:t>
      </w:r>
    </w:p>
    <w:p>
      <w:pPr>
        <w:spacing w:after="0" w:line="229" w:lineRule="exact"/>
        <w:rPr>
          <w:sz w:val="20"/>
          <w:szCs w:val="20"/>
          <w:color w:val="auto"/>
        </w:rPr>
      </w:pPr>
    </w:p>
    <w:p>
      <w:pPr>
        <w:ind w:left="1300" w:hanging="644"/>
        <w:spacing w:after="0"/>
        <w:tabs>
          <w:tab w:leader="none" w:pos="130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or pending the discharge of, any of the Secured Obligations the Security Agent may: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moneys received or recovered by the Security Agent from one currency to another;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notionally convert the valuation provided in any opinion or valuation from one currency to another,</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each case at the Security Agent’s spot rate of exchange for the purchase of that other currency with the currency in which the relevant moneys are received or recovered or the valuation is provided in the London foreign exchange market at or about 11:00 am (London time) on a particular day.</w:t>
      </w:r>
    </w:p>
    <w:p>
      <w:pPr>
        <w:spacing w:after="0" w:line="176" w:lineRule="exact"/>
        <w:rPr>
          <w:sz w:val="20"/>
          <w:szCs w:val="20"/>
          <w:color w:val="auto"/>
        </w:rPr>
      </w:pPr>
    </w:p>
    <w:p>
      <w:pPr>
        <w:ind w:left="1300" w:hanging="644"/>
        <w:spacing w:after="0"/>
        <w:tabs>
          <w:tab w:leader="none" w:pos="130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Obligor to pay in the due currency shall only be satisfied: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(a)(i) above, to the extent of the amount of the due currency purchased after deducting the costs of conversion;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(a)(ii) above, to the extent of the amount of the due currency which results from the notional conversion referred to in that paragraph.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8"/>
          <w:szCs w:val="18"/>
          <w:b w:val="1"/>
          <w:bCs w:val="1"/>
          <w:color w:val="auto"/>
        </w:rPr>
        <w:t>Permitted Deductions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Security Agent shall be entitled, in its discretion,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be assessed against it in respect of any of the Charged Property, or as a consequence of performing its duties or exercising its rights, powers, authorities and discretions, or by virtue of its capacity as Security Agent under any of the Finance Documents or otherwise (other than in connection with its remuneration for performing its duties under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7"/>
          <w:szCs w:val="17"/>
          <w:b w:val="1"/>
          <w:bCs w:val="1"/>
          <w:color w:val="auto"/>
        </w:rPr>
        <w:t>Good discharge</w:t>
      </w:r>
    </w:p>
    <w:p>
      <w:pPr>
        <w:spacing w:after="0" w:line="229" w:lineRule="exact"/>
        <w:rPr>
          <w:sz w:val="20"/>
          <w:szCs w:val="20"/>
          <w:color w:val="auto"/>
        </w:rPr>
      </w:pPr>
    </w:p>
    <w:p>
      <w:pPr>
        <w:ind w:left="1300" w:hanging="644"/>
        <w:spacing w:after="0" w:line="282" w:lineRule="auto"/>
        <w:tabs>
          <w:tab w:leader="none" w:pos="130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or payment to be made in respect of the Secured Obligations by the Security Agent may be made to the Agent on behalf of the Finance Parties.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or payment made as described in paragraph (a) above shall be a good discharge, to the extent of that payment or distribution, by the Security Agent to the extent of that payment.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Agent is under no obligation to make the payments to the Agent under paragraph (a) above in the same currency as that in which the Secured Obligations owing to the relevant Finance Party are denominated pursuant to the relevant Finance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7"/>
          <w:szCs w:val="17"/>
          <w:b w:val="1"/>
          <w:bCs w:val="1"/>
          <w:color w:val="auto"/>
        </w:rPr>
        <w:t>Calculation of amounts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 of calculating any person’s share of any amount payable to or by it, the Security Agent shall be entitled to:</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notionally convert the Secured Obligations owed to any person into a common base currency (decided in its discretion by the Security Agent), that notional conversion to be made at the spot rate at which the Security Agent is able to purchase the notional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3" w:name="page324"/>
    <w:bookmarkEnd w:id="323"/>
    <w:p>
      <w:pPr>
        <w:ind w:left="1300"/>
        <w:spacing w:after="0" w:line="282" w:lineRule="auto"/>
        <w:rPr>
          <w:sz w:val="20"/>
          <w:szCs w:val="20"/>
          <w:color w:val="auto"/>
        </w:rPr>
      </w:pPr>
      <w:r>
        <w:rPr>
          <w:rFonts w:ascii="Times New Roman" w:cs="Times New Roman" w:eastAsia="Times New Roman" w:hAnsi="Times New Roman"/>
          <w:sz w:val="18"/>
          <w:szCs w:val="18"/>
          <w:color w:val="auto"/>
        </w:rPr>
        <w:t>currency with the actual currency of the Secured Obligations owed to that person at the time at which that calculation is to be made; and</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all amounts received or recovered as a result of the enforcement or realisation of the Security Property are applied in discharge of the Secured Obligations in accordance with the terms of the Finance Documents under which those Secured Obligations have arisen.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37.8</w:t>
      </w:r>
      <w:r>
        <w:rPr>
          <w:sz w:val="20"/>
          <w:szCs w:val="20"/>
          <w:color w:val="auto"/>
        </w:rPr>
        <w:tab/>
      </w:r>
      <w:r>
        <w:rPr>
          <w:rFonts w:ascii="Times New Roman" w:cs="Times New Roman" w:eastAsia="Times New Roman" w:hAnsi="Times New Roman"/>
          <w:sz w:val="17"/>
          <w:szCs w:val="17"/>
          <w:b w:val="1"/>
          <w:bCs w:val="1"/>
          <w:color w:val="auto"/>
        </w:rPr>
        <w:t>Release to facilitate enforcement and realisation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acknowledges that, for the purpose of any enforcement action by the Security Agent or a Receiver and/or maximising or facilitating the realisation of the Charged Property, it may be desirable that certain rights or claims against an Obligor and/or under certain of the Transaction Security, be released.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Finance Party hereby irrevocably authorises the Security Agent (acting on the instructions of the Agent) to grant any such releases to the extent necessary to effect such enforcement action and/or realisation including, to the extent necessary for such purpose, to execute release documents in the name of and on behalf of the other Finance Parties.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enforcement is by way of disposal of shares in an Owner, the requisite release may include releases of all claims (including under guarantees) of the Finance Parties and/or the Security Agent against such Owner and of all Security Interests over its assets.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37.9</w:t>
      </w:r>
      <w:r>
        <w:rPr>
          <w:sz w:val="20"/>
          <w:szCs w:val="20"/>
          <w:color w:val="auto"/>
        </w:rPr>
        <w:tab/>
      </w:r>
      <w:r>
        <w:rPr>
          <w:rFonts w:ascii="Times New Roman" w:cs="Times New Roman" w:eastAsia="Times New Roman" w:hAnsi="Times New Roman"/>
          <w:sz w:val="18"/>
          <w:szCs w:val="18"/>
          <w:b w:val="1"/>
          <w:bCs w:val="1"/>
          <w:color w:val="auto"/>
        </w:rPr>
        <w:t>Dealings with Security Agent</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 xml:space="preserve">Subject to clause 42.5 </w:t>
      </w:r>
      <w:r>
        <w:rPr>
          <w:rFonts w:ascii="Times New Roman" w:cs="Times New Roman" w:eastAsia="Times New Roman" w:hAnsi="Times New Roman"/>
          <w:sz w:val="18"/>
          <w:szCs w:val="18"/>
          <w:i w:val="1"/>
          <w:iCs w:val="1"/>
          <w:color w:val="auto"/>
        </w:rPr>
        <w:t>(Communication when Agent is Impaired Agent)</w:t>
      </w:r>
      <w:r>
        <w:rPr>
          <w:rFonts w:ascii="Times New Roman" w:cs="Times New Roman" w:eastAsia="Times New Roman" w:hAnsi="Times New Roman"/>
          <w:sz w:val="18"/>
          <w:szCs w:val="18"/>
          <w:color w:val="auto"/>
        </w:rPr>
        <w:t>, each Finance Party shall deal with the Security Agent exclusively through the Agent.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37.10</w:t>
      </w:r>
      <w:r>
        <w:rPr>
          <w:sz w:val="20"/>
          <w:szCs w:val="20"/>
          <w:color w:val="auto"/>
        </w:rPr>
        <w:tab/>
      </w:r>
      <w:r>
        <w:rPr>
          <w:rFonts w:ascii="Times New Roman" w:cs="Times New Roman" w:eastAsia="Times New Roman" w:hAnsi="Times New Roman"/>
          <w:sz w:val="17"/>
          <w:szCs w:val="17"/>
          <w:b w:val="1"/>
          <w:bCs w:val="1"/>
          <w:color w:val="auto"/>
        </w:rPr>
        <w:t>Agent’s dealings with Hedging Provider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Agent shall not be under any obligation to act as agent or otherwise on behalf of any Hedging Provider except as expressly provided for in, and for the purposes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37.11</w:t>
      </w:r>
      <w:r>
        <w:rPr>
          <w:sz w:val="20"/>
          <w:szCs w:val="20"/>
          <w:color w:val="auto"/>
        </w:rPr>
        <w:tab/>
      </w:r>
      <w:r>
        <w:rPr>
          <w:rFonts w:ascii="Times New Roman" w:cs="Times New Roman" w:eastAsia="Times New Roman" w:hAnsi="Times New Roman"/>
          <w:sz w:val="17"/>
          <w:szCs w:val="17"/>
          <w:b w:val="1"/>
          <w:bCs w:val="1"/>
          <w:color w:val="auto"/>
        </w:rPr>
        <w:t>Disclosure between Finance Parties and Security Agent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any agreement to the contrary, each of the Obligors consents, until the end of the Facility Period, to the disclosure by any Finance Party to each other (whether or not through the Agent or the Security Agent) of such information concerning the Obligors as any Finance Party shall see fit.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37.12</w:t>
      </w:r>
      <w:r>
        <w:rPr>
          <w:sz w:val="20"/>
          <w:szCs w:val="20"/>
          <w:color w:val="auto"/>
        </w:rPr>
        <w:tab/>
      </w:r>
      <w:r>
        <w:rPr>
          <w:rFonts w:ascii="Times New Roman" w:cs="Times New Roman" w:eastAsia="Times New Roman" w:hAnsi="Times New Roman"/>
          <w:sz w:val="17"/>
          <w:szCs w:val="17"/>
          <w:b w:val="1"/>
          <w:bCs w:val="1"/>
          <w:color w:val="auto"/>
        </w:rPr>
        <w:t>Notification of prescribed events</w:t>
      </w:r>
    </w:p>
    <w:p>
      <w:pPr>
        <w:spacing w:after="0" w:line="229" w:lineRule="exact"/>
        <w:rPr>
          <w:sz w:val="20"/>
          <w:szCs w:val="20"/>
          <w:color w:val="auto"/>
        </w:rPr>
      </w:pPr>
    </w:p>
    <w:p>
      <w:pPr>
        <w:ind w:left="1300" w:hanging="644"/>
        <w:spacing w:after="0" w:line="282" w:lineRule="auto"/>
        <w:tabs>
          <w:tab w:leader="none" w:pos="13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or Default either occurs or ceases to be continuing, the Agent shall, upon becoming aware of that occurrence or cessation, notify the Security Agent.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 Agent enforces, or takes formal steps to enforce, any of the Transaction Security it shall notify each other Finance Party of that action.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Finance Party exercises any right it may have to enforce, or to take formal steps to enforce, any of the Transaction Security it shall notify the Security Agent and the Security Agent shall, upon receiving that notification, notify each other Finance Party of that action.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defaults on any payment due under a Hedging Contract, the Hedging Provider which is party to that Hedging Contract shall, upon becoming aware of that default, notify the Security Agent and the Security Agent shall, upon receiving that notification, notify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4" w:name="page325"/>
    <w:bookmarkEnd w:id="324"/>
    <w:p>
      <w:pPr>
        <w:jc w:val="both"/>
        <w:ind w:left="1300" w:hanging="644"/>
        <w:spacing w:after="0" w:line="266" w:lineRule="auto"/>
        <w:tabs>
          <w:tab w:leader="none" w:pos="130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Hedging Provider terminates or closes-out, in whole or in part, any Hedging Transaction under any Hedging Contract it shall notify the Security Agent and the Security Agent shall, upon receiving that notification, notify the Agent.</w:t>
      </w:r>
    </w:p>
    <w:p>
      <w:pPr>
        <w:spacing w:after="0" w:line="172" w:lineRule="exact"/>
        <w:rPr>
          <w:sz w:val="20"/>
          <w:szCs w:val="20"/>
          <w:color w:val="auto"/>
        </w:rPr>
      </w:pPr>
    </w:p>
    <w:p>
      <w:pPr>
        <w:ind w:right="5960" w:firstLine="8"/>
        <w:spacing w:after="0" w:line="503" w:lineRule="auto"/>
        <w:tabs>
          <w:tab w:leader="none" w:pos="648"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business by the Finance Parties 38.1 Finance Parties tax affairs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Agreement will:</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7"/>
          <w:szCs w:val="17"/>
          <w:b w:val="1"/>
          <w:bCs w:val="1"/>
          <w:color w:val="auto"/>
        </w:rPr>
        <w:t>Finance Parties acting together</w:t>
      </w:r>
    </w:p>
    <w:p>
      <w:pPr>
        <w:spacing w:after="0" w:line="227" w:lineRule="exact"/>
        <w:rPr>
          <w:sz w:val="20"/>
          <w:szCs w:val="20"/>
          <w:color w:val="auto"/>
        </w:rPr>
      </w:pPr>
    </w:p>
    <w:p>
      <w:pPr>
        <w:jc w:val="both"/>
        <w:ind w:left="1300" w:hanging="644"/>
        <w:spacing w:after="0" w:line="256" w:lineRule="auto"/>
        <w:tabs>
          <w:tab w:leader="none" w:pos="130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clause 2.2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xml:space="preserve">, if the Agent makes a declaration under clause 30.23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xml:space="preserve"> or notifies the other Finance Parties that it considers it is entitled to make such a declaration, the Agent shall, in the names of all the Finance Parties, take such action on behalf of the Finance Parties and conduct such negotiations with the Borrower and any Group Members and generally administer the Facility in accordance with the wishes of the Majority Lenders. All the Finance Parties shall be bound by the provisions of this clause and no Finance Party shall take action independently against any Obligor or any of its assets without the prior consent of the Majority Lenders.</w:t>
      </w:r>
    </w:p>
    <w:p>
      <w:pPr>
        <w:spacing w:after="0" w:line="182"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paragraph shall not override clause 34 (</w:t>
      </w:r>
      <w:r>
        <w:rPr>
          <w:rFonts w:ascii="Times New Roman" w:cs="Times New Roman" w:eastAsia="Times New Roman" w:hAnsi="Times New Roman"/>
          <w:sz w:val="18"/>
          <w:szCs w:val="18"/>
          <w:i w:val="1"/>
          <w:iCs w:val="1"/>
          <w:color w:val="auto"/>
        </w:rPr>
        <w:t>Roles of Agent, Security Agent and Arranger</w:t>
      </w:r>
      <w:r>
        <w:rPr>
          <w:rFonts w:ascii="Times New Roman" w:cs="Times New Roman" w:eastAsia="Times New Roman" w:hAnsi="Times New Roman"/>
          <w:sz w:val="18"/>
          <w:szCs w:val="18"/>
          <w:color w:val="auto"/>
        </w:rPr>
        <w:t>) as it applies to the Security Agent.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7"/>
          <w:szCs w:val="17"/>
          <w:b w:val="1"/>
          <w:bCs w:val="1"/>
          <w:color w:val="auto"/>
        </w:rPr>
        <w:t>Majority Lenders</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Finance Document provides for any matter to be determined by reference to the opinion of, or to be subject to the consent, approval or request of, the Majority Lenders or for any action to be taken on the instructions of the Majority Lenders (a majority decision),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38.4</w:t>
      </w:r>
      <w:r>
        <w:rPr>
          <w:sz w:val="20"/>
          <w:szCs w:val="20"/>
          <w:color w:val="auto"/>
        </w:rPr>
        <w:tab/>
      </w:r>
      <w:r>
        <w:rPr>
          <w:rFonts w:ascii="Times New Roman" w:cs="Times New Roman" w:eastAsia="Times New Roman" w:hAnsi="Times New Roman"/>
          <w:sz w:val="17"/>
          <w:szCs w:val="17"/>
          <w:b w:val="1"/>
          <w:bCs w:val="1"/>
          <w:color w:val="auto"/>
        </w:rPr>
        <w:t>Conflicts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acknowledges that any Arranger and its parent undertaking, subsidiary undertakings and fellow subsidiary undertakings (together an </w:t>
      </w:r>
      <w:r>
        <w:rPr>
          <w:rFonts w:ascii="Times New Roman" w:cs="Times New Roman" w:eastAsia="Times New Roman" w:hAnsi="Times New Roman"/>
          <w:sz w:val="18"/>
          <w:szCs w:val="18"/>
          <w:b w:val="1"/>
          <w:bCs w:val="1"/>
          <w:color w:val="auto"/>
        </w:rPr>
        <w:t>Arranger Group</w:t>
      </w:r>
      <w:r>
        <w:rPr>
          <w:rFonts w:ascii="Times New Roman" w:cs="Times New Roman" w:eastAsia="Times New Roman" w:hAnsi="Times New Roman"/>
          <w:sz w:val="18"/>
          <w:szCs w:val="18"/>
          <w:color w:val="auto"/>
        </w:rPr>
        <w:t>) may be providing debt finance, equity capital or other services (including financial advisory services) to other persons with which the Borrower may have conflicting interests in respect of the Facility or otherwise.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25" w:name="page326"/>
    <w:bookmarkEnd w:id="325"/>
    <w:p>
      <w:pPr>
        <w:ind w:left="1300"/>
        <w:spacing w:after="0" w:line="282" w:lineRule="auto"/>
        <w:rPr>
          <w:sz w:val="20"/>
          <w:szCs w:val="20"/>
          <w:color w:val="auto"/>
        </w:rPr>
      </w:pPr>
      <w:r>
        <w:rPr>
          <w:rFonts w:ascii="Times New Roman" w:cs="Times New Roman" w:eastAsia="Times New Roman" w:hAnsi="Times New Roman"/>
          <w:sz w:val="18"/>
          <w:szCs w:val="18"/>
          <w:color w:val="auto"/>
        </w:rPr>
        <w:t>The Borrower also acknowledges that no member of an Arranger Group has any obligation to use or furnish to any Obligor information obtained from other persons for their benefit.</w:t>
      </w:r>
    </w:p>
    <w:p>
      <w:pPr>
        <w:spacing w:after="0" w:line="158" w:lineRule="exact"/>
        <w:rPr>
          <w:sz w:val="20"/>
          <w:szCs w:val="20"/>
          <w:color w:val="auto"/>
        </w:rPr>
      </w:pPr>
    </w:p>
    <w:p>
      <w:pPr>
        <w:ind w:left="1300" w:hanging="644"/>
        <w:spacing w:after="0" w:line="286" w:lineRule="auto"/>
        <w:tabs>
          <w:tab w:leader="none" w:pos="130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w:t>
      </w:r>
      <w:r>
        <w:rPr>
          <w:rFonts w:ascii="Times New Roman" w:cs="Times New Roman" w:eastAsia="Times New Roman" w:hAnsi="Times New Roman"/>
          <w:sz w:val="18"/>
          <w:szCs w:val="18"/>
          <w:b w:val="1"/>
          <w:bCs w:val="1"/>
          <w:color w:val="auto"/>
        </w:rPr>
        <w:t>parent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 undertaking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fellow subsidiary undertaking</w:t>
      </w:r>
      <w:r>
        <w:rPr>
          <w:rFonts w:ascii="Times New Roman" w:cs="Times New Roman" w:eastAsia="Times New Roman" w:hAnsi="Times New Roman"/>
          <w:sz w:val="18"/>
          <w:szCs w:val="18"/>
          <w:color w:val="auto"/>
        </w:rPr>
        <w:t xml:space="preserve"> when used in this clause have the meaning given to them in sections 1161 and 1162 of the Companies Act 2006.</w:t>
      </w:r>
    </w:p>
    <w:p>
      <w:pPr>
        <w:spacing w:after="0" w:line="155" w:lineRule="exact"/>
        <w:rPr>
          <w:sz w:val="20"/>
          <w:szCs w:val="20"/>
          <w:color w:val="auto"/>
        </w:rPr>
      </w:pPr>
    </w:p>
    <w:p>
      <w:pPr>
        <w:ind w:right="6560" w:firstLine="8"/>
        <w:spacing w:after="0" w:line="500" w:lineRule="auto"/>
        <w:tabs>
          <w:tab w:leader="none" w:pos="648"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Sharing among the Finance Parties 39.1 Payments to Finance Parties</w:t>
      </w:r>
    </w:p>
    <w:p>
      <w:pPr>
        <w:spacing w:after="0" w:line="2"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 xml:space="preserve">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xml:space="preserve">) receives or recovers any amount from an Obligor other than in accordance with clause 40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the Finance Documents then:</w:t>
      </w:r>
    </w:p>
    <w:p>
      <w:pPr>
        <w:spacing w:after="0" w:line="175" w:lineRule="exact"/>
        <w:rPr>
          <w:sz w:val="20"/>
          <w:szCs w:val="20"/>
          <w:color w:val="auto"/>
        </w:rPr>
      </w:pPr>
    </w:p>
    <w:p>
      <w:pPr>
        <w:ind w:left="1300" w:hanging="644"/>
        <w:spacing w:after="0"/>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Business Days, notify details of the receipt or recovery, to the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determine whether the receipt or recovery is in excess of the amount the Recovering Finance Party would have been paid had the receipt or recovery been received or made by the Agent and distributed in accordance with clause 40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Recovering Finance Party shall, within three Business Days of demand by the Agent, pay to the Agent an amount (the </w:t>
      </w:r>
      <w:r>
        <w:rPr>
          <w:rFonts w:ascii="Times New Roman" w:cs="Times New Roman" w:eastAsia="Times New Roman" w:hAnsi="Times New Roman"/>
          <w:sz w:val="18"/>
          <w:szCs w:val="18"/>
          <w:b w:val="1"/>
          <w:bCs w:val="1"/>
          <w:color w:val="auto"/>
        </w:rPr>
        <w:t>Sharing Payment</w:t>
      </w:r>
      <w:r>
        <w:rPr>
          <w:rFonts w:ascii="Times New Roman" w:cs="Times New Roman" w:eastAsia="Times New Roman" w:hAnsi="Times New Roman"/>
          <w:sz w:val="18"/>
          <w:szCs w:val="18"/>
          <w:color w:val="auto"/>
        </w:rPr>
        <w:t xml:space="preserve">) equal to such receipt or recovery less any amount which the Agent determines may be retained by the Recovering Finance Party as its share of any payment to be made, in accordance with clause 40.6 </w:t>
      </w:r>
      <w:r>
        <w:rPr>
          <w:rFonts w:ascii="Times New Roman" w:cs="Times New Roman" w:eastAsia="Times New Roman" w:hAnsi="Times New Roman"/>
          <w:sz w:val="18"/>
          <w:szCs w:val="18"/>
          <w:i w:val="1"/>
          <w:iCs w:val="1"/>
          <w:color w:val="auto"/>
        </w:rPr>
        <w:t>(Partial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xml:space="preserve">) in accordance with clause 40.6 </w:t>
      </w:r>
      <w:r>
        <w:rPr>
          <w:rFonts w:ascii="Times New Roman" w:cs="Times New Roman" w:eastAsia="Times New Roman" w:hAnsi="Times New Roman"/>
          <w:sz w:val="18"/>
          <w:szCs w:val="18"/>
          <w:i w:val="1"/>
          <w:iCs w:val="1"/>
          <w:color w:val="auto"/>
        </w:rPr>
        <w:t>(Partial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towards the obligations of that Obligor to the Sharing Finance Parties.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On a distribution by the Agent under clause 39.2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xml:space="preserve">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8"/>
          <w:szCs w:val="18"/>
          <w:b w:val="1"/>
          <w:bCs w:val="1"/>
          <w:color w:val="auto"/>
        </w:rPr>
        <w:t>Redistributed Amount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relevant Obligor and each relevant Sharing Finance Party, an amount equal to the relevant Redistributed Amount will be treated as not having been paid by that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6" w:name="page327"/>
    <w:bookmarkEnd w:id="3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9" w:lineRule="exact"/>
        <w:rPr>
          <w:sz w:val="20"/>
          <w:szCs w:val="20"/>
          <w:color w:val="auto"/>
        </w:rPr>
      </w:pPr>
    </w:p>
    <w:p>
      <w:pPr>
        <w:ind w:left="1300" w:hanging="644"/>
        <w:spacing w:after="0" w:line="282" w:lineRule="auto"/>
        <w:tabs>
          <w:tab w:leader="none" w:pos="13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39 shall not apply to the extent that the Recovering Finance Party would not, after making any payment pursuant to this clause, have a valid and enforceable claim against the relevant Obligor.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that other Finance Party of the legal or arbitration proceedings;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legal or arbitration proceedings was in accordance with the terms of this Agreement;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11 - Administration</w:t>
      </w:r>
    </w:p>
    <w:p>
      <w:pPr>
        <w:spacing w:after="0" w:line="225" w:lineRule="exact"/>
        <w:rPr>
          <w:sz w:val="20"/>
          <w:szCs w:val="20"/>
          <w:color w:val="auto"/>
        </w:rPr>
      </w:pPr>
    </w:p>
    <w:p>
      <w:pPr>
        <w:ind w:right="7520" w:firstLine="8"/>
        <w:spacing w:after="0" w:line="503" w:lineRule="auto"/>
        <w:tabs>
          <w:tab w:leader="none" w:pos="648" w:val="left"/>
        </w:tabs>
        <w:numPr>
          <w:ilvl w:val="0"/>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mechanics 40.1 Payments to the Agent</w:t>
      </w:r>
    </w:p>
    <w:p>
      <w:pPr>
        <w:jc w:val="both"/>
        <w:ind w:left="1300" w:hanging="644"/>
        <w:spacing w:after="0" w:line="261" w:lineRule="auto"/>
        <w:tabs>
          <w:tab w:leader="none" w:pos="130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(other than a Hedging Contract),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40.2</w:t>
      </w:r>
      <w:r>
        <w:rPr>
          <w:sz w:val="20"/>
          <w:szCs w:val="20"/>
          <w:color w:val="auto"/>
        </w:rPr>
        <w:tab/>
      </w:r>
      <w:r>
        <w:rPr>
          <w:rFonts w:ascii="Times New Roman" w:cs="Times New Roman" w:eastAsia="Times New Roman" w:hAnsi="Times New Roman"/>
          <w:sz w:val="18"/>
          <w:szCs w:val="18"/>
          <w:b w:val="1"/>
          <w:bCs w:val="1"/>
          <w:color w:val="auto"/>
        </w:rPr>
        <w:t>Distributions by the Agent</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Each payment received by the Agent under the Finance Documents for another Party shall, subject to clause 40.3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an Obligor) </w:t>
      </w:r>
      <w:r>
        <w:rPr>
          <w:rFonts w:ascii="Times New Roman" w:cs="Times New Roman" w:eastAsia="Times New Roman" w:hAnsi="Times New Roman"/>
          <w:sz w:val="18"/>
          <w:szCs w:val="18"/>
          <w:color w:val="auto"/>
        </w:rPr>
        <w:t>and clause 40.4</w:t>
      </w:r>
      <w:r>
        <w:rPr>
          <w:rFonts w:ascii="Times New Roman" w:cs="Times New Roman" w:eastAsia="Times New Roman" w:hAnsi="Times New Roman"/>
          <w:sz w:val="18"/>
          <w:szCs w:val="18"/>
          <w:i w:val="1"/>
          <w:iCs w:val="1"/>
          <w:color w:val="auto"/>
        </w:rPr>
        <w:t xml:space="preserve"> (Clawback and pre-funding) </w:t>
      </w:r>
      <w:r>
        <w:rPr>
          <w:rFonts w:ascii="Times New Roman" w:cs="Times New Roman" w:eastAsia="Times New Roman" w:hAnsi="Times New Roman"/>
          <w:sz w:val="18"/>
          <w:szCs w:val="18"/>
          <w:color w:val="auto"/>
        </w:rPr>
        <w:t>be made available by the Agent as soon as practicable after receipt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40.3</w:t>
      </w:r>
      <w:r>
        <w:rPr>
          <w:sz w:val="20"/>
          <w:szCs w:val="20"/>
          <w:color w:val="auto"/>
        </w:rPr>
        <w:tab/>
      </w:r>
      <w:r>
        <w:rPr>
          <w:rFonts w:ascii="Times New Roman" w:cs="Times New Roman" w:eastAsia="Times New Roman" w:hAnsi="Times New Roman"/>
          <w:sz w:val="17"/>
          <w:szCs w:val="17"/>
          <w:b w:val="1"/>
          <w:bCs w:val="1"/>
          <w:color w:val="auto"/>
        </w:rPr>
        <w:t>Distributions to an Obligor</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Agent may (with the consent of the Obligor or in accordance with clause 41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40.4</w:t>
      </w:r>
      <w:r>
        <w:rPr>
          <w:sz w:val="20"/>
          <w:szCs w:val="20"/>
          <w:color w:val="auto"/>
        </w:rPr>
        <w:tab/>
      </w:r>
      <w:r>
        <w:rPr>
          <w:rFonts w:ascii="Times New Roman" w:cs="Times New Roman" w:eastAsia="Times New Roman" w:hAnsi="Times New Roman"/>
          <w:sz w:val="17"/>
          <w:szCs w:val="17"/>
          <w:b w:val="1"/>
          <w:bCs w:val="1"/>
          <w:color w:val="auto"/>
        </w:rPr>
        <w:t>Clawback and pre-funding</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3"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of that Lender’s identity and the Borrower shall on demand refund it to the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28" w:name="page329"/>
    <w:bookmarkEnd w:id="328"/>
    <w:p>
      <w:pPr>
        <w:jc w:val="both"/>
        <w:ind w:left="1960" w:hanging="656"/>
        <w:spacing w:after="0" w:line="261" w:lineRule="auto"/>
        <w:tabs>
          <w:tab w:leader="none" w:pos="19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229" w:lineRule="exact"/>
        <w:rPr>
          <w:sz w:val="20"/>
          <w:szCs w:val="20"/>
          <w:color w:val="auto"/>
        </w:rPr>
      </w:pPr>
    </w:p>
    <w:p>
      <w:pPr>
        <w:ind w:left="1300" w:right="20" w:hanging="644"/>
        <w:spacing w:after="0" w:line="282" w:lineRule="auto"/>
        <w:tabs>
          <w:tab w:leader="none" w:pos="13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Agent becomes an Impaired Agent, the Borrower or a Lender which is required to make a payment under the Finance Documents to the Agent in accordance with clause 40.1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xml:space="preserve"> may instead either: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the required recipient(s);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its absolute discretion it considers that it is not reasonably practicable to pay that amount direct to the required recipient(s), pay that amount or the relevant part of that amount to an interest-bearing account held with an Acceptable Bank within the meaning of the first paragraph of the definition of “Acceptable Bank” and in relation to which no Insolvency Event has occurred and is continuing, in the name of the Borrower or the Lender making the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xml:space="preserve">)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each case such payments must be made on the due date for payment under the Finance Documents.</w:t>
      </w:r>
    </w:p>
    <w:p>
      <w:pPr>
        <w:spacing w:after="0" w:line="225" w:lineRule="exact"/>
        <w:rPr>
          <w:sz w:val="20"/>
          <w:szCs w:val="20"/>
          <w:color w:val="auto"/>
        </w:rPr>
      </w:pPr>
    </w:p>
    <w:p>
      <w:pPr>
        <w:ind w:left="1300" w:hanging="644"/>
        <w:spacing w:after="0" w:line="282" w:lineRule="auto"/>
        <w:tabs>
          <w:tab w:leader="none" w:pos="13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40.5 shall be discharged of the relevant payment obligation under the Finance Documents and shall not take any credit risk with respect to the amounts standing to the credit of the trust account.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the appointment of a successor Agent in accordance with this Agreement,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40.2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Paying Party shall, promptly upon request by a Recipient Party and to the extent: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give all requisite instructions to the bank with whom the trust account is held to transfer the relevant amount (together with any accrued interest) to that Recipient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40.6</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right="20" w:hanging="644"/>
        <w:spacing w:after="0" w:line="261" w:lineRule="auto"/>
        <w:tabs>
          <w:tab w:leader="none" w:pos="130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the Finance Documents in the following order:</w:t>
      </w:r>
    </w:p>
    <w:p>
      <w:pPr>
        <w:spacing w:after="0" w:line="17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in or towards payment pro rata of any unpaid amount owing to the Agent, the Security Agent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Arrangers for their own account under those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29" w:name="page330"/>
    <w:bookmarkEnd w:id="329"/>
    <w:p>
      <w:pPr>
        <w:ind w:left="1960" w:hanging="656"/>
        <w:spacing w:after="0" w:line="286" w:lineRule="auto"/>
        <w:tabs>
          <w:tab w:leader="none" w:pos="19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secondly</w:t>
      </w:r>
      <w:r>
        <w:rPr>
          <w:rFonts w:ascii="Times New Roman" w:cs="Times New Roman" w:eastAsia="Times New Roman" w:hAnsi="Times New Roman"/>
          <w:sz w:val="18"/>
          <w:szCs w:val="18"/>
          <w:color w:val="auto"/>
        </w:rPr>
        <w:t>, in or towards payment to the Lenders pro rata of any amount owing to the Lenders under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34.15 (</w:t>
      </w:r>
      <w:r>
        <w:rPr>
          <w:rFonts w:ascii="Times New Roman" w:cs="Times New Roman" w:eastAsia="Times New Roman" w:hAnsi="Times New Roman"/>
          <w:sz w:val="18"/>
          <w:szCs w:val="18"/>
          <w:i w:val="1"/>
          <w:iCs w:val="1"/>
          <w:color w:val="auto"/>
        </w:rPr>
        <w:t>Lenders’ indemnity to the Agent and others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thirdly</w:t>
      </w:r>
      <w:r>
        <w:rPr>
          <w:rFonts w:ascii="Times New Roman" w:cs="Times New Roman" w:eastAsia="Times New Roman" w:hAnsi="Times New Roman"/>
          <w:sz w:val="18"/>
          <w:szCs w:val="18"/>
          <w:color w:val="auto"/>
        </w:rPr>
        <w:t>, in or towards payment to the Lenders pro rata in the following order of priority:</w:t>
      </w:r>
    </w:p>
    <w:p>
      <w:pPr>
        <w:spacing w:after="0" w:line="229"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any accrued interest, fee or commission due to them but unpaid under the Finance Documents;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any principal due to them but unpaid under this Agreement; and</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any other sum due to them but unpaid under the Finance Documents;</w:t>
      </w:r>
    </w:p>
    <w:p>
      <w:pPr>
        <w:spacing w:after="0" w:line="221"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fourthly</w:t>
      </w:r>
      <w:r>
        <w:rPr>
          <w:rFonts w:ascii="Times New Roman" w:cs="Times New Roman" w:eastAsia="Times New Roman" w:hAnsi="Times New Roman"/>
          <w:sz w:val="18"/>
          <w:szCs w:val="18"/>
          <w:color w:val="auto"/>
        </w:rPr>
        <w:t>, in or towards to the Hedging Providers pro rata of any net amounts due to them but unpaid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Hedging Contracts; and</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fifthly</w:t>
      </w:r>
      <w:r>
        <w:rPr>
          <w:rFonts w:ascii="Times New Roman" w:cs="Times New Roman" w:eastAsia="Times New Roman" w:hAnsi="Times New Roman"/>
          <w:sz w:val="18"/>
          <w:szCs w:val="18"/>
          <w:color w:val="auto"/>
        </w:rPr>
        <w:t>, in or towards payment pro rata of any other sum due but unpaid under the Finance Documents.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all the Lenders, vary the order set out in paragraphs (ii) to (v) of paragraph (a) above provided that the consent of the Hedging Providers will also be required to vary the order of paragraphs (iv) and (v) of paragraph (a) above.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 Obligor.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40.7</w:t>
      </w:r>
      <w:r>
        <w:rPr>
          <w:sz w:val="20"/>
          <w:szCs w:val="20"/>
          <w:color w:val="auto"/>
        </w:rPr>
        <w:tab/>
      </w:r>
      <w:r>
        <w:rPr>
          <w:rFonts w:ascii="Times New Roman" w:cs="Times New Roman" w:eastAsia="Times New Roman" w:hAnsi="Times New Roman"/>
          <w:sz w:val="18"/>
          <w:szCs w:val="18"/>
          <w:b w:val="1"/>
          <w:bCs w:val="1"/>
          <w:color w:val="auto"/>
        </w:rPr>
        <w:t>No set-off by Obligors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229" w:lineRule="exact"/>
        <w:rPr>
          <w:sz w:val="20"/>
          <w:szCs w:val="20"/>
          <w:color w:val="auto"/>
        </w:rPr>
      </w:pPr>
    </w:p>
    <w:p>
      <w:pPr>
        <w:ind w:left="1300" w:right="20" w:hanging="644"/>
        <w:spacing w:after="0" w:line="282" w:lineRule="auto"/>
        <w:tabs>
          <w:tab w:leader="none" w:pos="130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40.9</w:t>
      </w:r>
      <w:r>
        <w:rPr>
          <w:sz w:val="20"/>
          <w:szCs w:val="20"/>
          <w:color w:val="auto"/>
        </w:rPr>
        <w:tab/>
      </w:r>
      <w:r>
        <w:rPr>
          <w:rFonts w:ascii="Times New Roman" w:cs="Times New Roman" w:eastAsia="Times New Roman" w:hAnsi="Times New Roman"/>
          <w:sz w:val="17"/>
          <w:szCs w:val="17"/>
          <w:b w:val="1"/>
          <w:bCs w:val="1"/>
          <w:color w:val="auto"/>
        </w:rPr>
        <w:t>Payments on demand</w:t>
      </w:r>
    </w:p>
    <w:p>
      <w:pPr>
        <w:spacing w:after="0" w:line="227"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color w:val="auto"/>
        </w:rPr>
        <w:t>For the purposes of clause 30.2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and subject to the Agent's right to demand interest under clause 9.3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payments on demand shall be treated as paid when due if paid within three Business Days of demand.</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40.10</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229" w:lineRule="exact"/>
        <w:rPr>
          <w:sz w:val="20"/>
          <w:szCs w:val="20"/>
          <w:color w:val="auto"/>
        </w:rPr>
      </w:pPr>
    </w:p>
    <w:p>
      <w:pPr>
        <w:ind w:left="1300" w:hanging="644"/>
        <w:spacing w:after="0" w:line="282" w:lineRule="auto"/>
        <w:tabs>
          <w:tab w:leader="none" w:pos="130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and (c) below, dollars is the currency of account and payment for any sum due from an Obligor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all or part of a Loan or an Unpaid Sum and each payment of interest shall be made in dollars on its due date.</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30" w:name="page331"/>
    <w:bookmarkEnd w:id="330"/>
    <w:p>
      <w:pPr>
        <w:jc w:val="both"/>
        <w:ind w:left="1300" w:hanging="644"/>
        <w:spacing w:after="0" w:line="261" w:lineRule="auto"/>
        <w:tabs>
          <w:tab w:leader="none" w:pos="130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40.11</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229" w:lineRule="exact"/>
        <w:rPr>
          <w:sz w:val="20"/>
          <w:szCs w:val="20"/>
          <w:color w:val="auto"/>
        </w:rPr>
      </w:pPr>
    </w:p>
    <w:p>
      <w:pPr>
        <w:ind w:left="1300" w:hanging="644"/>
        <w:spacing w:after="0" w:line="282" w:lineRule="auto"/>
        <w:tabs>
          <w:tab w:leader="none" w:pos="130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40.12</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Borrower that a Disruption Event has occurred:</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46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40.12;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1" w:name="page332"/>
    <w:bookmarkEnd w:id="331"/>
    <w:p>
      <w:pPr>
        <w:ind w:left="660" w:hanging="652"/>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229" w:lineRule="exact"/>
        <w:rPr>
          <w:sz w:val="20"/>
          <w:szCs w:val="20"/>
          <w:color w:val="auto"/>
        </w:rPr>
      </w:pPr>
    </w:p>
    <w:p>
      <w:pPr>
        <w:ind w:left="1300" w:hanging="644"/>
        <w:spacing w:after="0" w:line="282" w:lineRule="auto"/>
        <w:tabs>
          <w:tab w:leader="none" w:pos="130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letter.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may rely on any representation, communication, notice or document received from or made by any Obligor believed by it to be genuine, correct and appropriately authorised.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74" w:lineRule="exact"/>
        <w:rPr>
          <w:sz w:val="20"/>
          <w:szCs w:val="20"/>
          <w:color w:val="auto"/>
        </w:rPr>
      </w:pPr>
    </w:p>
    <w:p>
      <w:pPr>
        <w:ind w:left="1300" w:hanging="644"/>
        <w:spacing w:after="0"/>
        <w:tabs>
          <w:tab w:leader="none" w:pos="13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Obligor who is a Party, that identified with its name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Obligor which is not a Party, that identified in any Finance Document to which it is a party;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Security Agent, the Agent and any other original Finance Party, that identified with its name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Lender or other Finance Party, that notified in writing to the Agent on or prior to the date on which it becomes a Party in the relevant capacity,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or, in each case, any substitute address or department or officer as an Obligor or Finance Party may notify to the Agent (or the Agent may notify to the other Finance Parties and the Obligors who are Parties, if a change is made by the Agent) by not less than five Business Days’ notice.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42.2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(or any substitute department or officer as the Agent or the Security Agent shall specify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32" w:name="page333"/>
    <w:bookmarkEnd w:id="332"/>
    <w:p>
      <w:pPr>
        <w:ind w:left="1300" w:hanging="644"/>
        <w:spacing w:after="0"/>
        <w:tabs>
          <w:tab w:leader="none" w:pos="130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shall be sent through the Agent.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Borrower in accordance with this clause 42.3 will be deemed to have been made or delivered to each of the Obligors.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42.4</w:t>
      </w:r>
      <w:r>
        <w:rPr>
          <w:sz w:val="20"/>
          <w:szCs w:val="20"/>
          <w:color w:val="auto"/>
        </w:rPr>
        <w:tab/>
      </w:r>
      <w:r>
        <w:rPr>
          <w:rFonts w:ascii="Times New Roman" w:cs="Times New Roman" w:eastAsia="Times New Roman" w:hAnsi="Times New Roman"/>
          <w:sz w:val="17"/>
          <w:szCs w:val="17"/>
          <w:b w:val="1"/>
          <w:bCs w:val="1"/>
          <w:color w:val="auto"/>
        </w:rPr>
        <w:t>Notification of address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Promptly upon changing its’ address, the Agent shall notify the other Parties.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by one Party to another under or in connection with the Finance Documents may be made by electronic mail or other electronic means (including, without limitation, by way of posting to a secure website) and the Parties agree that, unless and until notified to the contrary, this is to be an accepted form of communication between any two Parties provided that those two Parties:</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transmission of information by that means;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Business Days’ notice.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as specified in paragraph (a) above made or delivered by one Party to another will be effective only when actually received in readable form and in the case of any electronic communication or document made or delivered by a Party to the Agent or the Security Agent only if it is addressed in such a manner as the Agent or the Security Agent shall specify for this purpose.</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which becomes effective, in accordance with clause 42.6(b) above, after 5:00 p.m. in the place of receipt shall be deemed only to become effective on the following day.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Obligors are aware and acknowledge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can be changed and manipulated by a third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sender's identity (sender of any electronic communication) can be assumed or otherwise manipulated;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 shortcomings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3" w:name="page334"/>
    <w:bookmarkEnd w:id="333"/>
    <w:p>
      <w:pPr>
        <w:ind w:left="1960" w:right="20"/>
        <w:spacing w:after="0" w:line="282" w:lineRule="auto"/>
        <w:rPr>
          <w:sz w:val="20"/>
          <w:szCs w:val="20"/>
          <w:color w:val="auto"/>
        </w:rPr>
      </w:pPr>
      <w:r>
        <w:rPr>
          <w:rFonts w:ascii="Times New Roman" w:cs="Times New Roman" w:eastAsia="Times New Roman" w:hAnsi="Times New Roman"/>
          <w:sz w:val="18"/>
          <w:szCs w:val="18"/>
          <w:color w:val="auto"/>
        </w:rPr>
        <w:t>part of the network provider. In certain situations, time-critical orders and instructions might not be processed on time; and</w:t>
      </w:r>
    </w:p>
    <w:p>
      <w:pPr>
        <w:spacing w:after="0" w:line="162" w:lineRule="exact"/>
        <w:rPr>
          <w:sz w:val="20"/>
          <w:szCs w:val="20"/>
          <w:color w:val="auto"/>
        </w:rPr>
      </w:pPr>
    </w:p>
    <w:p>
      <w:pPr>
        <w:jc w:val="both"/>
        <w:ind w:left="1960" w:hanging="656"/>
        <w:spacing w:after="0" w:line="266" w:lineRule="auto"/>
        <w:tabs>
          <w:tab w:leader="none" w:pos="19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Parties assume no liability for any loss incurred as a result of manipulation of the electronic address or content nor is it liable for any loss incurred by the Borrower or any other Obligor due to interruptions and delays in transmission caused by technical problems.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Parties are entitled to assume that all the orders and instructions, and communications in general, received from the Borrower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a Finance Document to a communication being sent or received or a document being delivered shall be construed to include that communication or document being made available in accordance with this clause 42.6.</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42.7</w:t>
      </w:r>
      <w:r>
        <w:rPr>
          <w:sz w:val="20"/>
          <w:szCs w:val="20"/>
          <w:color w:val="auto"/>
        </w:rPr>
        <w:tab/>
      </w:r>
      <w:r>
        <w:rPr>
          <w:rFonts w:ascii="Times New Roman" w:cs="Times New Roman" w:eastAsia="Times New Roman" w:hAnsi="Times New Roman"/>
          <w:sz w:val="18"/>
          <w:szCs w:val="18"/>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42.8</w:t>
      </w:r>
      <w:r>
        <w:rPr>
          <w:sz w:val="20"/>
          <w:szCs w:val="20"/>
          <w:color w:val="auto"/>
        </w:rPr>
        <w:tab/>
      </w:r>
      <w:r>
        <w:rPr>
          <w:rFonts w:ascii="Times New Roman" w:cs="Times New Roman" w:eastAsia="Times New Roman" w:hAnsi="Times New Roman"/>
          <w:sz w:val="17"/>
          <w:szCs w:val="17"/>
          <w:b w:val="1"/>
          <w:bCs w:val="1"/>
          <w:color w:val="auto"/>
        </w:rPr>
        <w:t>Communication with Agent when Agent is Impaired Agent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79" w:lineRule="exact"/>
        <w:rPr>
          <w:sz w:val="20"/>
          <w:szCs w:val="20"/>
          <w:color w:val="auto"/>
        </w:rPr>
      </w:pPr>
    </w:p>
    <w:p>
      <w:pPr>
        <w:ind w:right="7080" w:firstLine="8"/>
        <w:spacing w:after="0" w:line="503" w:lineRule="auto"/>
        <w:tabs>
          <w:tab w:leader="none" w:pos="648"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 43.1 Accounts</w:t>
      </w: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 to which they relate.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229" w:lineRule="exact"/>
        <w:rPr>
          <w:sz w:val="20"/>
          <w:szCs w:val="20"/>
          <w:color w:val="auto"/>
        </w:rPr>
      </w:pPr>
    </w:p>
    <w:p>
      <w:pPr>
        <w:ind w:left="1300" w:right="20" w:hanging="644"/>
        <w:spacing w:after="0" w:line="282" w:lineRule="auto"/>
        <w:tabs>
          <w:tab w:leader="none" w:pos="130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commission or fee accruing under a Finance Document will accrue from day to day and the amount of any such interest, commission fee is calculated: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4" w:name="page335"/>
    <w:bookmarkEnd w:id="334"/>
    <w:p>
      <w:pPr>
        <w:ind w:left="1960" w:hanging="656"/>
        <w:spacing w:after="0" w:line="282" w:lineRule="auto"/>
        <w:tabs>
          <w:tab w:leader="none" w:pos="19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actual number of days elapsed and a year of 360 days or, in any case where the practice in the Relevant Market differs, in accordance with that market practice;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without rounding.</w:t>
      </w:r>
    </w:p>
    <w:p>
      <w:pPr>
        <w:spacing w:after="0" w:line="225" w:lineRule="exact"/>
        <w:rPr>
          <w:sz w:val="20"/>
          <w:szCs w:val="20"/>
          <w:color w:val="auto"/>
        </w:rPr>
      </w:pPr>
    </w:p>
    <w:p>
      <w:pPr>
        <w:ind w:left="1300" w:hanging="644"/>
        <w:spacing w:after="0" w:line="282" w:lineRule="auto"/>
        <w:tabs>
          <w:tab w:leader="none" w:pos="130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accrued interest, commission or fee which is, or becomes, payable by an Obligor under a Finance Document shall be rounded to 2 decimal places.</w:t>
      </w:r>
    </w:p>
    <w:p>
      <w:pPr>
        <w:spacing w:after="0" w:line="158" w:lineRule="exact"/>
        <w:rPr>
          <w:sz w:val="20"/>
          <w:szCs w:val="20"/>
          <w:color w:val="auto"/>
        </w:rPr>
      </w:pPr>
    </w:p>
    <w:p>
      <w:pPr>
        <w:ind w:left="660" w:hanging="652"/>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any right or remedy under a Finance Document shall operate as a waiver of any such right or remedy or constitute an election to affirm any Finance Document.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46.2 </w:t>
      </w:r>
      <w:r>
        <w:rPr>
          <w:rFonts w:ascii="Times New Roman" w:cs="Times New Roman" w:eastAsia="Times New Roman" w:hAnsi="Times New Roman"/>
          <w:sz w:val="18"/>
          <w:szCs w:val="18"/>
          <w:i w:val="1"/>
          <w:iCs w:val="1"/>
          <w:color w:val="auto"/>
        </w:rPr>
        <w:t>(All Lender matters)</w:t>
      </w:r>
      <w:r>
        <w:rPr>
          <w:rFonts w:ascii="Times New Roman" w:cs="Times New Roman" w:eastAsia="Times New Roman" w:hAnsi="Times New Roman"/>
          <w:sz w:val="18"/>
          <w:szCs w:val="18"/>
          <w:color w:val="auto"/>
        </w:rPr>
        <w:t xml:space="preserve"> and clause 46.3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any term of the Finance Documents may be amended or waived only with the consent of the Majority Lenders and the Borrower and any such amendment or waiver will be binding on all the Finance Parties and other Obligors.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(or, in the case of the Security Documents, instruct the Security Agent to) effect, on behalf of any Finance Party, any amendment or waiver permitted by this clause 46.</w:t>
      </w:r>
    </w:p>
    <w:p>
      <w:pPr>
        <w:spacing w:after="0" w:line="159" w:lineRule="exact"/>
        <w:rPr>
          <w:rFonts w:ascii="Times New Roman" w:cs="Times New Roman" w:eastAsia="Times New Roman" w:hAnsi="Times New Roman"/>
          <w:sz w:val="18"/>
          <w:szCs w:val="18"/>
          <w:color w:val="auto"/>
        </w:rPr>
      </w:pPr>
    </w:p>
    <w:p>
      <w:pPr>
        <w:jc w:val="both"/>
        <w:ind w:left="1300" w:right="20" w:hanging="644"/>
        <w:spacing w:after="0" w:line="267" w:lineRule="auto"/>
        <w:tabs>
          <w:tab w:leader="none" w:pos="130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generality of paragraphs (c), (d) and (e) of clause 34.11 </w:t>
      </w:r>
      <w:r>
        <w:rPr>
          <w:rFonts w:ascii="Times New Roman" w:cs="Times New Roman" w:eastAsia="Times New Roman" w:hAnsi="Times New Roman"/>
          <w:sz w:val="18"/>
          <w:szCs w:val="18"/>
          <w:i w:val="1"/>
          <w:iCs w:val="1"/>
          <w:color w:val="auto"/>
        </w:rPr>
        <w:t>(Rights and discretions of the Agent)</w:t>
      </w:r>
      <w:r>
        <w:rPr>
          <w:rFonts w:ascii="Times New Roman" w:cs="Times New Roman" w:eastAsia="Times New Roman" w:hAnsi="Times New Roman"/>
          <w:sz w:val="18"/>
          <w:szCs w:val="18"/>
          <w:color w:val="auto"/>
        </w:rPr>
        <w:t>, the Agent may engage, pay for and rely on the services of lawyers in determining the consent level required for and effecting any amendment, waiver or consent under this Agreement.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agrees to any such amendment or waiver permitted by this clause 46 which is agreed to by the Borrower. This includes any amendment or waiver which would, but for this paragraph (d), require the consent of the Borrower.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46.2</w:t>
      </w:r>
      <w:r>
        <w:rPr>
          <w:sz w:val="20"/>
          <w:szCs w:val="20"/>
          <w:color w:val="auto"/>
        </w:rPr>
        <w:tab/>
      </w:r>
      <w:r>
        <w:rPr>
          <w:rFonts w:ascii="Times New Roman" w:cs="Times New Roman" w:eastAsia="Times New Roman" w:hAnsi="Times New Roman"/>
          <w:sz w:val="17"/>
          <w:szCs w:val="17"/>
          <w:b w:val="1"/>
          <w:bCs w:val="1"/>
          <w:color w:val="auto"/>
        </w:rPr>
        <w:t>All Lender matters</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Subject to clause 46.10 (</w:t>
      </w:r>
      <w:r>
        <w:rPr>
          <w:rFonts w:ascii="Times New Roman" w:cs="Times New Roman" w:eastAsia="Times New Roman" w:hAnsi="Times New Roman"/>
          <w:sz w:val="18"/>
          <w:szCs w:val="18"/>
          <w:i w:val="1"/>
          <w:iCs w:val="1"/>
          <w:color w:val="auto"/>
        </w:rPr>
        <w:t>Changes to reference rates)</w:t>
      </w:r>
      <w:r>
        <w:rPr>
          <w:rFonts w:ascii="Times New Roman" w:cs="Times New Roman" w:eastAsia="Times New Roman" w:hAnsi="Times New Roman"/>
          <w:sz w:val="18"/>
          <w:szCs w:val="18"/>
          <w:color w:val="auto"/>
        </w:rPr>
        <w:t xml:space="preserve"> an amendment, waiver or discharge or release or a consent of, or in relation to, any term of any Finance Document that has the effect of changing or which relates to:</w:t>
      </w:r>
    </w:p>
    <w:p>
      <w:pPr>
        <w:spacing w:after="0" w:line="158" w:lineRule="exact"/>
        <w:rPr>
          <w:sz w:val="20"/>
          <w:szCs w:val="20"/>
          <w:color w:val="auto"/>
        </w:rPr>
      </w:pPr>
    </w:p>
    <w:p>
      <w:pPr>
        <w:ind w:left="1300" w:hanging="644"/>
        <w:spacing w:after="0"/>
        <w:tabs>
          <w:tab w:leader="none" w:pos="13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“Majority Lenders”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“Last Availability Date”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5" w:name="page336"/>
    <w:bookmarkEnd w:id="335"/>
    <w:p>
      <w:pPr>
        <w:jc w:val="both"/>
        <w:ind w:left="1300" w:hanging="644"/>
        <w:spacing w:after="0" w:line="266" w:lineRule="auto"/>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any payment of principal, interest, fees or commission payable or the rate at which they are calculated (other than any reduction in the Margin made pursuant to clause 9.5 (</w:t>
      </w:r>
      <w:r>
        <w:rPr>
          <w:rFonts w:ascii="Times New Roman" w:cs="Times New Roman" w:eastAsia="Times New Roman" w:hAnsi="Times New Roman"/>
          <w:sz w:val="18"/>
          <w:szCs w:val="18"/>
          <w:i w:val="1"/>
          <w:iCs w:val="1"/>
          <w:color w:val="auto"/>
        </w:rPr>
        <w:t>Sustainability Margin Adjustment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or extension of, any Commitment or the Total Commitments;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any period within which the Facility is available for Utilisation;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 cancellation of Commitments reduces the Commitments of the Lenders rateably;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 or any other Obligor;</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7.2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and the definition of “Change of Control”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or approval of all the Lenders;</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39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2.2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clause 7.10 (</w:t>
      </w:r>
      <w:r>
        <w:rPr>
          <w:rFonts w:ascii="Times New Roman" w:cs="Times New Roman" w:eastAsia="Times New Roman" w:hAnsi="Times New Roman"/>
          <w:sz w:val="18"/>
          <w:szCs w:val="18"/>
          <w:i w:val="1"/>
          <w:iCs w:val="1"/>
          <w:color w:val="auto"/>
        </w:rPr>
        <w:t>Mandatory prepayment and cancellation following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non-compliance with Sanctions</w:t>
      </w:r>
      <w:r>
        <w:rPr>
          <w:rFonts w:ascii="Times New Roman" w:cs="Times New Roman" w:eastAsia="Times New Roman" w:hAnsi="Times New Roman"/>
          <w:sz w:val="18"/>
          <w:szCs w:val="18"/>
          <w:color w:val="auto"/>
        </w:rPr>
        <w:t>), clause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clause 46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clause 5.1 (</w:t>
      </w:r>
      <w:r>
        <w:rPr>
          <w:rFonts w:ascii="Times New Roman" w:cs="Times New Roman" w:eastAsia="Times New Roman" w:hAnsi="Times New Roman"/>
          <w:sz w:val="18"/>
          <w:szCs w:val="18"/>
          <w:i w:val="1"/>
          <w:iCs w:val="1"/>
          <w:color w:val="auto"/>
        </w:rPr>
        <w:t>Delivery of a Utilisation Request</w:t>
      </w:r>
      <w:r>
        <w:rPr>
          <w:rFonts w:ascii="Times New Roman" w:cs="Times New Roman" w:eastAsia="Times New Roman" w:hAnsi="Times New Roman"/>
          <w:sz w:val="18"/>
          <w:szCs w:val="18"/>
          <w:color w:val="auto"/>
        </w:rPr>
        <w:t>), clause 7.1</w:t>
      </w:r>
      <w:r>
        <w:rPr>
          <w:rFonts w:ascii="Times New Roman" w:cs="Times New Roman" w:eastAsia="Times New Roman" w:hAnsi="Times New Roman"/>
          <w:sz w:val="18"/>
          <w:szCs w:val="18"/>
          <w:i w:val="1"/>
          <w:iCs w:val="1"/>
          <w:color w:val="auto"/>
        </w:rPr>
        <w:t xml:space="preserve"> (Illegality)</w:t>
      </w:r>
      <w:r>
        <w:rPr>
          <w:rFonts w:ascii="Times New Roman" w:cs="Times New Roman" w:eastAsia="Times New Roman" w:hAnsi="Times New Roman"/>
          <w:sz w:val="18"/>
          <w:szCs w:val="18"/>
          <w:color w:val="auto"/>
        </w:rPr>
        <w:t>, clause 29.9 (</w:t>
      </w:r>
      <w:r>
        <w:rPr>
          <w:rFonts w:ascii="Times New Roman" w:cs="Times New Roman" w:eastAsia="Times New Roman" w:hAnsi="Times New Roman"/>
          <w:sz w:val="18"/>
          <w:szCs w:val="18"/>
          <w:i w:val="1"/>
          <w:iCs w:val="1"/>
          <w:color w:val="auto"/>
        </w:rPr>
        <w:t>Qualified Financial Contracts</w:t>
      </w:r>
      <w:r>
        <w:rPr>
          <w:rFonts w:ascii="Times New Roman" w:cs="Times New Roman" w:eastAsia="Times New Roman" w:hAnsi="Times New Roman"/>
          <w:sz w:val="18"/>
          <w:szCs w:val="18"/>
          <w:color w:val="auto"/>
        </w:rPr>
        <w:t>), clause 32</w:t>
      </w:r>
      <w:r>
        <w:rPr>
          <w:rFonts w:ascii="Times New Roman" w:cs="Times New Roman" w:eastAsia="Times New Roman" w:hAnsi="Times New Roman"/>
          <w:sz w:val="18"/>
          <w:szCs w:val="18"/>
          <w:i w:val="1"/>
          <w:iCs w:val="1"/>
          <w:color w:val="auto"/>
        </w:rPr>
        <w:t xml:space="preserve"> (Changes to the Lenders)</w:t>
      </w:r>
      <w:r>
        <w:rPr>
          <w:rFonts w:ascii="Times New Roman" w:cs="Times New Roman" w:eastAsia="Times New Roman" w:hAnsi="Times New Roman"/>
          <w:sz w:val="18"/>
          <w:szCs w:val="18"/>
          <w:color w:val="auto"/>
        </w:rPr>
        <w:t>, clause 8.8</w:t>
      </w:r>
      <w:r>
        <w:rPr>
          <w:rFonts w:ascii="Times New Roman" w:cs="Times New Roman" w:eastAsia="Times New Roman" w:hAnsi="Times New Roman"/>
          <w:sz w:val="18"/>
          <w:szCs w:val="18"/>
          <w:i w:val="1"/>
          <w:iCs w:val="1"/>
          <w:color w:val="auto"/>
        </w:rPr>
        <w:t xml:space="preserve"> (Application of prepayments)</w:t>
      </w:r>
      <w:r>
        <w:rPr>
          <w:rFonts w:ascii="Times New Roman" w:cs="Times New Roman" w:eastAsia="Times New Roman" w:hAnsi="Times New Roman"/>
          <w:sz w:val="18"/>
          <w:szCs w:val="18"/>
          <w:color w:val="auto"/>
        </w:rPr>
        <w:t>, this clause 46, clause 50</w:t>
      </w:r>
      <w:r>
        <w:rPr>
          <w:rFonts w:ascii="Times New Roman" w:cs="Times New Roman" w:eastAsia="Times New Roman" w:hAnsi="Times New Roman"/>
          <w:sz w:val="18"/>
          <w:szCs w:val="18"/>
          <w:i w:val="1"/>
          <w:iCs w:val="1"/>
          <w:color w:val="auto"/>
        </w:rPr>
        <w:t xml:space="preserve"> (Governing law) </w:t>
      </w:r>
      <w:r>
        <w:rPr>
          <w:rFonts w:ascii="Times New Roman" w:cs="Times New Roman" w:eastAsia="Times New Roman" w:hAnsi="Times New Roman"/>
          <w:sz w:val="18"/>
          <w:szCs w:val="18"/>
          <w:color w:val="auto"/>
        </w:rPr>
        <w:t>or clause 51.1</w:t>
      </w:r>
      <w:r>
        <w:rPr>
          <w:rFonts w:ascii="Times New Roman" w:cs="Times New Roman" w:eastAsia="Times New Roman" w:hAnsi="Times New Roman"/>
          <w:sz w:val="18"/>
          <w:szCs w:val="18"/>
          <w:i w:val="1"/>
          <w:iCs w:val="1"/>
          <w:color w:val="auto"/>
        </w:rPr>
        <w:t xml:space="preserve"> (Jurisdiction of English courts)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order of distribution under clause 37.1 </w:t>
      </w:r>
      <w:r>
        <w:rPr>
          <w:rFonts w:ascii="Times New Roman" w:cs="Times New Roman" w:eastAsia="Times New Roman" w:hAnsi="Times New Roman"/>
          <w:sz w:val="18"/>
          <w:szCs w:val="18"/>
          <w:i w:val="1"/>
          <w:iCs w:val="1"/>
          <w:color w:val="auto"/>
        </w:rPr>
        <w:t>(Order of application)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order the order of distribution under clause 40.6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in which any amount is payable under any Finance Document;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permitted by the provisions of any Finance Document) the nature or scope of:</w:t>
      </w:r>
    </w:p>
    <w:p>
      <w:pPr>
        <w:spacing w:after="0" w:line="223"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guarantee and indemnity granted under any Finance Document (including under clause 17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indemnity)</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Charged Property;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proceeds of enforcement of the Transaction Security are distributed;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of the Transaction Security or any guarantee or other obligation or the circumstances in which any of the Transaction Security or any guarantee or other obligations under any Finance Document is permitted or required to be released under any of the Finance Documents,</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made, or given, without the prior consent of all the Lenders.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46.3</w:t>
      </w:r>
      <w:r>
        <w:rPr>
          <w:sz w:val="20"/>
          <w:szCs w:val="20"/>
          <w:color w:val="auto"/>
        </w:rPr>
        <w:tab/>
      </w:r>
      <w:r>
        <w:rPr>
          <w:rFonts w:ascii="Times New Roman" w:cs="Times New Roman" w:eastAsia="Times New Roman" w:hAnsi="Times New Roman"/>
          <w:sz w:val="17"/>
          <w:szCs w:val="17"/>
          <w:b w:val="1"/>
          <w:bCs w:val="1"/>
          <w:color w:val="auto"/>
        </w:rPr>
        <w:t>Other exceptions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or waivers in respect of any Hedging Contract may be agreed by the relevant Hedging Provider party to it and the Borrower, without requiring consent by the Majority Lenders if such amendment or waiver does not otherwise breach or contravene any other term of this Agreement.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relates to the rights or obligations of the Agent, the Security Agent, any Hedging Provider, the Sustainability Co-ordinator or the Arrangers in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6" w:name="page337"/>
    <w:bookmarkEnd w:id="336"/>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respective capacities as such (and not just as a Lender) may not be effected without the prior written consent of the Agent, the Security Agent, the relevant Hedging Provider, the Sustainability Co-ordinator or the Arrangers (as the case may be).</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clauses 46.1 and 46.2 and paragraph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46.4</w:t>
      </w:r>
      <w:r>
        <w:rPr>
          <w:sz w:val="20"/>
          <w:szCs w:val="20"/>
          <w:color w:val="auto"/>
        </w:rPr>
        <w:tab/>
      </w:r>
      <w:r>
        <w:rPr>
          <w:rFonts w:ascii="Times New Roman" w:cs="Times New Roman" w:eastAsia="Times New Roman" w:hAnsi="Times New Roman"/>
          <w:sz w:val="17"/>
          <w:szCs w:val="17"/>
          <w:b w:val="1"/>
          <w:bCs w:val="1"/>
          <w:color w:val="auto"/>
        </w:rPr>
        <w:t>Releases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Except with the approval of the Lenders or for a release which is expressly permitted or required by the Finance Documents, the Agent shall not have authority to authorise the Security Agent to release (nor shall any Finance Party, unless so directed by the Security Agent in accordance with clause 36.4 </w:t>
      </w:r>
      <w:r>
        <w:rPr>
          <w:rFonts w:ascii="Times New Roman" w:cs="Times New Roman" w:eastAsia="Times New Roman" w:hAnsi="Times New Roman"/>
          <w:sz w:val="18"/>
          <w:szCs w:val="18"/>
          <w:i w:val="1"/>
          <w:iCs w:val="1"/>
          <w:color w:val="auto"/>
        </w:rPr>
        <w:t>(Enforcement through Security Agent only)</w:t>
      </w:r>
      <w:r>
        <w:rPr>
          <w:rFonts w:ascii="Times New Roman" w:cs="Times New Roman" w:eastAsia="Times New Roman" w:hAnsi="Times New Roman"/>
          <w:sz w:val="18"/>
          <w:szCs w:val="18"/>
          <w:color w:val="auto"/>
        </w:rPr>
        <w:t>, release):</w:t>
      </w:r>
    </w:p>
    <w:p>
      <w:pPr>
        <w:spacing w:after="0" w:line="176" w:lineRule="exact"/>
        <w:rPr>
          <w:sz w:val="20"/>
          <w:szCs w:val="20"/>
          <w:color w:val="auto"/>
        </w:rPr>
      </w:pPr>
    </w:p>
    <w:p>
      <w:pPr>
        <w:ind w:left="1300" w:hanging="644"/>
        <w:spacing w:after="0"/>
        <w:tabs>
          <w:tab w:leader="none" w:pos="130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Charged Property from the Transaction Security;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from any of its guarantee or other obligations under any Finance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46.5</w:t>
      </w:r>
      <w:r>
        <w:rPr>
          <w:sz w:val="20"/>
          <w:szCs w:val="20"/>
          <w:color w:val="auto"/>
        </w:rPr>
        <w:tab/>
      </w:r>
      <w:r>
        <w:rPr>
          <w:rFonts w:ascii="Times New Roman" w:cs="Times New Roman" w:eastAsia="Times New Roman" w:hAnsi="Times New Roman"/>
          <w:sz w:val="17"/>
          <w:szCs w:val="17"/>
          <w:b w:val="1"/>
          <w:bCs w:val="1"/>
          <w:color w:val="auto"/>
        </w:rPr>
        <w:t>Disenfranchisement of Defaulting Lenders</w:t>
      </w:r>
    </w:p>
    <w:p>
      <w:pPr>
        <w:spacing w:after="0" w:line="229" w:lineRule="exact"/>
        <w:rPr>
          <w:sz w:val="20"/>
          <w:szCs w:val="20"/>
          <w:color w:val="auto"/>
        </w:rPr>
      </w:pPr>
    </w:p>
    <w:p>
      <w:pPr>
        <w:ind w:left="1300" w:hanging="644"/>
        <w:spacing w:after="0"/>
        <w:tabs>
          <w:tab w:leader="none" w:pos="130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Defaulting Lender has any Available Commitment, in ascertaining: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495" w:val="left"/>
        </w:tabs>
        <w:numPr>
          <w:ilvl w:val="2"/>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under the Facility; or</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225" w:lineRule="exact"/>
        <w:rPr>
          <w:sz w:val="20"/>
          <w:szCs w:val="20"/>
          <w:color w:val="auto"/>
        </w:rPr>
      </w:pPr>
    </w:p>
    <w:p>
      <w:pPr>
        <w:ind w:left="1980"/>
        <w:spacing w:after="0" w:line="282"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of Lenders under the Finance Documents,</w:t>
      </w:r>
    </w:p>
    <w:p>
      <w:pPr>
        <w:spacing w:after="0" w:line="162" w:lineRule="exact"/>
        <w:rPr>
          <w:sz w:val="20"/>
          <w:szCs w:val="20"/>
          <w:color w:val="auto"/>
        </w:rPr>
      </w:pPr>
    </w:p>
    <w:p>
      <w:pPr>
        <w:jc w:val="both"/>
        <w:ind w:left="1480" w:right="20"/>
        <w:spacing w:after="0" w:line="266" w:lineRule="auto"/>
        <w:rPr>
          <w:sz w:val="20"/>
          <w:szCs w:val="20"/>
          <w:color w:val="auto"/>
        </w:rPr>
      </w:pPr>
      <w:r>
        <w:rPr>
          <w:rFonts w:ascii="Times New Roman" w:cs="Times New Roman" w:eastAsia="Times New Roman" w:hAnsi="Times New Roman"/>
          <w:sz w:val="18"/>
          <w:szCs w:val="18"/>
          <w:color w:val="auto"/>
        </w:rPr>
        <w:t>that Defaulting Lender’s Commitment will be reduced by the amount of its Available Commitment and, to the extent that such reduction results in that Defaulting Lender’s Commitment being zero, that Defaulting Lender shall be deemed not to be a Lender for the purposes of paragraphs (i) and (ii) above.</w:t>
      </w:r>
    </w:p>
    <w:p>
      <w:pPr>
        <w:spacing w:after="0" w:line="176" w:lineRule="exact"/>
        <w:rPr>
          <w:sz w:val="20"/>
          <w:szCs w:val="20"/>
          <w:color w:val="auto"/>
        </w:rPr>
      </w:pPr>
    </w:p>
    <w:p>
      <w:pPr>
        <w:ind w:left="1300" w:hanging="644"/>
        <w:spacing w:after="0"/>
        <w:tabs>
          <w:tab w:leader="none" w:pos="130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46.5, the Agent may assume that the following Lenders are Defaulting Lenders: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“Defaulting Lender” has occurred,</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46.6</w:t>
      </w:r>
      <w:r>
        <w:rPr>
          <w:sz w:val="20"/>
          <w:szCs w:val="20"/>
          <w:color w:val="auto"/>
        </w:rPr>
        <w:tab/>
      </w:r>
      <w:r>
        <w:rPr>
          <w:rFonts w:ascii="Times New Roman" w:cs="Times New Roman" w:eastAsia="Times New Roman" w:hAnsi="Times New Roman"/>
          <w:sz w:val="17"/>
          <w:szCs w:val="17"/>
          <w:b w:val="1"/>
          <w:bCs w:val="1"/>
          <w:color w:val="auto"/>
        </w:rPr>
        <w:t>Replacement of a Defaulting Lender</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a Lender has become and continues to be a Defaulting Lender, by giving 10 Business Days’ prior written notice to the Agent and such Lender replace such Lender by requiring such Lender to (and to the extent permitted by law such</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37" w:name="page338"/>
    <w:bookmarkEnd w:id="337"/>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 xml:space="preserve">Lender shall) assign pursuant to clause 32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xml:space="preserve"> all (and not part only) of its rights under this Agreement (and any Security Document to which that Lender is a party in its capacity as a Lender) to an Eligible Institution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selected by the Borrower and which (unless the Agent is an Impaired Agent) is acceptable to the Agent and which confirms its willingness to assume and does assume all the obligations or all the relevant obligations of the assigning Lender in accordance with clause 32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xml:space="preserve"> for a purchase price in cash payable at the time of transfer which is either:</w:t>
      </w:r>
    </w:p>
    <w:p>
      <w:pPr>
        <w:spacing w:after="0" w:line="184" w:lineRule="exact"/>
        <w:rPr>
          <w:sz w:val="20"/>
          <w:szCs w:val="20"/>
          <w:color w:val="auto"/>
        </w:rPr>
      </w:pPr>
    </w:p>
    <w:p>
      <w:pPr>
        <w:ind w:left="1960" w:hanging="656"/>
        <w:spacing w:after="0"/>
        <w:tabs>
          <w:tab w:leader="none" w:pos="19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equal to:</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such Lender's participation in any outstanding Loans;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interest owing to such Lender;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95"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amounts payable to that Lender under the Finance Documents on the date of the assignment;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agreed between that Defaulting Lender, the Replacement Lender and the Borrower and which does not exceed the amount described in paragraph (i) above.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by a Defaulting Lender pursuant to this clause 46.6 shall be subject to the following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 or the Security Agent;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Defaulting Lender shall have any obligation to the Borrower to find a Replacement Lender;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must take place no later than 14 Business Days after the notice referred to in paragraph (a) above (or such other longer period as agreed by the Majority Lenders);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Defaulting Lender be required to pay or surrender to the Replacement Lender any of the fees received by the Defaulting Lender pursuant to the Finance Documents;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Lender shall only be obliged to assign its rights pursuant to paragraph (a) above once it is satisfied that it has complied with all necessary “know your customer” or other similar checks under all applicable laws and regulations in relation to that assignment to the Replacement Lender.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Lender shall perform the checks described in paragraph (b) (v) above as soon as reasonably practicable following delivery of a notice referred to in paragraph (a) above and shall notify the Agent and the Borrower when it is satisfied that it has complied with those checks.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46.7</w:t>
      </w:r>
      <w:r>
        <w:rPr>
          <w:sz w:val="20"/>
          <w:szCs w:val="20"/>
          <w:color w:val="auto"/>
        </w:rPr>
        <w:tab/>
      </w:r>
      <w:r>
        <w:rPr>
          <w:rFonts w:ascii="Times New Roman" w:cs="Times New Roman" w:eastAsia="Times New Roman" w:hAnsi="Times New Roman"/>
          <w:sz w:val="17"/>
          <w:szCs w:val="17"/>
          <w:b w:val="1"/>
          <w:bCs w:val="1"/>
          <w:color w:val="auto"/>
        </w:rPr>
        <w:t>Excluded Commitments; “Snooze you lose”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any Defaulting Lender fails to respond to a request for a consent, waiver, amendment of or in relation to any term of any Finance Document or any other vote of Lenders under the terms of this Agreement within fifteen (15) Business Days of that request being made (unless the Borrower and the Agent agree to a longer time period in relation to any request):</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Commitments or its participation in the Loans shall not be included for the purpose of calculating the Total Commitments or the amount of the Loans when ascertaining whether any relevant percentage (including, for the avoidance of doubt, unanimity) of Total Commitments or the amount of the Loans has been obtained to approve that request;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38" w:name="page339"/>
    <w:bookmarkEnd w:id="338"/>
    <w:p>
      <w:pPr>
        <w:ind w:left="1300" w:hanging="644"/>
        <w:spacing w:after="0" w:line="282" w:lineRule="auto"/>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any specified group of Lenders has been obtained to approve that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46.8</w:t>
      </w:r>
      <w:r>
        <w:rPr>
          <w:sz w:val="20"/>
          <w:szCs w:val="20"/>
          <w:color w:val="auto"/>
        </w:rPr>
        <w:tab/>
      </w:r>
      <w:r>
        <w:rPr>
          <w:rFonts w:ascii="Times New Roman" w:cs="Times New Roman" w:eastAsia="Times New Roman" w:hAnsi="Times New Roman"/>
          <w:sz w:val="17"/>
          <w:szCs w:val="17"/>
          <w:b w:val="1"/>
          <w:bCs w:val="1"/>
          <w:color w:val="auto"/>
        </w:rPr>
        <w:t>Disenfranchisement of Borrower Affiliates</w:t>
      </w:r>
    </w:p>
    <w:p>
      <w:pPr>
        <w:spacing w:after="0" w:line="229" w:lineRule="exact"/>
        <w:rPr>
          <w:sz w:val="20"/>
          <w:szCs w:val="20"/>
          <w:color w:val="auto"/>
        </w:rPr>
      </w:pPr>
    </w:p>
    <w:p>
      <w:pPr>
        <w:ind w:left="1300" w:hanging="644"/>
        <w:spacing w:after="0"/>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Borrower Affiliate: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a Commitment;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into a sub-participation agreement relating to a Commitment or other agreement or arrangement having a substantially similar economic effect and such agreement or arrangement has not been terminated,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ascertaining:</w:t>
      </w:r>
    </w:p>
    <w:p>
      <w:pPr>
        <w:spacing w:after="0" w:line="225" w:lineRule="exact"/>
        <w:rPr>
          <w:sz w:val="20"/>
          <w:szCs w:val="20"/>
          <w:color w:val="auto"/>
        </w:rPr>
      </w:pPr>
    </w:p>
    <w:p>
      <w:pPr>
        <w:ind w:left="2500" w:hanging="548"/>
        <w:spacing w:after="0"/>
        <w:tabs>
          <w:tab w:leader="none" w:pos="250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225" w:lineRule="exact"/>
        <w:rPr>
          <w:rFonts w:ascii="Times New Roman" w:cs="Times New Roman" w:eastAsia="Times New Roman" w:hAnsi="Times New Roman"/>
          <w:sz w:val="18"/>
          <w:szCs w:val="18"/>
          <w:color w:val="auto"/>
        </w:rPr>
      </w:pPr>
    </w:p>
    <w:p>
      <w:pPr>
        <w:ind w:left="3240" w:right="20" w:hanging="640"/>
        <w:spacing w:after="0" w:line="282" w:lineRule="auto"/>
        <w:tabs>
          <w:tab w:leader="none" w:pos="324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or</w:t>
      </w:r>
    </w:p>
    <w:p>
      <w:pPr>
        <w:spacing w:after="0" w:line="16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225" w:lineRule="exact"/>
        <w:rPr>
          <w:sz w:val="20"/>
          <w:szCs w:val="20"/>
          <w:color w:val="auto"/>
        </w:rPr>
      </w:pPr>
    </w:p>
    <w:p>
      <w:pPr>
        <w:ind w:left="2600"/>
        <w:spacing w:after="0" w:line="282"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such Commitment shall be deemed to be zero and such Borrower Affiliate or the person with whom it has entered into such sub-participation, other agreement or arrangement shall be deemed not to be a Lender for the purposes of paragraphs (A) and (B) above (unless in the case of a person not being a Borrower Affiliate it is a Lender by virtue otherwise than by beneficially owning the relevant Commitment).</w:t>
      </w:r>
    </w:p>
    <w:p>
      <w:pPr>
        <w:spacing w:after="0" w:line="180" w:lineRule="exact"/>
        <w:rPr>
          <w:sz w:val="20"/>
          <w:szCs w:val="20"/>
          <w:color w:val="auto"/>
        </w:rPr>
      </w:pPr>
    </w:p>
    <w:p>
      <w:pPr>
        <w:jc w:val="both"/>
        <w:ind w:left="1300" w:hanging="644"/>
        <w:spacing w:after="0" w:line="261" w:lineRule="auto"/>
        <w:tabs>
          <w:tab w:leader="none" w:pos="130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unless such Debt Purchase Transaction is an assignment or transfer, promptly notify the Agent in writing if it knowingly enters into a Debt Purchase Transaction with a Borrower Affiliate (a Notifiable Debt Purchase Transaction), such notification to be substantially in the form set out in Part I of Schedule 8 (</w:t>
      </w:r>
      <w:r>
        <w:rPr>
          <w:rFonts w:ascii="Times New Roman" w:cs="Times New Roman" w:eastAsia="Times New Roman" w:hAnsi="Times New Roman"/>
          <w:sz w:val="18"/>
          <w:szCs w:val="18"/>
          <w:i w:val="1"/>
          <w:iCs w:val="1"/>
          <w:color w:val="auto"/>
        </w:rPr>
        <w:t>Forms of Notifiable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Transaction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promptly notify the Agent if a Notifiable Debt Purchase Transaction to which it is a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with a Borrower Affiliate,</w:t>
      </w:r>
    </w:p>
    <w:p>
      <w:pPr>
        <w:spacing w:after="0" w:line="223" w:lineRule="exact"/>
        <w:rPr>
          <w:sz w:val="20"/>
          <w:szCs w:val="20"/>
          <w:color w:val="auto"/>
        </w:rPr>
      </w:pPr>
    </w:p>
    <w:p>
      <w:pPr>
        <w:ind w:left="1300" w:right="20"/>
        <w:spacing w:after="0" w:line="284" w:lineRule="auto"/>
        <w:rPr>
          <w:sz w:val="20"/>
          <w:szCs w:val="20"/>
          <w:color w:val="auto"/>
        </w:rPr>
      </w:pPr>
      <w:r>
        <w:rPr>
          <w:rFonts w:ascii="Times New Roman" w:cs="Times New Roman" w:eastAsia="Times New Roman" w:hAnsi="Times New Roman"/>
          <w:sz w:val="18"/>
          <w:szCs w:val="18"/>
          <w:color w:val="auto"/>
        </w:rPr>
        <w:t>such notification to be substantially in the form set out in Part II of Schedule 8 (</w:t>
      </w:r>
      <w:r>
        <w:rPr>
          <w:rFonts w:ascii="Times New Roman" w:cs="Times New Roman" w:eastAsia="Times New Roman" w:hAnsi="Times New Roman"/>
          <w:sz w:val="18"/>
          <w:szCs w:val="18"/>
          <w:i w:val="1"/>
          <w:iCs w:val="1"/>
          <w:color w:val="auto"/>
        </w:rPr>
        <w:t>Forms of Notifiable Debt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hanging="644"/>
        <w:spacing w:after="0"/>
        <w:tabs>
          <w:tab w:leader="none" w:pos="130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Affiliate that is a Lender agrees that: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Lender, unless the Agent otherwise agrees, it shall not be entitled to receive any report or other document prepared at the behest of, or on the instructions of, the Agent or one or more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39" w:name="page340"/>
    <w:bookmarkEnd w:id="33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46.9</w:t>
      </w:r>
      <w:r>
        <w:rPr>
          <w:sz w:val="20"/>
          <w:szCs w:val="20"/>
          <w:color w:val="auto"/>
        </w:rPr>
        <w:tab/>
      </w:r>
      <w:r>
        <w:rPr>
          <w:rFonts w:ascii="Times New Roman" w:cs="Times New Roman" w:eastAsia="Times New Roman" w:hAnsi="Times New Roman"/>
          <w:sz w:val="17"/>
          <w:szCs w:val="17"/>
          <w:b w:val="1"/>
          <w:bCs w:val="1"/>
          <w:color w:val="auto"/>
        </w:rPr>
        <w:t>Modification and/or discontinuation of certain benchmarks</w:t>
      </w:r>
    </w:p>
    <w:p>
      <w:pPr>
        <w:spacing w:after="0" w:line="229" w:lineRule="exact"/>
        <w:rPr>
          <w:sz w:val="20"/>
          <w:szCs w:val="20"/>
          <w:color w:val="auto"/>
        </w:rPr>
      </w:pPr>
    </w:p>
    <w:p>
      <w:pPr>
        <w:ind w:left="1300" w:hanging="644"/>
        <w:spacing w:after="0" w:line="282" w:lineRule="auto"/>
        <w:tabs>
          <w:tab w:leader="none" w:pos="130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provisions of this Agreement, each Party acknowledges and agrees to the benefit of the other Parties that: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benchmarks used in this Agreement (1) may be subject to methodological or other changes which could affect their value, (2) may not comply with applicable laws and regulations and/or (3) may be permanently discontinued;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aforementioned events may have adverse consequences which may materially impact the economics of the financing transaction contemplated under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acknowledge that if any of the aforementioned events is forthcoming, they shall enter into negotiations with a view to agreeing the necessary changes to this Agreement in order to preserve the economics of the financing transaction contemplated therein and, in particular, the Margin initially agreed between the Parties. Such negotiations shall be carried out by each Party in good faith and in consideration of the then prevailing market practice (without prejudice to the particularities, as the case may be, of the transaction).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46.10</w:t>
      </w:r>
      <w:r>
        <w:rPr>
          <w:sz w:val="20"/>
          <w:szCs w:val="20"/>
          <w:color w:val="auto"/>
        </w:rPr>
        <w:tab/>
      </w:r>
      <w:r>
        <w:rPr>
          <w:rFonts w:ascii="Times New Roman" w:cs="Times New Roman" w:eastAsia="Times New Roman" w:hAnsi="Times New Roman"/>
          <w:sz w:val="17"/>
          <w:szCs w:val="17"/>
          <w:b w:val="1"/>
          <w:bCs w:val="1"/>
          <w:color w:val="auto"/>
        </w:rPr>
        <w:t>Changes to reference rates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agrees and acknowledges that it shall co-operate with the Finance Parties in good faith to agree and implement any amendment or waiver as contemplated pursuant to this clause 46.10 as a result of an RFR Replacement Event.</w:t>
      </w:r>
    </w:p>
    <w:p>
      <w:pPr>
        <w:spacing w:after="0" w:line="173"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46.3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if a RFR Replacement Event has occurred, any amendment or waiver with respect to any Finance Document (other than a Hedging Contract) which relates to:</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Reference Rate in place of (or in addition to) the RFR;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2500" w:hanging="548"/>
        <w:spacing w:after="0"/>
        <w:tabs>
          <w:tab w:leader="none" w:pos="250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Reference Rate;</w:t>
      </w:r>
    </w:p>
    <w:p>
      <w:pPr>
        <w:spacing w:after="0" w:line="225" w:lineRule="exact"/>
        <w:rPr>
          <w:rFonts w:ascii="Times New Roman" w:cs="Times New Roman" w:eastAsia="Times New Roman" w:hAnsi="Times New Roman"/>
          <w:sz w:val="18"/>
          <w:szCs w:val="18"/>
          <w:color w:val="auto"/>
        </w:rPr>
      </w:pPr>
    </w:p>
    <w:p>
      <w:pPr>
        <w:ind w:left="2600" w:hanging="648"/>
        <w:spacing w:after="0" w:line="266" w:lineRule="auto"/>
        <w:tabs>
          <w:tab w:leader="none" w:pos="249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7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Reference Rate;</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49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Reference Rate; or</w:t>
      </w:r>
    </w:p>
    <w:p>
      <w:pPr>
        <w:spacing w:after="0" w:line="161" w:lineRule="exact"/>
        <w:rPr>
          <w:rFonts w:ascii="Times New Roman" w:cs="Times New Roman" w:eastAsia="Times New Roman" w:hAnsi="Times New Roman"/>
          <w:sz w:val="18"/>
          <w:szCs w:val="18"/>
          <w:color w:val="auto"/>
        </w:rPr>
      </w:pPr>
    </w:p>
    <w:p>
      <w:pPr>
        <w:ind w:left="2600" w:hanging="648"/>
        <w:spacing w:after="0" w:line="258" w:lineRule="auto"/>
        <w:tabs>
          <w:tab w:leader="none" w:pos="249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all Lenders)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0" w:name="page341"/>
    <w:bookmarkEnd w:id="340"/>
    <w:p>
      <w:pPr>
        <w:ind w:left="840" w:hanging="644"/>
        <w:spacing w:after="0" w:line="282" w:lineRule="auto"/>
        <w:tabs>
          <w:tab w:leader="none" w:pos="84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 relates to, or has the effect of, aligning the means of calculation of interest on a Loan under this Agreement to any recommendation of a Relevant Nominating Body which:</w:t>
      </w:r>
    </w:p>
    <w:p>
      <w:pPr>
        <w:spacing w:after="0" w:line="16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use of a risk-free reference rate on a compounded basis in the international or any relevant domestic syndicated loan markets; and</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on or after the date of this Agreement,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all Lenders) and the Obligors.</w:t>
      </w:r>
    </w:p>
    <w:p>
      <w:pPr>
        <w:spacing w:after="0" w:line="225" w:lineRule="exact"/>
        <w:rPr>
          <w:sz w:val="20"/>
          <w:szCs w:val="20"/>
          <w:color w:val="auto"/>
        </w:rPr>
      </w:pPr>
    </w:p>
    <w:p>
      <w:pPr>
        <w:ind w:left="840" w:hanging="644"/>
        <w:spacing w:after="0"/>
        <w:tabs>
          <w:tab w:leader="none" w:pos="84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46.10, the following definitions shall have the following meanings:</w:t>
      </w:r>
    </w:p>
    <w:p>
      <w:pPr>
        <w:spacing w:after="0" w:line="221" w:lineRule="exact"/>
        <w:rPr>
          <w:rFonts w:ascii="Times New Roman" w:cs="Times New Roman" w:eastAsia="Times New Roman" w:hAnsi="Times New Roman"/>
          <w:sz w:val="18"/>
          <w:szCs w:val="18"/>
          <w:color w:val="auto"/>
        </w:rPr>
      </w:pPr>
    </w:p>
    <w:p>
      <w:pPr>
        <w:jc w:val="both"/>
        <w:ind w:left="8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Relevant Nominating Body </w:t>
      </w:r>
      <w:r>
        <w:rPr>
          <w:rFonts w:ascii="Times New Roman" w:cs="Times New Roman" w:eastAsia="Times New Roman" w:hAnsi="Times New Roman"/>
          <w:sz w:val="18"/>
          <w:szCs w:val="18"/>
          <w:color w:val="auto"/>
        </w:rPr>
        <w:t>means any applicable central bank, regulator or other supervisory authority or a group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or any working group or committee sponsored or chaired by, or constituted at the request of, any of them or the Financial Stability Board.</w:t>
      </w:r>
    </w:p>
    <w:p>
      <w:pPr>
        <w:spacing w:after="0" w:line="170"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Replacement Reference Rate </w:t>
      </w:r>
      <w:r>
        <w:rPr>
          <w:rFonts w:ascii="Times New Roman" w:cs="Times New Roman" w:eastAsia="Times New Roman" w:hAnsi="Times New Roman"/>
          <w:sz w:val="18"/>
          <w:szCs w:val="18"/>
          <w:color w:val="auto"/>
        </w:rPr>
        <w:t>means a reference rate which is:</w:t>
      </w:r>
    </w:p>
    <w:p>
      <w:pPr>
        <w:spacing w:after="0" w:line="22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the RFR by:</w:t>
      </w:r>
    </w:p>
    <w:p>
      <w:pPr>
        <w:spacing w:after="0" w:line="225" w:lineRule="exact"/>
        <w:rPr>
          <w:rFonts w:ascii="Times New Roman" w:cs="Times New Roman" w:eastAsia="Times New Roman" w:hAnsi="Times New Roman"/>
          <w:sz w:val="18"/>
          <w:szCs w:val="18"/>
          <w:color w:val="auto"/>
        </w:rPr>
      </w:pPr>
    </w:p>
    <w:p>
      <w:pPr>
        <w:ind w:left="2140" w:hanging="648"/>
        <w:spacing w:after="0" w:line="282" w:lineRule="auto"/>
        <w:tabs>
          <w:tab w:leader="none" w:pos="214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RFR (provided that the market or economic reality that such reference rate measures is the same as that measured by the RFR); or</w:t>
      </w:r>
    </w:p>
    <w:p>
      <w:pPr>
        <w:spacing w:after="0" w:line="161"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225"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Reference Rate" will be the replacement under paragraph (ii) above;</w:t>
      </w:r>
    </w:p>
    <w:p>
      <w:pPr>
        <w:spacing w:after="0" w:line="162" w:lineRule="exact"/>
        <w:rPr>
          <w:sz w:val="20"/>
          <w:szCs w:val="20"/>
          <w:color w:val="auto"/>
        </w:rPr>
      </w:pPr>
    </w:p>
    <w:p>
      <w:pPr>
        <w:ind w:left="1500" w:hanging="656"/>
        <w:spacing w:after="0" w:line="282" w:lineRule="auto"/>
        <w:tabs>
          <w:tab w:leader="none" w:pos="1424"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all Lenders and the Obligors, generally accepted in the international or any relevant domestic syndicated loan markets as the appropriate successor or alternative to the RFR; or</w:t>
      </w:r>
    </w:p>
    <w:p>
      <w:pPr>
        <w:spacing w:after="0" w:line="161" w:lineRule="exact"/>
        <w:rPr>
          <w:rFonts w:ascii="Times New Roman" w:cs="Times New Roman" w:eastAsia="Times New Roman" w:hAnsi="Times New Roman"/>
          <w:sz w:val="18"/>
          <w:szCs w:val="18"/>
          <w:color w:val="auto"/>
        </w:rPr>
      </w:pPr>
    </w:p>
    <w:p>
      <w:pPr>
        <w:ind w:left="1420" w:hanging="576"/>
        <w:spacing w:after="0"/>
        <w:tabs>
          <w:tab w:leader="none" w:pos="142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all Lenders and the Borrower, an appropriate successor or alternative to the RFR.</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RFR Replacement Event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500" w:right="20" w:hanging="656"/>
        <w:spacing w:after="0" w:line="282" w:lineRule="auto"/>
        <w:tabs>
          <w:tab w:leader="none" w:pos="150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the RFR has, in the opinion of all Lenders and the Borrower, materially changed; or</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2780" w:hanging="640"/>
        <w:spacing w:after="0" w:line="282" w:lineRule="auto"/>
        <w:tabs>
          <w:tab w:leader="none" w:pos="2537"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RFR or its supervisor publicly announces that such administrator is insolvent; or</w:t>
      </w:r>
    </w:p>
    <w:p>
      <w:pPr>
        <w:spacing w:after="0" w:line="161" w:lineRule="exact"/>
        <w:rPr>
          <w:rFonts w:ascii="Times New Roman" w:cs="Times New Roman" w:eastAsia="Times New Roman" w:hAnsi="Times New Roman"/>
          <w:sz w:val="18"/>
          <w:szCs w:val="18"/>
          <w:color w:val="auto"/>
        </w:rPr>
      </w:pPr>
    </w:p>
    <w:p>
      <w:pPr>
        <w:ind w:left="2780" w:hanging="640"/>
        <w:spacing w:after="0" w:line="261" w:lineRule="auto"/>
        <w:tabs>
          <w:tab w:leader="none" w:pos="2537"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RFR is insolvent,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provided that, in each case, at that time, there is no successor administrator to continue to provide the RFR;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341" w:name="page342"/>
    <w:bookmarkEnd w:id="341"/>
    <w:p>
      <w:pPr>
        <w:jc w:val="both"/>
        <w:ind w:left="2600" w:hanging="648"/>
        <w:spacing w:after="0" w:line="266" w:lineRule="auto"/>
        <w:tabs>
          <w:tab w:leader="none" w:pos="260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RFR publicly announces that it has ceased or will cease, to provide the RFR permanently or indefinitely and, at that time, there is no successor administrator to continue to provide the RFR; or</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95"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the RFR publicly announces that the RFR has been or will be permanently or indefinitely discontinued; or</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RFR or its supervisor announces that the RFR may no longer be used;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RFR determines that the RFR should be calculated in accordance with its reduced submissions or other contingency or fallback policies or arrangements and either: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495"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all Lenders and the Obligors) temporary; or</w:t>
      </w:r>
    </w:p>
    <w:p>
      <w:pPr>
        <w:spacing w:after="0" w:line="161"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95"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RFR is calculated in accordance with any such policy or arrangement for a period no less than the period specified as the “RFR Contingency Period” in the Reference Rate Terms;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all Lenders and the Borrower, the RFR is otherwise no longer appropriate for the purposes of calculating interest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46.11</w:t>
      </w:r>
      <w:r>
        <w:rPr>
          <w:sz w:val="20"/>
          <w:szCs w:val="20"/>
          <w:color w:val="auto"/>
        </w:rPr>
        <w:tab/>
      </w:r>
      <w:r>
        <w:rPr>
          <w:rFonts w:ascii="Times New Roman" w:cs="Times New Roman" w:eastAsia="Times New Roman" w:hAnsi="Times New Roman"/>
          <w:sz w:val="17"/>
          <w:szCs w:val="17"/>
          <w:b w:val="1"/>
          <w:bCs w:val="1"/>
          <w:color w:val="auto"/>
        </w:rPr>
        <w:t>Sanctions exceptions</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Lender that is incorporated in Germany and any other Lender that notifies the Agent that this Clause 46.11 (</w:t>
      </w:r>
      <w:r>
        <w:rPr>
          <w:rFonts w:ascii="Times New Roman" w:cs="Times New Roman" w:eastAsia="Times New Roman" w:hAnsi="Times New Roman"/>
          <w:sz w:val="18"/>
          <w:szCs w:val="18"/>
          <w:i w:val="1"/>
          <w:iCs w:val="1"/>
          <w:color w:val="auto"/>
        </w:rPr>
        <w:t>Sanctions exceptions</w:t>
      </w:r>
      <w:r>
        <w:rPr>
          <w:rFonts w:ascii="Times New Roman" w:cs="Times New Roman" w:eastAsia="Times New Roman" w:hAnsi="Times New Roman"/>
          <w:sz w:val="18"/>
          <w:szCs w:val="18"/>
          <w:color w:val="auto"/>
        </w:rPr>
        <w:t>) applies to it (each a “</w:t>
      </w:r>
      <w:r>
        <w:rPr>
          <w:rFonts w:ascii="Times New Roman" w:cs="Times New Roman" w:eastAsia="Times New Roman" w:hAnsi="Times New Roman"/>
          <w:sz w:val="18"/>
          <w:szCs w:val="18"/>
          <w:b w:val="1"/>
          <w:bCs w:val="1"/>
          <w:color w:val="auto"/>
        </w:rPr>
        <w:t>Restricted Lender</w:t>
      </w:r>
      <w:r>
        <w:rPr>
          <w:rFonts w:ascii="Times New Roman" w:cs="Times New Roman" w:eastAsia="Times New Roman" w:hAnsi="Times New Roman"/>
          <w:sz w:val="18"/>
          <w:szCs w:val="18"/>
          <w:color w:val="auto"/>
        </w:rPr>
        <w:t>”), clause 7.10 (</w:t>
      </w:r>
      <w:r>
        <w:rPr>
          <w:rFonts w:ascii="Times New Roman" w:cs="Times New Roman" w:eastAsia="Times New Roman" w:hAnsi="Times New Roman"/>
          <w:sz w:val="18"/>
          <w:szCs w:val="18"/>
          <w:i w:val="1"/>
          <w:iCs w:val="1"/>
          <w:color w:val="auto"/>
        </w:rPr>
        <w:t>Mandatory prepayment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cancellation following non- compliance with Sanctions</w:t>
      </w:r>
      <w:r>
        <w:rPr>
          <w:rFonts w:ascii="Times New Roman" w:cs="Times New Roman" w:eastAsia="Times New Roman" w:hAnsi="Times New Roman"/>
          <w:sz w:val="18"/>
          <w:szCs w:val="18"/>
          <w:color w:val="auto"/>
        </w:rPr>
        <w:t>), Clause 18.35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Sanctions Provisions</w:t>
      </w:r>
      <w:r>
        <w:rPr>
          <w:rFonts w:ascii="Times New Roman" w:cs="Times New Roman" w:eastAsia="Times New Roman" w:hAnsi="Times New Roman"/>
          <w:sz w:val="18"/>
          <w:szCs w:val="18"/>
          <w:color w:val="auto"/>
        </w:rPr>
        <w:t>) will not apply for the benefit of that Restricted Lender to the extent that the Sanctions Provisions would result in any violation of or liability under section 7 of the German Außenwirtschaftsverordnung (foreign trade rules) or any provision of Council Regulation (EC) 2271/1996 (in conjunction with Commission Delegated Regulation EU 2018/1100).</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Lender will not, in the event of and on the sole basis of, a breach of any Sanctions imposed by any of the governments or official institutions or agencies or other relevant Sanctions Authority set out in Clause 21.13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xml:space="preserve">) other than the United Nations, European Union or Germany (a </w:t>
      </w:r>
      <w:r>
        <w:rPr>
          <w:rFonts w:ascii="Times New Roman" w:cs="Times New Roman" w:eastAsia="Times New Roman" w:hAnsi="Times New Roman"/>
          <w:sz w:val="18"/>
          <w:szCs w:val="18"/>
          <w:b w:val="1"/>
          <w:bCs w:val="1"/>
          <w:color w:val="auto"/>
        </w:rPr>
        <w:t>Sanctions Breach</w:t>
      </w:r>
      <w:r>
        <w:rPr>
          <w:rFonts w:ascii="Times New Roman" w:cs="Times New Roman" w:eastAsia="Times New Roman" w:hAnsi="Times New Roman"/>
          <w:sz w:val="18"/>
          <w:szCs w:val="18"/>
          <w:color w:val="auto"/>
        </w:rPr>
        <w:t>), be entitled to:</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its Commitment is cancelled or require a mandatory prepayment of its participation in the Loans in accordance with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any other rights under the Finance Documents on the sole basis of such Sanctions Breach.</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proposal to enforce, or to instruct the Agent to enforce, a Sanctions Breach, a Restricted Lender may abstain or vote against any proposal to take action in relation to a Sanctions Breach, but will not vote in favour of any such proposal.</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Clause 46.11 (</w:t>
      </w:r>
      <w:r>
        <w:rPr>
          <w:rFonts w:ascii="Times New Roman" w:cs="Times New Roman" w:eastAsia="Times New Roman" w:hAnsi="Times New Roman"/>
          <w:sz w:val="18"/>
          <w:szCs w:val="18"/>
          <w:i w:val="1"/>
          <w:iCs w:val="1"/>
          <w:color w:val="auto"/>
        </w:rPr>
        <w:t>Sanctions exceptions</w:t>
      </w:r>
      <w:r>
        <w:rPr>
          <w:rFonts w:ascii="Times New Roman" w:cs="Times New Roman" w:eastAsia="Times New Roman" w:hAnsi="Times New Roman"/>
          <w:sz w:val="18"/>
          <w:szCs w:val="18"/>
          <w:color w:val="auto"/>
        </w:rPr>
        <w:t>) will affect the rights of a Restricted Lender under any other provision of the Finance Documents or its right to benefit as a Lender from any action taken by the Agent or the other Lenders in relation to the Finance Documents (whether in relation to any of the Sanctions Provisions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2" w:name="page343"/>
    <w:bookmarkEnd w:id="342"/>
    <w:p>
      <w:pPr>
        <w:jc w:val="both"/>
        <w:ind w:right="7320" w:firstLine="8"/>
        <w:spacing w:after="0" w:line="503" w:lineRule="auto"/>
        <w:tabs>
          <w:tab w:leader="none" w:pos="648"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47.1 Confidential Information</w:t>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Each Finance Party agrees to keep all Confidential Information confidential and not to disclose it to anyone, save to the extent permitted by clause 47.2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xml:space="preserve"> and clause 47.3 </w:t>
      </w:r>
      <w:r>
        <w:rPr>
          <w:rFonts w:ascii="Times New Roman" w:cs="Times New Roman" w:eastAsia="Times New Roman" w:hAnsi="Times New Roman"/>
          <w:sz w:val="18"/>
          <w:szCs w:val="18"/>
          <w:i w:val="1"/>
          <w:iCs w:val="1"/>
          <w:color w:val="auto"/>
        </w:rPr>
        <w:t>(Disclosure to numbering service providers)</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229" w:lineRule="exact"/>
        <w:rPr>
          <w:sz w:val="20"/>
          <w:szCs w:val="20"/>
          <w:color w:val="auto"/>
        </w:rPr>
      </w:pPr>
    </w:p>
    <w:p>
      <w:pPr>
        <w:ind w:left="1300" w:hanging="644"/>
        <w:spacing w:after="0"/>
        <w:tabs>
          <w:tab w:leader="none" w:pos="130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disclose: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and Related Funds and any of its or their officers, directors, employees, professional advisers, auditors, partners and Representatives and to any of their insurers, reinsurers, insurance brokers and their own officers, partners, employees, Affiliates, professional or other advisers or Representatives (irrespective of whether such party is located in the jurisdiction where a Finance Party is located) such Confidential Information as that Finance Party shall consider appropriate if any person to whom the Confidential Information is to be given pursuant to this paragraph (i)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and</w:t>
      </w:r>
    </w:p>
    <w:p>
      <w:pPr>
        <w:spacing w:after="0" w:line="194"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underwriter, insurance company, mutual insurance association or other insurer (or their officers, directors, employees, professional advisers, auditors or partners) or broker with or through whom the Agent or the Security Agent has effected or proposes to effect any form of insurance for the benefit of any of the Finance Parties in relation to their interests and/or potential liabilities in relation to the Transaction Security (including, but not limited to, any mortgagee interest insurance or mortgagee additional perils insurance) such Confidential Information as the Agent or the Security Agent shall consider appropriate in relation to that insurance.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and any of that Finance Party’s Affiliates may disclose to any person: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(including derivative market participants) and/or one or more Obligors and to any of that person’s Affiliates, Related Funds, Representatives and professional advisers and actual or potential credit protection providers;</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appointed by any Finance Party or any of that Finance Party’s Affiliates or by a person to whom paragraphs (b)(i) or (b)(ii) above applies to receive communications, notices, information or documents delivered pursuant to the Finance Documents on its behalf (including, without limitation, any person appointed under paragraph (b) of clause 34.20 </w:t>
      </w:r>
      <w:r>
        <w:rPr>
          <w:rFonts w:ascii="Times New Roman" w:cs="Times New Roman" w:eastAsia="Times New Roman" w:hAnsi="Times New Roman"/>
          <w:sz w:val="18"/>
          <w:szCs w:val="18"/>
          <w:i w:val="1"/>
          <w:iCs w:val="1"/>
          <w:color w:val="auto"/>
        </w:rPr>
        <w:t>(Agent’s relationship with the Lenders and Hedging Providers)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3" w:name="page344"/>
    <w:bookmarkEnd w:id="343"/>
    <w:p>
      <w:pPr>
        <w:ind w:left="1500" w:hanging="656"/>
        <w:spacing w:after="0"/>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any of that Finance Party’s Affiliates or by a person to whom paragraph (b)</w:t>
      </w:r>
    </w:p>
    <w:p>
      <w:pPr>
        <w:spacing w:after="0" w:line="27" w:lineRule="exact"/>
        <w:rPr>
          <w:rFonts w:ascii="Times New Roman" w:cs="Times New Roman" w:eastAsia="Times New Roman" w:hAnsi="Times New Roman"/>
          <w:sz w:val="18"/>
          <w:szCs w:val="18"/>
          <w:color w:val="auto"/>
        </w:rPr>
      </w:pPr>
    </w:p>
    <w:p>
      <w:pPr>
        <w:ind w:left="1500" w:hanging="8"/>
        <w:spacing w:after="0" w:line="260" w:lineRule="auto"/>
        <w:tabs>
          <w:tab w:leader="none" w:pos="1784"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applies to act as a verification agent in respect of any transaction referred to in paragraph (b)(ii) above;</w:t>
      </w:r>
    </w:p>
    <w:p>
      <w:pPr>
        <w:spacing w:after="0" w:line="181"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paragraphs (b)(i) or (ii) above;</w:t>
      </w:r>
    </w:p>
    <w:p>
      <w:pPr>
        <w:spacing w:after="0" w:line="161" w:lineRule="exact"/>
        <w:rPr>
          <w:rFonts w:ascii="Times New Roman" w:cs="Times New Roman" w:eastAsia="Times New Roman" w:hAnsi="Times New Roman"/>
          <w:sz w:val="18"/>
          <w:szCs w:val="18"/>
          <w:color w:val="auto"/>
        </w:rPr>
      </w:pPr>
    </w:p>
    <w:p>
      <w:pPr>
        <w:jc w:val="both"/>
        <w:ind w:left="1500" w:hanging="656"/>
        <w:spacing w:after="0" w:line="266" w:lineRule="auto"/>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tribunal or governmental, banking, taxation or other regulatory authority or similar body, the rules of any relevant stock exchange or pursuant to any applicable law or regulation;</w:t>
      </w:r>
    </w:p>
    <w:p>
      <w:pPr>
        <w:spacing w:after="0" w:line="175" w:lineRule="exact"/>
        <w:rPr>
          <w:rFonts w:ascii="Times New Roman" w:cs="Times New Roman" w:eastAsia="Times New Roman" w:hAnsi="Times New Roman"/>
          <w:sz w:val="18"/>
          <w:szCs w:val="18"/>
          <w:color w:val="auto"/>
        </w:rPr>
      </w:pPr>
    </w:p>
    <w:p>
      <w:pPr>
        <w:ind w:left="1500" w:hanging="656"/>
        <w:spacing w:after="0" w:line="282" w:lineRule="auto"/>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161" w:lineRule="exact"/>
        <w:rPr>
          <w:rFonts w:ascii="Times New Roman" w:cs="Times New Roman" w:eastAsia="Times New Roman" w:hAnsi="Times New Roman"/>
          <w:sz w:val="18"/>
          <w:szCs w:val="18"/>
          <w:color w:val="auto"/>
        </w:rPr>
      </w:pPr>
    </w:p>
    <w:p>
      <w:pPr>
        <w:ind w:left="1500" w:right="20" w:hanging="656"/>
        <w:spacing w:after="0" w:line="282" w:lineRule="auto"/>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whom or for whose benefit that Finance Party charges, assigns or otherwise creates Security Interest (or may do so) pursuant to clause 32.10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225"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225" w:lineRule="exact"/>
        <w:rPr>
          <w:sz w:val="20"/>
          <w:szCs w:val="20"/>
          <w:color w:val="auto"/>
        </w:rPr>
      </w:pPr>
    </w:p>
    <w:p>
      <w:pPr>
        <w:ind w:left="2140" w:hanging="648"/>
        <w:spacing w:after="0" w:line="261" w:lineRule="auto"/>
        <w:tabs>
          <w:tab w:leader="none" w:pos="2035"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(b)(ii), (b)(iii) and (b)(iv)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79" w:lineRule="exact"/>
        <w:rPr>
          <w:rFonts w:ascii="Times New Roman" w:cs="Times New Roman" w:eastAsia="Times New Roman" w:hAnsi="Times New Roman"/>
          <w:sz w:val="18"/>
          <w:szCs w:val="18"/>
          <w:color w:val="auto"/>
        </w:rPr>
      </w:pPr>
    </w:p>
    <w:p>
      <w:pPr>
        <w:ind w:left="2140" w:hanging="648"/>
        <w:spacing w:after="0" w:line="261" w:lineRule="auto"/>
        <w:tabs>
          <w:tab w:leader="none" w:pos="2035"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79" w:lineRule="exact"/>
        <w:rPr>
          <w:rFonts w:ascii="Times New Roman" w:cs="Times New Roman" w:eastAsia="Times New Roman" w:hAnsi="Times New Roman"/>
          <w:sz w:val="18"/>
          <w:szCs w:val="18"/>
          <w:color w:val="auto"/>
        </w:rPr>
      </w:pPr>
    </w:p>
    <w:p>
      <w:pPr>
        <w:ind w:left="2140" w:hanging="648"/>
        <w:spacing w:after="0" w:line="258" w:lineRule="auto"/>
        <w:tabs>
          <w:tab w:leader="none" w:pos="2035"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(b)(vi), (b)(vii) and (b)(viii)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83" w:lineRule="exact"/>
        <w:rPr>
          <w:rFonts w:ascii="Times New Roman" w:cs="Times New Roman" w:eastAsia="Times New Roman" w:hAnsi="Times New Roman"/>
          <w:sz w:val="18"/>
          <w:szCs w:val="18"/>
          <w:color w:val="auto"/>
        </w:rPr>
      </w:pPr>
    </w:p>
    <w:p>
      <w:pPr>
        <w:jc w:val="both"/>
        <w:ind w:left="1500" w:hanging="656"/>
        <w:spacing w:after="0" w:line="254" w:lineRule="auto"/>
        <w:tabs>
          <w:tab w:leader="none" w:pos="15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paragraphs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(xi)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344" w:name="page345"/>
    <w:bookmarkEnd w:id="344"/>
    <w:p>
      <w:pPr>
        <w:jc w:val="both"/>
        <w:ind w:left="1960" w:hanging="656"/>
        <w:spacing w:after="0" w:line="258" w:lineRule="auto"/>
        <w:tabs>
          <w:tab w:leader="none" w:pos="196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this Agreement;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50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Agent and the Arrangers;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of the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w:t>
      </w:r>
    </w:p>
    <w:p>
      <w:pPr>
        <w:spacing w:after="0" w:line="225" w:lineRule="exact"/>
        <w:rPr>
          <w:sz w:val="20"/>
          <w:szCs w:val="20"/>
          <w:color w:val="auto"/>
        </w:rPr>
      </w:pPr>
    </w:p>
    <w:p>
      <w:pPr>
        <w:ind w:left="1960" w:hanging="656"/>
        <w:spacing w:after="0"/>
        <w:tabs>
          <w:tab w:leader="none" w:pos="196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w:t>
      </w:r>
    </w:p>
    <w:p>
      <w:pPr>
        <w:spacing w:after="0" w:line="225" w:lineRule="exact"/>
        <w:rPr>
          <w:sz w:val="20"/>
          <w:szCs w:val="20"/>
          <w:color w:val="auto"/>
        </w:rPr>
      </w:pPr>
    </w:p>
    <w:p>
      <w:pPr>
        <w:ind w:left="1960" w:hanging="656"/>
        <w:spacing w:after="0"/>
        <w:tabs>
          <w:tab w:leader="none" w:pos="19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that none of the information set out in paragraphs (a)(i) to (xiv) above is, nor will at any time be, unpublished price-sensitive information.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and the other Finance Parties of: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numbering service provider appointed by the Agent in respect of this Agreement, the Facility and/or one or more Obligors; and</w:t>
      </w:r>
    </w:p>
    <w:p>
      <w:pPr>
        <w:sectPr>
          <w:pgSz w:w="11900" w:h="16838" w:orient="portrait"/>
          <w:cols w:equalWidth="0" w:num="1">
            <w:col w:w="9920"/>
          </w:cols>
          <w:pgMar w:left="980" w:top="87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type w:val="continuous"/>
        </w:sectPr>
      </w:pPr>
    </w:p>
    <w:bookmarkStart w:id="345" w:name="page346"/>
    <w:bookmarkEnd w:id="345"/>
    <w:p>
      <w:pPr>
        <w:ind w:left="1960" w:hanging="656"/>
        <w:spacing w:after="0" w:line="282" w:lineRule="auto"/>
        <w:tabs>
          <w:tab w:leader="none" w:pos="196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as the case may be, numbers assigned to this Agreement, the Facility and/or one or more Obligors by such numbering service provider.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clause 47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47.5</w:t>
      </w:r>
      <w:r>
        <w:rPr>
          <w:sz w:val="20"/>
          <w:szCs w:val="20"/>
          <w:color w:val="auto"/>
        </w:rPr>
        <w:tab/>
      </w:r>
      <w:r>
        <w:rPr>
          <w:rFonts w:ascii="Times New Roman" w:cs="Times New Roman" w:eastAsia="Times New Roman" w:hAnsi="Times New Roman"/>
          <w:sz w:val="18"/>
          <w:szCs w:val="18"/>
          <w:b w:val="1"/>
          <w:bCs w:val="1"/>
          <w:color w:val="auto"/>
        </w:rPr>
        <w:t>Inside information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Borrower:</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to any person to whom information is required or requested to be disclosed by any court of competent jurisdiction or any governmental, banking, taxation or other regulatory authority or similar body or the rules of any relevant stock exchange or pursuant to any applicable law or regulation pursuant to clause 47.2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except where such disclosure is made to any such person during the ordinary course of its supervisory or regulatory function;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47.</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47.7</w:t>
      </w:r>
      <w:r>
        <w:rPr>
          <w:sz w:val="20"/>
          <w:szCs w:val="20"/>
          <w:color w:val="auto"/>
        </w:rPr>
        <w:tab/>
      </w:r>
      <w:r>
        <w:rPr>
          <w:rFonts w:ascii="Times New Roman" w:cs="Times New Roman" w:eastAsia="Times New Roman" w:hAnsi="Times New Roman"/>
          <w:sz w:val="17"/>
          <w:szCs w:val="17"/>
          <w:b w:val="1"/>
          <w:bCs w:val="1"/>
          <w:color w:val="auto"/>
        </w:rPr>
        <w:t>Banking secrecy laws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from any confidentiality obligations or confidentiality restrictions arising from any applicable banking secrecy and data protection legislation which would prevent a Disclosing Party from disclosing any Confidential Information in accordance with this Clause 47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4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47.8</w:t>
      </w:r>
      <w:r>
        <w:rPr>
          <w:sz w:val="20"/>
          <w:szCs w:val="20"/>
          <w:color w:val="auto"/>
        </w:rPr>
        <w:tab/>
      </w:r>
      <w:r>
        <w:rPr>
          <w:rFonts w:ascii="Times New Roman" w:cs="Times New Roman" w:eastAsia="Times New Roman" w:hAnsi="Times New Roman"/>
          <w:sz w:val="18"/>
          <w:szCs w:val="18"/>
          <w:b w:val="1"/>
          <w:bCs w:val="1"/>
          <w:color w:val="auto"/>
        </w:rPr>
        <w:t>Continuing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47 are continuing and, in particular, shall survive and remain binding on each Finance Party for a period of twelve months from the earlier of:</w:t>
      </w:r>
    </w:p>
    <w:p>
      <w:pPr>
        <w:spacing w:after="0" w:line="162" w:lineRule="exact"/>
        <w:rPr>
          <w:sz w:val="20"/>
          <w:szCs w:val="20"/>
          <w:color w:val="auto"/>
        </w:rPr>
      </w:pPr>
    </w:p>
    <w:p>
      <w:pPr>
        <w:ind w:left="1300" w:right="20" w:hanging="644"/>
        <w:spacing w:after="0" w:line="282" w:lineRule="auto"/>
        <w:tabs>
          <w:tab w:leader="none" w:pos="13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Obligors under or in connection with the Finance Documents have been paid in full and all Commitments have been cancelled or otherwise cease to be available;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6" w:name="page347"/>
    <w:bookmarkEnd w:id="346"/>
    <w:p>
      <w:pPr>
        <w:ind w:left="1300" w:hanging="644"/>
        <w:spacing w:after="0"/>
        <w:tabs>
          <w:tab w:leader="none" w:pos="130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47.9</w:t>
      </w:r>
      <w:r>
        <w:rPr>
          <w:sz w:val="20"/>
          <w:szCs w:val="20"/>
          <w:color w:val="auto"/>
        </w:rPr>
        <w:tab/>
      </w:r>
      <w:r>
        <w:rPr>
          <w:rFonts w:ascii="Times New Roman" w:cs="Times New Roman" w:eastAsia="Times New Roman" w:hAnsi="Times New Roman"/>
          <w:sz w:val="17"/>
          <w:szCs w:val="17"/>
          <w:b w:val="1"/>
          <w:bCs w:val="1"/>
          <w:color w:val="auto"/>
        </w:rPr>
        <w:t>Waiver of Swiss Banking Secrecy Laws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from any confidentiality obligations or confidentiality restrictions arising from Swiss law or other applicable banking secrecy and data protection legislation which would prevent a Disclosing Party from disclosing any Confidential Information in accordance with this clause 47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47.10</w:t>
      </w:r>
      <w:r>
        <w:rPr>
          <w:sz w:val="20"/>
          <w:szCs w:val="20"/>
          <w:color w:val="auto"/>
        </w:rPr>
        <w:tab/>
      </w:r>
      <w:r>
        <w:rPr>
          <w:rFonts w:ascii="Times New Roman" w:cs="Times New Roman" w:eastAsia="Times New Roman" w:hAnsi="Times New Roman"/>
          <w:sz w:val="17"/>
          <w:szCs w:val="17"/>
          <w:b w:val="1"/>
          <w:bCs w:val="1"/>
          <w:color w:val="auto"/>
        </w:rPr>
        <w:t>Singapore Personal Data Protection Act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consents, authorises and permits a Singapore Finance Party and any officer of a Singapore Finance Party, to collect, use or disclose any personal data collected by such Singapore Finance Parties from the Borrower in connection with the purposes set out in such Singapore Finance Party’s data protection policy (as updated from time to time and as such Singapore Finance Party will notify the Borrower of, whether by email, providing the Borrower with a hard copy, or otherwise uploading onto its website, or as is otherwise required or permitted in accordance with applicable law), and in accordance with the PDPA.</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personal data provided by the Borrower to any Singapore Finance Party, the Borrower represents and warrants to the Singapore Finance Parties that the Borrower has notified the relevant individual of the purposes set out in the relevant Singapore Finance Party’s data protection policy (as updated from time to time and as such Singapore Finance Party will notify the Borrower of), and has obtained the relevant individual's consent for the collection, use and disclosure of his or her personal data by any Singapore Finance Party in connection with the purposes set out in the relevant Singapore Finance Party’s data protection policy, and in accordance with the PDPA.</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and undertakes that, to the extent it provides personal data to a Singapore Finance Party and it has not obtained the requisite consent referred to in paragraph (b) above in respect thereof, it shall, promptly upon providing the relevant personal data to the relevant Singapore Finance Party, procure all necessary notifications will be made to, and all authorisations and consents will be obtained from, the relevant individuals as may be required in accordance with the PDPA.</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and undertakes to notify the Agent promptly upon becoming aware of the withdrawal by the relevant individual of its consent to the collection, use and/or disclosure by any Singapore Finance Party of any personal data provided by the Borrower to any Singapore Finance Party.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47.10:</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means the Borrower and its Affiliates;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"PDPA" means the Personal Data Protection Act 2012 (Act 26 of 2012) of Singapore;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has the meaning given to such term in the PDPA;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Finance Party” means a Finance Party formed or recognised under the law of Singapore or resident, or having an office or a place of business, in Singapore.</w:t>
      </w:r>
    </w:p>
    <w:p>
      <w:pPr>
        <w:spacing w:after="0" w:line="158" w:lineRule="exact"/>
        <w:rPr>
          <w:sz w:val="20"/>
          <w:szCs w:val="20"/>
          <w:color w:val="auto"/>
        </w:rPr>
      </w:pPr>
    </w:p>
    <w:p>
      <w:pPr>
        <w:ind w:left="660" w:hanging="652"/>
        <w:spacing w:after="0"/>
        <w:tabs>
          <w:tab w:leader="none" w:pos="660" w:val="left"/>
        </w:tabs>
        <w:numPr>
          <w:ilvl w:val="0"/>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47" w:name="page348"/>
    <w:bookmarkEnd w:id="347"/>
    <w:p>
      <w:pPr>
        <w:ind w:left="652" w:hanging="652"/>
        <w:spacing w:after="0"/>
        <w:tabs>
          <w:tab w:leader="none" w:pos="652"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recognition of bail-in</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(and any other Obligor who is a party to any other Finance Document to which this clause is expressed by the terms of that other Finance Document to apply) acknowledges and accepts that any liability of any Finance Party to another Finance Party or to an Obligor under or in connection with the Finance Documents may be subject to Bail-In Action by the relevant Resolution Authority and acknowledges and accepts to be bound by the effect of:</w:t>
      </w:r>
    </w:p>
    <w:p>
      <w:pPr>
        <w:spacing w:after="0" w:line="183"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225"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161"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12 - Governing Law and Enforcement</w:t>
      </w:r>
    </w:p>
    <w:p>
      <w:pPr>
        <w:spacing w:after="0" w:line="225" w:lineRule="exact"/>
        <w:rPr>
          <w:sz w:val="20"/>
          <w:szCs w:val="20"/>
          <w:color w:val="auto"/>
        </w:rPr>
      </w:pPr>
    </w:p>
    <w:p>
      <w:pPr>
        <w:ind w:left="660" w:hanging="652"/>
        <w:spacing w:after="0"/>
        <w:tabs>
          <w:tab w:leader="none" w:pos="660"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non-contractual obligations connected with it are governed by English law.</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Without prejudice to any other mode of service allowed under any relevant law, each Obligor who is a Party (unless it is incorporated in England and Wales):</w:t>
      </w:r>
    </w:p>
    <w:p>
      <w:pPr>
        <w:spacing w:after="0" w:line="160" w:lineRule="exact"/>
        <w:rPr>
          <w:sz w:val="20"/>
          <w:szCs w:val="20"/>
          <w:color w:val="auto"/>
        </w:rPr>
      </w:pPr>
    </w:p>
    <w:p>
      <w:pPr>
        <w:jc w:val="both"/>
        <w:ind w:left="1300" w:hanging="644"/>
        <w:spacing w:after="0" w:line="267" w:lineRule="auto"/>
        <w:tabs>
          <w:tab w:leader="none" w:pos="130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the person named in Schedule 1 (</w:t>
      </w:r>
      <w:r>
        <w:rPr>
          <w:rFonts w:ascii="Times New Roman" w:cs="Times New Roman" w:eastAsia="Times New Roman" w:hAnsi="Times New Roman"/>
          <w:sz w:val="18"/>
          <w:szCs w:val="18"/>
          <w:i w:val="1"/>
          <w:iCs w:val="1"/>
          <w:color w:val="auto"/>
        </w:rPr>
        <w:t>The original parties</w:t>
      </w:r>
      <w:r>
        <w:rPr>
          <w:rFonts w:ascii="Times New Roman" w:cs="Times New Roman" w:eastAsia="Times New Roman" w:hAnsi="Times New Roman"/>
          <w:sz w:val="18"/>
          <w:szCs w:val="18"/>
          <w:color w:val="auto"/>
        </w:rPr>
        <w:t>) as that Obligor’s English process agent as its agent for service of process in relation to any proceedings before the English courts in connection with any Finance Document;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relevant Obligor of the process will not invalidate the proceedings concerned;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49" w:name="page350"/>
    <w:bookmarkEnd w:id="349"/>
    <w:tbl>
      <w:tblPr>
        <w:tblLayout w:type="fixed"/>
        <w:tblInd w:w="1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65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432"/>
        </w:trPr>
        <w:tc>
          <w:tcPr>
            <w:tcW w:w="3360" w:type="dxa"/>
            <w:vAlign w:val="bottom"/>
          </w:tcPr>
          <w:p>
            <w:pPr>
              <w:spacing w:after="0"/>
              <w:rPr>
                <w:sz w:val="24"/>
                <w:szCs w:val="24"/>
                <w:color w:val="auto"/>
              </w:rPr>
            </w:pPr>
          </w:p>
        </w:tc>
        <w:tc>
          <w:tcPr>
            <w:tcW w:w="656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The original parties</w:t>
            </w:r>
          </w:p>
        </w:tc>
      </w:tr>
      <w:tr>
        <w:trPr>
          <w:trHeight w:val="432"/>
        </w:trPr>
        <w:tc>
          <w:tcPr>
            <w:tcW w:w="3360" w:type="dxa"/>
            <w:vAlign w:val="bottom"/>
          </w:tcPr>
          <w:p>
            <w:pPr>
              <w:spacing w:after="0"/>
              <w:rPr>
                <w:sz w:val="24"/>
                <w:szCs w:val="24"/>
                <w:color w:val="auto"/>
              </w:rPr>
            </w:pPr>
          </w:p>
        </w:tc>
        <w:tc>
          <w:tcPr>
            <w:tcW w:w="65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Borrower</w:t>
            </w:r>
          </w:p>
        </w:tc>
      </w:tr>
      <w:tr>
        <w:trPr>
          <w:trHeight w:val="216"/>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Borrower:</w:t>
            </w:r>
          </w:p>
        </w:tc>
        <w:tc>
          <w:tcPr>
            <w:tcW w:w="6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GasLog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33928</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6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Owners and Guarantors</w:t>
            </w:r>
          </w:p>
        </w:tc>
      </w:tr>
      <w:tr>
        <w:trPr>
          <w:trHeight w:val="216"/>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GAS-twenty two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49075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GAS-twenty three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49074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53133</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0" w:name="page351"/>
    <w:bookmarkEnd w:id="350"/>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2941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6292215" cy="1294130"/>
                    </a:xfrm>
                    <a:prstGeom prst="rect">
                      <a:avLst/>
                    </a:prstGeom>
                    <a:noFill/>
                  </pic:spPr>
                </pic:pic>
              </a:graphicData>
            </a:graphic>
          </wp:anchor>
        </w:drawing>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GAS-twenty eight Ltd.</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51888</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one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53134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two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53135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three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53625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four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53626</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351" w:name="page352"/>
    <w:bookmarkEnd w:id="351"/>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2941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6292215" cy="1294130"/>
                    </a:xfrm>
                    <a:prstGeom prst="rect">
                      <a:avLst/>
                    </a:prstGeom>
                    <a:noFill/>
                  </pic:spPr>
                </pic:pic>
              </a:graphicData>
            </a:graphic>
          </wp:anchor>
        </w:drawing>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GAS-thirty five Ltd.</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54252</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GAS-one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41494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GAS-two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41495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GasLog Hellas-1 Special Maritime Enterprise</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Greece</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 Akti Miaouli Street, Piraeus, Greece</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5164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GAS-eleven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47182</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352" w:name="page353"/>
    <w:bookmarkEnd w:id="352"/>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2941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6292215" cy="1294130"/>
                    </a:xfrm>
                    <a:prstGeom prst="rect">
                      <a:avLst/>
                    </a:prstGeom>
                    <a:noFill/>
                  </pic:spPr>
                </pic:pic>
              </a:graphicData>
            </a:graphic>
          </wp:anchor>
        </w:drawing>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GAS-twelve Ltd.</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47183</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GAS-thirteen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47914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GAS-fourteen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47915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GAS-four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44210</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GAS-sixteen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48624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353" w:name="page354"/>
    <w:bookmarkEnd w:id="353"/>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2941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292215" cy="1294130"/>
                    </a:xfrm>
                    <a:prstGeom prst="rect">
                      <a:avLst/>
                    </a:prstGeom>
                    <a:noFill/>
                  </pic:spPr>
                </pic:pic>
              </a:graphicData>
            </a:graphic>
          </wp:anchor>
        </w:drawing>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3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GAS-seventeen Ltd.</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28"/>
        </w:trPr>
        <w:tc>
          <w:tcPr>
            <w:tcW w:w="3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48625</w:t>
            </w:r>
          </w:p>
        </w:tc>
      </w:tr>
      <w:tr>
        <w:trPr>
          <w:trHeight w:val="157"/>
        </w:trPr>
        <w:tc>
          <w:tcPr>
            <w:tcW w:w="3360" w:type="dxa"/>
            <w:vAlign w:val="bottom"/>
            <w:tcBorders>
              <w:bottom w:val="single" w:sz="8" w:color="auto"/>
              <w:right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GAS-seven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45254</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GAS-eight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45255</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GAS-nineteen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489403</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r>
      <w:tr>
        <w:trPr>
          <w:trHeight w:val="232"/>
        </w:trPr>
        <w:tc>
          <w:tcPr>
            <w:tcW w:w="336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560" w:type="dxa"/>
            <w:vAlign w:val="bottom"/>
            <w:tcBorders>
              <w:right w:val="single" w:sz="8" w:color="auto"/>
            </w:tcBorders>
            <w:shd w:val="clear" w:color="auto" w:fill="BFBFBF"/>
          </w:tcPr>
          <w:p>
            <w:pPr>
              <w:spacing w:after="0"/>
              <w:rPr>
                <w:sz w:val="20"/>
                <w:szCs w:val="20"/>
                <w:color w:val="auto"/>
              </w:rPr>
            </w:pPr>
          </w:p>
        </w:tc>
      </w:tr>
      <w:tr>
        <w:trPr>
          <w:trHeight w:val="153"/>
        </w:trPr>
        <w:tc>
          <w:tcPr>
            <w:tcW w:w="336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6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GAS-twenty seven Ltd.</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r>
        <w:trPr>
          <w:trHeight w:val="228"/>
        </w:trPr>
        <w:tc>
          <w:tcPr>
            <w:tcW w:w="3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49900</w:t>
            </w:r>
          </w:p>
        </w:tc>
      </w:tr>
      <w:tr>
        <w:trPr>
          <w:trHeight w:val="157"/>
        </w:trPr>
        <w:tc>
          <w:tcPr>
            <w:tcW w:w="3360" w:type="dxa"/>
            <w:vAlign w:val="bottom"/>
            <w:tcBorders>
              <w:left w:val="single" w:sz="8" w:color="auto"/>
              <w:bottom w:val="single" w:sz="8" w:color="auto"/>
              <w:right w:val="single" w:sz="8" w:color="auto"/>
            </w:tcBorders>
          </w:tcPr>
          <w:p>
            <w:pPr>
              <w:spacing w:after="0"/>
              <w:rPr>
                <w:sz w:val="13"/>
                <w:szCs w:val="13"/>
                <w:color w:val="auto"/>
              </w:rPr>
            </w:pPr>
          </w:p>
        </w:tc>
        <w:tc>
          <w:tcPr>
            <w:tcW w:w="656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354" w:name="page355"/>
    <w:bookmarkEnd w:id="354"/>
    <w:tbl>
      <w:tblPr>
        <w:tblLayout w:type="fixed"/>
        <w:tblInd w:w="1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65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Guarantors</w:t>
            </w:r>
          </w:p>
        </w:tc>
      </w:tr>
      <w:tr>
        <w:trPr>
          <w:trHeight w:val="216"/>
        </w:trPr>
        <w:tc>
          <w:tcPr>
            <w:tcW w:w="33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r>
      <w:tr>
        <w:trPr>
          <w:trHeight w:val="232"/>
        </w:trPr>
        <w:tc>
          <w:tcPr>
            <w:tcW w:w="338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MLP</w:t>
            </w:r>
          </w:p>
        </w:tc>
        <w:tc>
          <w:tcPr>
            <w:tcW w:w="6540" w:type="dxa"/>
            <w:vAlign w:val="bottom"/>
            <w:tcBorders>
              <w:right w:val="single" w:sz="8" w:color="auto"/>
            </w:tcBorders>
            <w:shd w:val="clear" w:color="auto" w:fill="BFBFBF"/>
          </w:tcPr>
          <w:p>
            <w:pPr>
              <w:spacing w:after="0"/>
              <w:rPr>
                <w:sz w:val="20"/>
                <w:szCs w:val="20"/>
                <w:color w:val="auto"/>
              </w:rPr>
            </w:pPr>
          </w:p>
        </w:tc>
      </w:tr>
      <w:tr>
        <w:trPr>
          <w:trHeight w:val="153"/>
        </w:trPr>
        <w:tc>
          <w:tcPr>
            <w:tcW w:w="338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4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Republic of the Marshall Islands</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191"/>
        </w:trPr>
        <w:tc>
          <w:tcPr>
            <w:tcW w:w="33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Registered office:</w:t>
            </w:r>
          </w:p>
        </w:tc>
        <w:tc>
          <w:tcPr>
            <w:tcW w:w="65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Trust Company Complex, Ajeltake Road, Ajeltake Island, Majuro MH96960, Marshall</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Islands</w:t>
            </w:r>
          </w:p>
        </w:tc>
      </w:tr>
      <w:tr>
        <w:trPr>
          <w:trHeight w:val="175"/>
        </w:trPr>
        <w:tc>
          <w:tcPr>
            <w:tcW w:w="3380" w:type="dxa"/>
            <w:vAlign w:val="bottom"/>
            <w:tcBorders>
              <w:left w:val="single" w:sz="8" w:color="auto"/>
              <w:bottom w:val="single" w:sz="8" w:color="auto"/>
              <w:right w:val="single" w:sz="8" w:color="auto"/>
            </w:tcBorders>
          </w:tcPr>
          <w:p>
            <w:pPr>
              <w:spacing w:after="0"/>
              <w:rPr>
                <w:sz w:val="15"/>
                <w:szCs w:val="15"/>
                <w:color w:val="auto"/>
              </w:rPr>
            </w:pPr>
          </w:p>
        </w:tc>
        <w:tc>
          <w:tcPr>
            <w:tcW w:w="6540" w:type="dxa"/>
            <w:vAlign w:val="bottom"/>
            <w:tcBorders>
              <w:bottom w:val="single" w:sz="8" w:color="auto"/>
              <w:right w:val="single" w:sz="8" w:color="auto"/>
            </w:tcBorders>
          </w:tcPr>
          <w:p>
            <w:pPr>
              <w:spacing w:after="0"/>
              <w:rPr>
                <w:sz w:val="15"/>
                <w:szCs w:val="15"/>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950063</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r>
      <w:tr>
        <w:trPr>
          <w:trHeight w:val="232"/>
        </w:trPr>
        <w:tc>
          <w:tcPr>
            <w:tcW w:w="338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GasLog Carriers</w:t>
            </w:r>
          </w:p>
        </w:tc>
        <w:tc>
          <w:tcPr>
            <w:tcW w:w="6540" w:type="dxa"/>
            <w:vAlign w:val="bottom"/>
            <w:tcBorders>
              <w:right w:val="single" w:sz="8" w:color="auto"/>
            </w:tcBorders>
            <w:shd w:val="clear" w:color="auto" w:fill="BFBFBF"/>
          </w:tcPr>
          <w:p>
            <w:pPr>
              <w:spacing w:after="0"/>
              <w:rPr>
                <w:sz w:val="20"/>
                <w:szCs w:val="20"/>
                <w:color w:val="auto"/>
              </w:rPr>
            </w:pPr>
          </w:p>
        </w:tc>
      </w:tr>
      <w:tr>
        <w:trPr>
          <w:trHeight w:val="153"/>
        </w:trPr>
        <w:tc>
          <w:tcPr>
            <w:tcW w:w="338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4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GasLog Carriers Ltd.</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41493</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09"/>
        </w:trPr>
        <w:tc>
          <w:tcPr>
            <w:tcW w:w="33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r>
      <w:tr>
        <w:trPr>
          <w:trHeight w:val="232"/>
        </w:trPr>
        <w:tc>
          <w:tcPr>
            <w:tcW w:w="338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GPHL</w:t>
            </w:r>
          </w:p>
        </w:tc>
        <w:tc>
          <w:tcPr>
            <w:tcW w:w="6540" w:type="dxa"/>
            <w:vAlign w:val="bottom"/>
            <w:tcBorders>
              <w:right w:val="single" w:sz="8" w:color="auto"/>
            </w:tcBorders>
            <w:shd w:val="clear" w:color="auto" w:fill="BFBFBF"/>
          </w:tcPr>
          <w:p>
            <w:pPr>
              <w:spacing w:after="0"/>
              <w:rPr>
                <w:sz w:val="20"/>
                <w:szCs w:val="20"/>
                <w:color w:val="auto"/>
              </w:rPr>
            </w:pPr>
          </w:p>
        </w:tc>
      </w:tr>
      <w:tr>
        <w:trPr>
          <w:trHeight w:val="153"/>
        </w:trPr>
        <w:tc>
          <w:tcPr>
            <w:tcW w:w="338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4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GasLog Partners Holdings LLC</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Republic of the Marshall Islands</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191"/>
        </w:trPr>
        <w:tc>
          <w:tcPr>
            <w:tcW w:w="33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Registered office:</w:t>
            </w:r>
          </w:p>
        </w:tc>
        <w:tc>
          <w:tcPr>
            <w:tcW w:w="65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Trust Company Complex, Ajeltake Road, Ajeltake Island, Majuro MH96960, Marshall</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Islands</w:t>
            </w:r>
          </w:p>
        </w:tc>
      </w:tr>
      <w:tr>
        <w:trPr>
          <w:trHeight w:val="175"/>
        </w:trPr>
        <w:tc>
          <w:tcPr>
            <w:tcW w:w="3380" w:type="dxa"/>
            <w:vAlign w:val="bottom"/>
            <w:tcBorders>
              <w:left w:val="single" w:sz="8" w:color="auto"/>
              <w:bottom w:val="single" w:sz="8" w:color="auto"/>
              <w:right w:val="single" w:sz="8" w:color="auto"/>
            </w:tcBorders>
          </w:tcPr>
          <w:p>
            <w:pPr>
              <w:spacing w:after="0"/>
              <w:rPr>
                <w:sz w:val="15"/>
                <w:szCs w:val="15"/>
                <w:color w:val="auto"/>
              </w:rPr>
            </w:pPr>
          </w:p>
        </w:tc>
        <w:tc>
          <w:tcPr>
            <w:tcW w:w="6540" w:type="dxa"/>
            <w:vAlign w:val="bottom"/>
            <w:tcBorders>
              <w:bottom w:val="single" w:sz="8" w:color="auto"/>
              <w:right w:val="single" w:sz="8" w:color="auto"/>
            </w:tcBorders>
          </w:tcPr>
          <w:p>
            <w:pPr>
              <w:spacing w:after="0"/>
              <w:rPr>
                <w:sz w:val="15"/>
                <w:szCs w:val="15"/>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number:</w:t>
            </w:r>
          </w:p>
        </w:tc>
        <w:tc>
          <w:tcPr>
            <w:tcW w:w="6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962930</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425"/>
        </w:trPr>
        <w:tc>
          <w:tcPr>
            <w:tcW w:w="338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Obligor process agent</w:t>
            </w:r>
          </w:p>
        </w:tc>
      </w:tr>
      <w:tr>
        <w:trPr>
          <w:trHeight w:val="216"/>
        </w:trPr>
        <w:tc>
          <w:tcPr>
            <w:tcW w:w="33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r>
      <w:tr>
        <w:trPr>
          <w:trHeight w:val="232"/>
        </w:trPr>
        <w:tc>
          <w:tcPr>
            <w:tcW w:w="338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Obligor process agent</w:t>
            </w:r>
          </w:p>
        </w:tc>
        <w:tc>
          <w:tcPr>
            <w:tcW w:w="6540" w:type="dxa"/>
            <w:vAlign w:val="bottom"/>
            <w:tcBorders>
              <w:right w:val="single" w:sz="8" w:color="auto"/>
            </w:tcBorders>
            <w:shd w:val="clear" w:color="auto" w:fill="BFBFBF"/>
          </w:tcPr>
          <w:p>
            <w:pPr>
              <w:spacing w:after="0"/>
              <w:rPr>
                <w:sz w:val="20"/>
                <w:szCs w:val="20"/>
                <w:color w:val="auto"/>
              </w:rPr>
            </w:pPr>
          </w:p>
        </w:tc>
      </w:tr>
      <w:tr>
        <w:trPr>
          <w:trHeight w:val="153"/>
        </w:trPr>
        <w:tc>
          <w:tcPr>
            <w:tcW w:w="3380" w:type="dxa"/>
            <w:vAlign w:val="bottom"/>
            <w:tcBorders>
              <w:left w:val="single" w:sz="8" w:color="auto"/>
              <w:bottom w:val="single" w:sz="8" w:color="auto"/>
              <w:right w:val="single" w:sz="8" w:color="BFBFBF"/>
            </w:tcBorders>
            <w:shd w:val="clear" w:color="auto" w:fill="BFBFBF"/>
          </w:tcPr>
          <w:p>
            <w:pPr>
              <w:spacing w:after="0"/>
              <w:rPr>
                <w:sz w:val="13"/>
                <w:szCs w:val="13"/>
                <w:color w:val="auto"/>
              </w:rPr>
            </w:pPr>
          </w:p>
        </w:tc>
        <w:tc>
          <w:tcPr>
            <w:tcW w:w="654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GasLog Services UK Ltd.</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r>
        <w:trPr>
          <w:trHeight w:val="228"/>
        </w:trPr>
        <w:tc>
          <w:tcPr>
            <w:tcW w:w="33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6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3rd floor, 1 Ashley Road, Altricham, Cheshire WA14 2DT, United Kingdom</w:t>
            </w:r>
          </w:p>
        </w:tc>
      </w:tr>
      <w:tr>
        <w:trPr>
          <w:trHeight w:val="157"/>
        </w:trPr>
        <w:tc>
          <w:tcPr>
            <w:tcW w:w="3380" w:type="dxa"/>
            <w:vAlign w:val="bottom"/>
            <w:tcBorders>
              <w:left w:val="single" w:sz="8" w:color="auto"/>
              <w:bottom w:val="single" w:sz="8" w:color="auto"/>
              <w:right w:val="single" w:sz="8" w:color="auto"/>
            </w:tcBorders>
          </w:tcPr>
          <w:p>
            <w:pPr>
              <w:spacing w:after="0"/>
              <w:rPr>
                <w:sz w:val="13"/>
                <w:szCs w:val="13"/>
                <w:color w:val="auto"/>
              </w:rPr>
            </w:pPr>
          </w:p>
        </w:tc>
        <w:tc>
          <w:tcPr>
            <w:tcW w:w="654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55" w:name="page356"/>
    <w:bookmarkEnd w:id="355"/>
    <w:tbl>
      <w:tblPr>
        <w:tblLayout w:type="fixed"/>
        <w:tblInd w:w="1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Obligor address for service of notices</w:t>
            </w:r>
          </w:p>
        </w:tc>
      </w:tr>
      <w:tr>
        <w:trPr>
          <w:trHeight w:val="162"/>
        </w:trPr>
        <w:tc>
          <w:tcPr>
            <w:tcW w:w="340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r>
      <w:tr>
        <w:trPr>
          <w:trHeight w:val="232"/>
        </w:trPr>
        <w:tc>
          <w:tcPr>
            <w:tcW w:w="340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Obligor address for service of notices</w:t>
            </w:r>
          </w:p>
        </w:tc>
        <w:tc>
          <w:tcPr>
            <w:tcW w:w="6540" w:type="dxa"/>
            <w:vAlign w:val="bottom"/>
            <w:tcBorders>
              <w:right w:val="single" w:sz="8" w:color="auto"/>
            </w:tcBorders>
            <w:shd w:val="clear" w:color="auto" w:fill="BFBFBF"/>
          </w:tcPr>
          <w:p>
            <w:pPr>
              <w:spacing w:after="0"/>
              <w:rPr>
                <w:sz w:val="20"/>
                <w:szCs w:val="20"/>
                <w:color w:val="auto"/>
              </w:rPr>
            </w:pPr>
          </w:p>
        </w:tc>
      </w:tr>
      <w:tr>
        <w:trPr>
          <w:trHeight w:val="86"/>
        </w:trPr>
        <w:tc>
          <w:tcPr>
            <w:tcW w:w="3400" w:type="dxa"/>
            <w:vAlign w:val="bottom"/>
            <w:tcBorders>
              <w:left w:val="single" w:sz="8" w:color="auto"/>
              <w:bottom w:val="single" w:sz="8" w:color="auto"/>
              <w:right w:val="single" w:sz="8" w:color="BFBFBF"/>
            </w:tcBorders>
            <w:shd w:val="clear" w:color="auto" w:fill="BFBFBF"/>
          </w:tcPr>
          <w:p>
            <w:pPr>
              <w:spacing w:after="0"/>
              <w:rPr>
                <w:sz w:val="7"/>
                <w:szCs w:val="7"/>
                <w:color w:val="auto"/>
              </w:rPr>
            </w:pPr>
          </w:p>
        </w:tc>
        <w:tc>
          <w:tcPr>
            <w:tcW w:w="6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228"/>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6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 GasLog LNG Services Ltd., c/o 69 Akti Miaouli Piraeus, GR 185 37, Greece</w:t>
            </w:r>
          </w:p>
        </w:tc>
      </w:tr>
      <w:tr>
        <w:trPr>
          <w:trHeight w:val="90"/>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6540" w:type="dxa"/>
            <w:vAlign w:val="bottom"/>
            <w:tcBorders>
              <w:bottom w:val="single" w:sz="8" w:color="auto"/>
              <w:right w:val="single" w:sz="8" w:color="auto"/>
            </w:tcBorders>
          </w:tcPr>
          <w:p>
            <w:pPr>
              <w:spacing w:after="0"/>
              <w:rPr>
                <w:sz w:val="7"/>
                <w:szCs w:val="7"/>
                <w:color w:val="auto"/>
              </w:rPr>
            </w:pPr>
          </w:p>
        </w:tc>
      </w:tr>
      <w:tr>
        <w:trPr>
          <w:trHeight w:val="228"/>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w:t>
            </w:r>
          </w:p>
        </w:tc>
        <w:tc>
          <w:tcPr>
            <w:tcW w:w="6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atasioulas@gaslogltd.com</w:t>
            </w:r>
          </w:p>
        </w:tc>
      </w:tr>
      <w:tr>
        <w:trPr>
          <w:trHeight w:val="90"/>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6540" w:type="dxa"/>
            <w:vAlign w:val="bottom"/>
            <w:tcBorders>
              <w:bottom w:val="single" w:sz="8" w:color="auto"/>
              <w:right w:val="single" w:sz="8" w:color="auto"/>
            </w:tcBorders>
          </w:tcPr>
          <w:p>
            <w:pPr>
              <w:spacing w:after="0"/>
              <w:rPr>
                <w:sz w:val="7"/>
                <w:szCs w:val="7"/>
                <w:color w:val="auto"/>
              </w:rPr>
            </w:pPr>
          </w:p>
        </w:tc>
      </w:tr>
      <w:tr>
        <w:trPr>
          <w:trHeight w:val="228"/>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w:t>
            </w:r>
          </w:p>
        </w:tc>
        <w:tc>
          <w:tcPr>
            <w:tcW w:w="6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Achilleas Tasioulas</w:t>
            </w:r>
          </w:p>
        </w:tc>
      </w:tr>
      <w:tr>
        <w:trPr>
          <w:trHeight w:val="90"/>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6540" w:type="dxa"/>
            <w:vAlign w:val="bottom"/>
            <w:tcBorders>
              <w:bottom w:val="single" w:sz="8" w:color="auto"/>
              <w:right w:val="single" w:sz="8" w:color="auto"/>
            </w:tcBorders>
          </w:tcPr>
          <w:p>
            <w:pPr>
              <w:spacing w:after="0"/>
              <w:rPr>
                <w:sz w:val="7"/>
                <w:szCs w:val="7"/>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Original Lenders and their Commitments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BFBFBF"/>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Borders>
              <w:top w:val="single" w:sz="8" w:color="auto"/>
            </w:tcBorders>
            <w:shd w:val="clear" w:color="auto" w:fill="000000"/>
          </w:tcPr>
          <w:p>
            <w:pPr>
              <w:spacing w:after="0"/>
              <w:rPr>
                <w:sz w:val="21"/>
                <w:szCs w:val="21"/>
                <w:color w:val="auto"/>
              </w:rPr>
            </w:pP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BFBFBF"/>
            </w:tcBorders>
            <w:shd w:val="clear" w:color="auto" w:fill="BFBFBF"/>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191"/>
        </w:trPr>
        <w:tc>
          <w:tcPr>
            <w:tcW w:w="2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Alpha Bank S.A.</w:t>
            </w:r>
          </w:p>
        </w:tc>
        <w:tc>
          <w:tcPr>
            <w:tcW w:w="50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Alpha Bank S.A</w:t>
            </w:r>
          </w:p>
        </w:tc>
        <w:tc>
          <w:tcPr>
            <w:tcW w:w="25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225,000,000</w:t>
            </w:r>
          </w:p>
        </w:tc>
        <w:tc>
          <w:tcPr>
            <w:tcW w:w="20" w:type="dxa"/>
            <w:vAlign w:val="bottom"/>
            <w:shd w:val="clear" w:color="auto" w:fill="000000"/>
          </w:tcPr>
          <w:p>
            <w:pPr>
              <w:spacing w:after="0"/>
              <w:rPr>
                <w:sz w:val="16"/>
                <w:szCs w:val="16"/>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Address: 93 Akti Miaouli</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38 Piraeus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c>
          <w:tcPr>
            <w:tcW w:w="25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10"/>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8"/>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25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17-19 Papastratou</w:t>
            </w:r>
          </w:p>
        </w:tc>
        <w:tc>
          <w:tcPr>
            <w:tcW w:w="25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45, Piraeus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Elia Argiropoulou</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Theodoros Skiadopoulos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efthalia.argiropoulou@alpha.gr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theodoros.skiadopoulos@alpha.gr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cc: shippingloansadmin@alpha.gr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+30 2105179349</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+30 2105179351</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+30 2106506060</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matter:</w:t>
            </w:r>
          </w:p>
        </w:tc>
        <w:tc>
          <w:tcPr>
            <w:tcW w:w="25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93 Akti Miaouli</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38, Piraeus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Konstantinos Flokos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Sotirios Georgakopoulos</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konstantinos.flokos@alpha.gr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sotirios.gorgakopoulos@alpha.gr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with cc: shipdivision@alpha.gr</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+30 2104290116</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+30 2103266269</w:t>
            </w:r>
          </w:p>
        </w:tc>
        <w:tc>
          <w:tcPr>
            <w:tcW w:w="25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+30 2104290677</w:t>
            </w:r>
          </w:p>
        </w:tc>
        <w:tc>
          <w:tcPr>
            <w:tcW w:w="25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506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r>
      <w:tr>
        <w:trPr>
          <w:trHeight w:val="210"/>
        </w:trPr>
        <w:tc>
          <w:tcPr>
            <w:tcW w:w="23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23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Pr>
          <w:p>
            <w:pPr>
              <w:spacing w:after="0"/>
              <w:rPr>
                <w:sz w:val="20"/>
                <w:szCs w:val="20"/>
                <w:color w:val="auto"/>
              </w:rPr>
            </w:pP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c>
          <w:tcPr>
            <w:tcW w:w="20" w:type="dxa"/>
            <w:vAlign w:val="bottom"/>
          </w:tcPr>
          <w:p>
            <w:pPr>
              <w:spacing w:after="0"/>
              <w:rPr>
                <w:sz w:val="7"/>
                <w:szCs w:val="7"/>
                <w:color w:val="auto"/>
              </w:rPr>
            </w:pPr>
          </w:p>
        </w:tc>
      </w:tr>
      <w:tr>
        <w:trPr>
          <w:trHeight w:val="191"/>
        </w:trPr>
        <w:tc>
          <w:tcPr>
            <w:tcW w:w="2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ABN  AMRO  Bank N.V.</w:t>
            </w:r>
          </w:p>
        </w:tc>
        <w:tc>
          <w:tcPr>
            <w:tcW w:w="5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Facility Office: ABN AMRO Bank NV</w:t>
            </w:r>
          </w:p>
        </w:tc>
        <w:tc>
          <w:tcPr>
            <w:tcW w:w="25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250,000,000</w:t>
            </w:r>
          </w:p>
        </w:tc>
        <w:tc>
          <w:tcPr>
            <w:tcW w:w="20" w:type="dxa"/>
            <w:vAlign w:val="bottom"/>
          </w:tcPr>
          <w:p>
            <w:pPr>
              <w:spacing w:after="0"/>
              <w:rPr>
                <w:sz w:val="16"/>
                <w:szCs w:val="16"/>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Address: ABN AMRO Bank NV Athens Branch 38, Patriarchou</w:t>
            </w:r>
          </w:p>
        </w:tc>
        <w:tc>
          <w:tcPr>
            <w:tcW w:w="2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Ioakeim St.</w:t>
            </w:r>
          </w:p>
        </w:tc>
        <w:tc>
          <w:tcPr>
            <w:tcW w:w="2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GR-10675 Athens</w:t>
            </w:r>
          </w:p>
        </w:tc>
        <w:tc>
          <w:tcPr>
            <w:tcW w:w="2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506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9940"/>
          </w:cols>
          <w:pgMar w:left="980" w:top="1238" w:right="9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238" w:right="979" w:bottom="1440" w:gutter="0" w:footer="0" w:header="0"/>
          <w:type w:val="continuous"/>
        </w:sectPr>
      </w:pPr>
    </w:p>
    <w:bookmarkStart w:id="356" w:name="page357"/>
    <w:bookmarkEnd w:id="356"/>
    <w:p>
      <w:pPr>
        <w:ind w:left="3160"/>
        <w:spacing w:after="0"/>
        <w:rPr>
          <w:sz w:val="20"/>
          <w:szCs w:val="20"/>
          <w:color w:val="auto"/>
        </w:rPr>
      </w:pPr>
      <w:r>
        <w:rPr>
          <w:rFonts w:ascii="Times New Roman" w:cs="Times New Roman" w:eastAsia="Times New Roman" w:hAnsi="Times New Roman"/>
          <w:sz w:val="18"/>
          <w:szCs w:val="18"/>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300470" cy="37890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6300470" cy="378904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Danai Kotsia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Vangelis Nomikos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Despoina Pavlidou</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38, Patriarchou Ioakeim St.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GR-10675 Athens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Danai Kotsia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Vangelis Nomikos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Despoina Pavlidou</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danai.kotsia@gr.abnamro.com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vangelis.nomikos@gr.abnamro.com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despoina.pavlidou@gr.abnamro.com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+302107227600</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38, Patriarchou Ioakeim St.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GR-10675 Athens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Danai Kotsia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Vangelis Nomikos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Despoina Pavlidou</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danai.kotsia@gr.abnamro.com,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vangelis.nomikos@gr.abnamro.com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despoina.pavlidou@gr.abnamro.com,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+302107227600</w:t>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191"/>
        </w:trPr>
        <w:tc>
          <w:tcPr>
            <w:tcW w:w="2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BNP PARIBAS</w:t>
            </w:r>
          </w:p>
        </w:tc>
        <w:tc>
          <w:tcPr>
            <w:tcW w:w="5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Facility Office: BNP Paribas</w:t>
            </w:r>
          </w:p>
        </w:tc>
        <w:tc>
          <w:tcPr>
            <w:tcW w:w="25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250,000,000</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Immeuble Océanie</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 rue du Débarcadère</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93500 Pantin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France</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w:t>
            </w:r>
          </w:p>
        </w:tc>
        <w:tc>
          <w:tcPr>
            <w:tcW w:w="2540" w:type="dxa"/>
            <w:vAlign w:val="bottom"/>
            <w:tcBorders>
              <w:right w:val="single" w:sz="8" w:color="auto"/>
            </w:tcBorders>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Borders>
              <w:right w:val="single" w:sz="8" w:color="auto"/>
            </w:tcBorders>
          </w:tcPr>
          <w:p>
            <w:pPr>
              <w:spacing w:after="0"/>
              <w:rPr>
                <w:sz w:val="24"/>
                <w:szCs w:val="24"/>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BNP Paribas</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Immeuble Océanie</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 rue du Débarcadère</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93500 Pantin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France</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CTM Transportation Team</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+33 1 42 98 43 74</w:t>
            </w:r>
          </w:p>
        </w:tc>
        <w:tc>
          <w:tcPr>
            <w:tcW w:w="2540" w:type="dxa"/>
            <w:vAlign w:val="bottom"/>
            <w:tcBorders>
              <w:bottom w:val="single" w:sz="8" w:color="auto"/>
              <w:right w:val="single" w:sz="8" w:color="auto"/>
            </w:tcBorders>
          </w:tcPr>
          <w:p>
            <w:pPr>
              <w:spacing w:after="0"/>
              <w:rPr>
                <w:sz w:val="20"/>
                <w:szCs w:val="20"/>
                <w:color w:val="auto"/>
              </w:rPr>
            </w:pPr>
          </w:p>
        </w:tc>
      </w:tr>
      <w:tr>
        <w:trPr>
          <w:trHeight w:val="1073"/>
        </w:trPr>
        <w:tc>
          <w:tcPr>
            <w:tcW w:w="232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180</w:t>
            </w:r>
          </w:p>
        </w:tc>
        <w:tc>
          <w:tcPr>
            <w:tcW w:w="2540" w:type="dxa"/>
            <w:vAlign w:val="bottom"/>
          </w:tcPr>
          <w:p>
            <w:pPr>
              <w:spacing w:after="0"/>
              <w:rPr>
                <w:sz w:val="24"/>
                <w:szCs w:val="24"/>
                <w:color w:val="auto"/>
              </w:rPr>
            </w:pPr>
          </w:p>
        </w:tc>
      </w:tr>
      <w:tr>
        <w:trPr>
          <w:trHeight w:val="560"/>
        </w:trPr>
        <w:tc>
          <w:tcPr>
            <w:tcW w:w="23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4" w:right="999" w:bottom="1440" w:gutter="0" w:footer="0" w:header="0"/>
        </w:sectPr>
      </w:pPr>
    </w:p>
    <w:bookmarkStart w:id="357" w:name="page358"/>
    <w:bookmarkEnd w:id="357"/>
    <w:p>
      <w:pPr>
        <w:ind w:left="2400"/>
        <w:spacing w:after="0"/>
        <w:rPr>
          <w:sz w:val="20"/>
          <w:szCs w:val="20"/>
          <w:color w:val="auto"/>
        </w:rPr>
      </w:pPr>
      <w:r>
        <w:rPr>
          <w:rFonts w:ascii="Times New Roman" w:cs="Times New Roman" w:eastAsia="Times New Roman" w:hAnsi="Times New Roman"/>
          <w:sz w:val="18"/>
          <w:szCs w:val="18"/>
          <w:color w:val="auto"/>
        </w:rPr>
        <w:t>Email: paris.cib.cbe.ctm.transportation@bnpparibas.com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3103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6292215" cy="310324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GSO – Structured Credit Services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Torre Ocidente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Rua Galileu Galilei 2 - 5th Floor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1500-392 LISBON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Back office – Loan Servicing Lisbon Hub</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ls1.loanservicinglisbon@bnpparibas.com</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any Covenants purpose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BNP Paribas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Global Banking Operations - Credit Operations -</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Transversal Credit Services - Covenants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Torre Ocidente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Rua Galileu Galilei 2 – 4th Floor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1500-392 LISBON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tcs.covenants.lisbon@bnpparibas.com</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gridSpan w:val="3"/>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gridSpan w:val="3"/>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Citibank, N.A., Jersey</w:t>
            </w:r>
          </w:p>
        </w:tc>
        <w:tc>
          <w:tcPr>
            <w:tcW w:w="5060" w:type="dxa"/>
            <w:vAlign w:val="bottom"/>
            <w:tcBorders>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18"/>
                <w:szCs w:val="18"/>
                <w:color w:val="auto"/>
              </w:rPr>
              <w:t>Facility Office: Citibank, N.A., Jersey Branch</w:t>
            </w:r>
          </w:p>
        </w:tc>
        <w:tc>
          <w:tcPr>
            <w:tcW w:w="25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250,000,000</w:t>
            </w:r>
          </w:p>
        </w:tc>
      </w:tr>
      <w:tr>
        <w:trPr>
          <w:trHeight w:val="220"/>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Branch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w:t>
            </w:r>
          </w:p>
        </w:tc>
        <w:tc>
          <w:tcPr>
            <w:tcW w:w="41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 O Box 104, 38 Esplanade,</w:t>
            </w:r>
          </w:p>
        </w:tc>
        <w:tc>
          <w:tcPr>
            <w:tcW w:w="2540" w:type="dxa"/>
            <w:vAlign w:val="bottom"/>
            <w:tcBorders>
              <w:right w:val="single" w:sz="8" w:color="auto"/>
            </w:tcBorders>
          </w:tcPr>
          <w:p>
            <w:pPr>
              <w:spacing w:after="0"/>
              <w:rPr>
                <w:sz w:val="19"/>
                <w:szCs w:val="19"/>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1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Jersey, JE4 8QB</w:t>
            </w: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4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Vassilios Maroulis;</w:t>
            </w:r>
          </w:p>
        </w:tc>
        <w:tc>
          <w:tcPr>
            <w:tcW w:w="2540" w:type="dxa"/>
            <w:vAlign w:val="bottom"/>
            <w:tcBorders>
              <w:right w:val="single" w:sz="8" w:color="auto"/>
            </w:tcBorders>
          </w:tcPr>
          <w:p>
            <w:pPr>
              <w:spacing w:after="0"/>
              <w:rPr>
                <w:sz w:val="24"/>
                <w:szCs w:val="24"/>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1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Jonathan Graham</w:t>
            </w:r>
          </w:p>
        </w:tc>
        <w:tc>
          <w:tcPr>
            <w:tcW w:w="2540" w:type="dxa"/>
            <w:vAlign w:val="bottom"/>
            <w:tcBorders>
              <w:right w:val="single" w:sz="8" w:color="auto"/>
            </w:tcBorders>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Borders>
              <w:right w:val="single" w:sz="8" w:color="auto"/>
            </w:tcBorders>
          </w:tcPr>
          <w:p>
            <w:pPr>
              <w:spacing w:after="0"/>
              <w:rPr>
                <w:sz w:val="24"/>
                <w:szCs w:val="24"/>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LOANS PROCESSING UNIT</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Citibank Europe plc, Poland Branch</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Prosta 36 Street</w:t>
            </w:r>
          </w:p>
        </w:tc>
        <w:tc>
          <w:tcPr>
            <w:tcW w:w="318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00-838 Warsaw</w:t>
            </w:r>
          </w:p>
        </w:tc>
        <w:tc>
          <w:tcPr>
            <w:tcW w:w="318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96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Magdalena Buszko</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1393</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Justyna Jaworska</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1394</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Juliusz Stefanski</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1391</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Kamil Glazewski</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1016</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Aleksandra Bochniak</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2643</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Agata Witaszek</w:t>
            </w:r>
          </w:p>
        </w:tc>
        <w:tc>
          <w:tcPr>
            <w:tcW w:w="3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Phone: +48 (22) 148 1395</w:t>
            </w: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westerneuropeloans@citi.com;</w:t>
            </w:r>
          </w:p>
        </w:tc>
        <w:tc>
          <w:tcPr>
            <w:tcW w:w="2540" w:type="dxa"/>
            <w:vAlign w:val="bottom"/>
            <w:tcBorders>
              <w:right w:val="single" w:sz="8" w:color="auto"/>
            </w:tcBorders>
          </w:tcPr>
          <w:p>
            <w:pPr>
              <w:spacing w:after="0"/>
              <w:rPr>
                <w:sz w:val="24"/>
                <w:szCs w:val="24"/>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notices.webranchesloans@citi.com</w:t>
            </w:r>
          </w:p>
        </w:tc>
        <w:tc>
          <w:tcPr>
            <w:tcW w:w="25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358" w:name="page359"/>
    <w:bookmarkEnd w:id="358"/>
    <w:p>
      <w:pPr>
        <w:ind w:left="2400"/>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5503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6292215" cy="5503545"/>
                    </a:xfrm>
                    <a:prstGeom prst="rect">
                      <a:avLst/>
                    </a:prstGeom>
                    <a:noFill/>
                  </pic:spPr>
                </pic:pic>
              </a:graphicData>
            </a:graphic>
          </wp:anchor>
        </w:drawing>
      </w:r>
    </w:p>
    <w:p>
      <w:pPr>
        <w:spacing w:after="0" w:line="20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Jonathan Graham</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Citigroup Centre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Canada Square, Canary Wharf</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London E14 5LB</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+44 (0)20 7986 7103</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jonathan.graham@citi.com</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Laertis Christou</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Citibank Europe plc, Greece Branch</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8 Othonos Street, Athens 105 57, Greece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+30 21 03292125</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laertis.christou@citi.com</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Jonathan Graham</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Citigroup Centre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Canada Square, Canary Wharf</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London E14 5LB</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+44 (0)20 7986 7103</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jonathan.graham@citi.com</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Laertis Christou</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Citibank Europe plc, Greece Branch</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8 Othonos Street, Athens 105 57, Greece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+30 210 3292125</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laertis.christou@citi.com</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Account details for USD payments:</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CITIBANK NA, NEW YORK</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SWIFT ADDRESS CITIUS33</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FAVOUR CITIBANK NA JERSEY BRANCH</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SWIFT ADDRESS CITIJESX</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ACCOUNT NUMBER 10999217</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LOANS DEPT.</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REF: GASLOG LTD.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232"/>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Facility Office: Credit Suisse AG</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250,000,000</w:t>
            </w:r>
          </w:p>
        </w:tc>
      </w:tr>
      <w:tr>
        <w:trPr>
          <w:trHeight w:val="391"/>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St Alban-Graben 1-3</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4051 Basel</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Switzerland</w:t>
            </w:r>
          </w:p>
        </w:tc>
        <w:tc>
          <w:tcPr>
            <w:tcW w:w="2540" w:type="dxa"/>
            <w:vAlign w:val="bottom"/>
            <w:tcBorders>
              <w:right w:val="single" w:sz="8" w:color="auto"/>
            </w:tcBorders>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Borders>
              <w:right w:val="single" w:sz="8" w:color="auto"/>
            </w:tcBorders>
          </w:tcPr>
          <w:p>
            <w:pPr>
              <w:spacing w:after="0"/>
              <w:rPr>
                <w:sz w:val="24"/>
                <w:szCs w:val="24"/>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40" w:type="dxa"/>
            <w:vAlign w:val="bottom"/>
            <w:tcBorders>
              <w:right w:val="single" w:sz="8" w:color="auto"/>
            </w:tcBorders>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St Alban-Graben 1-3</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4051 Basel</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Switzerland</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Antonios Tsoukalis</w:t>
            </w:r>
          </w:p>
        </w:tc>
        <w:tc>
          <w:tcPr>
            <w:tcW w:w="25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20"/>
          </w:cols>
          <w:pgMar w:left="980" w:top="887"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type w:val="continuous"/>
        </w:sectPr>
      </w:pPr>
    </w:p>
    <w:bookmarkStart w:id="359" w:name="page360"/>
    <w:bookmarkEnd w:id="359"/>
    <w:p>
      <w:pPr>
        <w:ind w:left="3160"/>
        <w:spacing w:after="0"/>
        <w:rPr>
          <w:sz w:val="20"/>
          <w:szCs w:val="20"/>
          <w:color w:val="auto"/>
        </w:rPr>
      </w:pPr>
      <w:r>
        <w:rPr>
          <w:rFonts w:ascii="Times New Roman" w:cs="Times New Roman" w:eastAsia="Times New Roman" w:hAnsi="Times New Roman"/>
          <w:sz w:val="18"/>
          <w:szCs w:val="18"/>
          <w:color w:val="auto"/>
        </w:rPr>
        <w:t>Ioannis Efstathopoulos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24860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6292215" cy="248602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Marie Zimmermann</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antonios.tsoukalis@credit-suisse.com</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ioannis.efstathopoulos@credit-suisse.com</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marie.zimmermann@credit-suisse.com</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22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Address: St Alban-Graben 1-3</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4051 Basel</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Rakita Budislava</w:t>
      </w:r>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Saranda Gashi</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rakita.budislava@credit-suisse.com saranda.gashi@credit-</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suisse.com</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gridSpan w:val="2"/>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gridSpan w:val="2"/>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191"/>
        </w:trPr>
        <w:tc>
          <w:tcPr>
            <w:tcW w:w="23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Danish Ship Finance A/S</w:t>
            </w:r>
          </w:p>
        </w:tc>
        <w:tc>
          <w:tcPr>
            <w:tcW w:w="5060" w:type="dxa"/>
            <w:vAlign w:val="bottom"/>
            <w:tcBorders>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Danish Ship Finance A/S</w:t>
            </w:r>
          </w:p>
        </w:tc>
        <w:tc>
          <w:tcPr>
            <w:tcW w:w="25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175,000,000</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Address: Sankt Annae Plads 3</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Denmark</w:t>
            </w: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Attention: Thomas Schiltmann</w:t>
            </w:r>
          </w:p>
        </w:tc>
        <w:tc>
          <w:tcPr>
            <w:tcW w:w="2540" w:type="dxa"/>
            <w:vAlign w:val="bottom"/>
            <w:tcBorders>
              <w:right w:val="single" w:sz="8" w:color="auto"/>
            </w:tcBorders>
          </w:tcPr>
          <w:p>
            <w:pPr>
              <w:spacing w:after="0"/>
              <w:rPr>
                <w:sz w:val="24"/>
                <w:szCs w:val="24"/>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4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Winni Udbye Madsen</w:t>
            </w:r>
          </w:p>
        </w:tc>
        <w:tc>
          <w:tcPr>
            <w:tcW w:w="2540" w:type="dxa"/>
            <w:vAlign w:val="bottom"/>
            <w:tcBorders>
              <w:right w:val="single" w:sz="8" w:color="auto"/>
            </w:tcBorders>
          </w:tcPr>
          <w:p>
            <w:pPr>
              <w:spacing w:after="0"/>
              <w:rPr>
                <w:sz w:val="20"/>
                <w:szCs w:val="20"/>
                <w:color w:val="auto"/>
              </w:rPr>
            </w:pPr>
          </w:p>
        </w:tc>
      </w:tr>
      <w:tr>
        <w:trPr>
          <w:trHeight w:val="410"/>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Borders>
              <w:right w:val="single" w:sz="8" w:color="auto"/>
            </w:tcBorders>
          </w:tcPr>
          <w:p>
            <w:pPr>
              <w:spacing w:after="0"/>
              <w:rPr>
                <w:sz w:val="24"/>
                <w:szCs w:val="24"/>
                <w:color w:val="auto"/>
              </w:rPr>
            </w:pPr>
          </w:p>
        </w:tc>
      </w:tr>
      <w:tr>
        <w:trPr>
          <w:trHeight w:val="238"/>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Address: Sankt Annae Plads 3</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 Denmark</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Attention: Thomas Schiltmann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Winni Udbye Madsen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4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TSC@skibskredit.dk</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WUM@skibskredit.dk</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Phone:</w:t>
            </w: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+45 3333 9333</w:t>
            </w:r>
          </w:p>
        </w:tc>
        <w:tc>
          <w:tcPr>
            <w:tcW w:w="2540" w:type="dxa"/>
            <w:vAlign w:val="bottom"/>
            <w:tcBorders>
              <w:right w:val="single" w:sz="8" w:color="auto"/>
            </w:tcBorders>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2540" w:type="dxa"/>
            <w:vAlign w:val="bottom"/>
            <w:tcBorders>
              <w:right w:val="single" w:sz="8" w:color="auto"/>
            </w:tcBorders>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Address: Sankt Annae Plads 3</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Denmark</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Attention: Thomas Schiltmann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Winni Udbye Madsen</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Email: TSC@skibskredit.dk</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WUM@skibskredit.dk</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Phone: +45 3333 9333</w:t>
            </w:r>
          </w:p>
        </w:tc>
        <w:tc>
          <w:tcPr>
            <w:tcW w:w="25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258"/>
        </w:trPr>
        <w:tc>
          <w:tcPr>
            <w:tcW w:w="224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4400" w:type="dxa"/>
            <w:vAlign w:val="bottom"/>
            <w:shd w:val="clear" w:color="auto" w:fill="BFBFBF"/>
          </w:tcPr>
          <w:p>
            <w:pPr>
              <w:ind w:left="16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3280" w:type="dxa"/>
            <w:vAlign w:val="bottom"/>
            <w:shd w:val="clear" w:color="auto" w:fill="BFBFBF"/>
          </w:tcPr>
          <w:p>
            <w:pPr>
              <w:ind w:left="82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Pr>
          <w:p>
            <w:pPr>
              <w:spacing w:after="0"/>
              <w:rPr>
                <w:sz w:val="22"/>
                <w:szCs w:val="22"/>
                <w:color w:val="auto"/>
              </w:rPr>
            </w:pPr>
          </w:p>
        </w:tc>
      </w:tr>
      <w:tr>
        <w:trPr>
          <w:trHeight w:val="79"/>
        </w:trPr>
        <w:tc>
          <w:tcPr>
            <w:tcW w:w="2240" w:type="dxa"/>
            <w:vAlign w:val="bottom"/>
            <w:tcBorders>
              <w:bottom w:val="single" w:sz="8" w:color="auto"/>
            </w:tcBorders>
            <w:shd w:val="clear" w:color="auto" w:fill="BFBFBF"/>
          </w:tcPr>
          <w:p>
            <w:pPr>
              <w:spacing w:after="0"/>
              <w:rPr>
                <w:sz w:val="6"/>
                <w:szCs w:val="6"/>
                <w:color w:val="auto"/>
              </w:rPr>
            </w:pPr>
          </w:p>
        </w:tc>
        <w:tc>
          <w:tcPr>
            <w:tcW w:w="4400" w:type="dxa"/>
            <w:vAlign w:val="bottom"/>
            <w:tcBorders>
              <w:bottom w:val="single" w:sz="8" w:color="auto"/>
            </w:tcBorders>
            <w:shd w:val="clear" w:color="auto" w:fill="BFBFBF"/>
          </w:tcPr>
          <w:p>
            <w:pPr>
              <w:spacing w:after="0"/>
              <w:rPr>
                <w:sz w:val="6"/>
                <w:szCs w:val="6"/>
                <w:color w:val="auto"/>
              </w:rPr>
            </w:pPr>
          </w:p>
        </w:tc>
        <w:tc>
          <w:tcPr>
            <w:tcW w:w="3280" w:type="dxa"/>
            <w:vAlign w:val="bottom"/>
            <w:tcBorders>
              <w:bottom w:val="single" w:sz="8" w:color="auto"/>
            </w:tcBorders>
            <w:shd w:val="clear" w:color="auto" w:fill="BFBFB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32"/>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DNB (UK) Limited</w:t>
            </w: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Facility Office: DNB (UK) Limited</w:t>
            </w:r>
          </w:p>
        </w:tc>
        <w:tc>
          <w:tcPr>
            <w:tcW w:w="3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250,000,000</w:t>
            </w:r>
          </w:p>
        </w:tc>
        <w:tc>
          <w:tcPr>
            <w:tcW w:w="20" w:type="dxa"/>
            <w:vAlign w:val="bottom"/>
          </w:tcPr>
          <w:p>
            <w:pPr>
              <w:spacing w:after="0"/>
              <w:rPr>
                <w:sz w:val="20"/>
                <w:szCs w:val="20"/>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577215</wp:posOffset>
            </wp:positionV>
            <wp:extent cx="6301105" cy="59918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6301105" cy="5991860"/>
                    </a:xfrm>
                    <a:prstGeom prst="rect">
                      <a:avLst/>
                    </a:prstGeom>
                    <a:noFill/>
                  </pic:spPr>
                </pic:pic>
              </a:graphicData>
            </a:graphic>
          </wp:anchor>
        </w:drawing>
      </w:r>
    </w:p>
    <w:p>
      <w:pPr>
        <w:ind w:left="244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3160" w:right="5360" w:firstLine="4"/>
        <w:spacing w:after="0" w:line="277" w:lineRule="auto"/>
        <w:tabs>
          <w:tab w:leader="none" w:pos="3385"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Walbrook, London EC4N 8AF United Kingdom</w:t>
      </w:r>
    </w:p>
    <w:p>
      <w:pPr>
        <w:spacing w:after="0" w:line="16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purposes:</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3160" w:right="5360" w:hanging="2"/>
        <w:spacing w:after="0" w:line="265" w:lineRule="auto"/>
        <w:tabs>
          <w:tab w:leader="none" w:pos="3379" w:val="left"/>
        </w:tabs>
        <w:numPr>
          <w:ilvl w:val="0"/>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Walbrook, London EC4N 8AF United Kingdom</w:t>
      </w:r>
    </w:p>
    <w:p>
      <w:pPr>
        <w:ind w:left="2400"/>
        <w:spacing w:after="0"/>
        <w:rPr>
          <w:sz w:val="20"/>
          <w:szCs w:val="20"/>
          <w:color w:val="auto"/>
        </w:rPr>
      </w:pPr>
      <w:r>
        <w:rPr>
          <w:rFonts w:ascii="Times New Roman" w:cs="Times New Roman" w:eastAsia="Times New Roman" w:hAnsi="Times New Roman"/>
          <w:sz w:val="18"/>
          <w:szCs w:val="18"/>
          <w:color w:val="auto"/>
        </w:rPr>
        <w:t>Attention: CMOA Department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Kay Newman</w:t>
      </w:r>
    </w:p>
    <w:p>
      <w:pPr>
        <w:spacing w:after="0" w:line="9" w:lineRule="exact"/>
        <w:rPr>
          <w:sz w:val="20"/>
          <w:szCs w:val="20"/>
          <w:color w:val="auto"/>
        </w:rPr>
      </w:pPr>
    </w:p>
    <w:p>
      <w:pPr>
        <w:jc w:val="both"/>
        <w:ind w:left="2400"/>
        <w:spacing w:after="0"/>
        <w:tabs>
          <w:tab w:leader="none" w:pos="3120" w:val="left"/>
        </w:tabs>
        <w:rPr>
          <w:sz w:val="20"/>
          <w:szCs w:val="20"/>
          <w:color w:val="auto"/>
        </w:rPr>
      </w:pPr>
      <w:r>
        <w:rPr>
          <w:rFonts w:ascii="Times New Roman" w:cs="Times New Roman" w:eastAsia="Times New Roman" w:hAnsi="Times New Roman"/>
          <w:sz w:val="18"/>
          <w:szCs w:val="18"/>
          <w:color w:val="auto"/>
        </w:rPr>
        <w:t>Email:</w:t>
        <w:tab/>
        <w:t>cmoalondon@dnb.no</w:t>
      </w:r>
    </w:p>
    <w:p>
      <w:pPr>
        <w:spacing w:after="0" w:line="9"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color w:val="auto"/>
        </w:rPr>
        <w:t>kay.newman@dnb.no</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+44 (0)207 621 1111</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+44 (0)7918690732</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Fax: +44 (0)207 283 5935</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other matter:</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25 Walbrook,</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London EC4N 8AF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Loan Admin Department</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Chris Smith</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ladlondon@dnb.no</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Christopher.smith@dnb.no</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+44 (0)207 621 1111</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+44 (0)7927292370</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Fax: +44 (0)207 283 5935</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 ($)</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506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ING Bank N.V.,</w:t>
            </w:r>
          </w:p>
        </w:tc>
        <w:tc>
          <w:tcPr>
            <w:tcW w:w="5060" w:type="dxa"/>
            <w:vAlign w:val="bottom"/>
            <w:tcBorders>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Facility Office: ING Bank N.V., London Branch</w:t>
            </w:r>
          </w:p>
        </w:tc>
        <w:tc>
          <w:tcPr>
            <w:tcW w:w="25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175,000,000</w:t>
            </w:r>
          </w:p>
        </w:tc>
      </w:tr>
      <w:tr>
        <w:trPr>
          <w:trHeight w:val="220"/>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London Branch</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Address: 8-10 Moorgate</w:t>
            </w:r>
          </w:p>
        </w:tc>
        <w:tc>
          <w:tcPr>
            <w:tcW w:w="2540" w:type="dxa"/>
            <w:vAlign w:val="bottom"/>
            <w:tcBorders>
              <w:right w:val="single" w:sz="8" w:color="auto"/>
            </w:tcBorders>
          </w:tcPr>
          <w:p>
            <w:pPr>
              <w:spacing w:after="0"/>
              <w:rPr>
                <w:sz w:val="19"/>
                <w:szCs w:val="19"/>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London EC2R 6DA United Kingdom</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Paul Thom</w:t>
            </w:r>
          </w:p>
        </w:tc>
        <w:tc>
          <w:tcPr>
            <w:tcW w:w="2540" w:type="dxa"/>
            <w:vAlign w:val="bottom"/>
            <w:tcBorders>
              <w:right w:val="single" w:sz="8" w:color="auto"/>
            </w:tcBorders>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Pauline Liadi</w:t>
            </w:r>
          </w:p>
        </w:tc>
        <w:tc>
          <w:tcPr>
            <w:tcW w:w="2540" w:type="dxa"/>
            <w:vAlign w:val="bottom"/>
            <w:tcBorders>
              <w:right w:val="single" w:sz="8" w:color="auto"/>
            </w:tcBorders>
          </w:tcPr>
          <w:p>
            <w:pPr>
              <w:spacing w:after="0"/>
              <w:rPr>
                <w:sz w:val="20"/>
                <w:szCs w:val="20"/>
                <w:color w:val="auto"/>
              </w:rPr>
            </w:pPr>
          </w:p>
        </w:tc>
      </w:tr>
      <w:tr>
        <w:trPr>
          <w:trHeight w:val="432"/>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40" w:type="dxa"/>
            <w:vAlign w:val="bottom"/>
            <w:tcBorders>
              <w:bottom w:val="single" w:sz="8" w:color="auto"/>
              <w:right w:val="single" w:sz="8" w:color="auto"/>
            </w:tcBorders>
          </w:tcPr>
          <w:p>
            <w:pPr>
              <w:spacing w:after="0"/>
              <w:rPr>
                <w:sz w:val="24"/>
                <w:szCs w:val="24"/>
                <w:color w:val="auto"/>
              </w:rPr>
            </w:pPr>
          </w:p>
        </w:tc>
      </w:tr>
      <w:tr>
        <w:trPr>
          <w:trHeight w:val="857"/>
        </w:trPr>
        <w:tc>
          <w:tcPr>
            <w:tcW w:w="232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184</w:t>
            </w:r>
          </w:p>
        </w:tc>
        <w:tc>
          <w:tcPr>
            <w:tcW w:w="2540" w:type="dxa"/>
            <w:vAlign w:val="bottom"/>
          </w:tcPr>
          <w:p>
            <w:pPr>
              <w:spacing w:after="0"/>
              <w:rPr>
                <w:sz w:val="24"/>
                <w:szCs w:val="24"/>
                <w:color w:val="auto"/>
              </w:rPr>
            </w:pPr>
          </w:p>
        </w:tc>
      </w:tr>
      <w:tr>
        <w:trPr>
          <w:trHeight w:val="561"/>
        </w:trPr>
        <w:tc>
          <w:tcPr>
            <w:tcW w:w="23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09" w:right="979" w:bottom="1440" w:gutter="0" w:footer="0" w:header="0"/>
        </w:sectPr>
      </w:pPr>
    </w:p>
    <w:bookmarkStart w:id="361" w:name="page362"/>
    <w:bookmarkEnd w:id="361"/>
    <w:p>
      <w:pPr>
        <w:ind w:left="24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0470" cy="23488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6300470" cy="2348865"/>
                    </a:xfrm>
                    <a:prstGeom prst="rect">
                      <a:avLst/>
                    </a:prstGeom>
                    <a:noFill/>
                  </pic:spPr>
                </pic:pic>
              </a:graphicData>
            </a:graphic>
          </wp:anchor>
        </w:drawing>
      </w:r>
    </w:p>
    <w:p>
      <w:pPr>
        <w:spacing w:after="0" w:line="20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8-10 Moorgate</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London, EC2R 6DA</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Deal Execution Team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Execution@ing.com Phone: +44 207 767 1984</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 8-10 Moorgate, London, EC2R 6DA</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Paul Thom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Pauline Liadi</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 paul.thom@ing.com</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pauline.liadi@ing.com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0207 767 6634</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0791 795 8527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6301105" cy="4483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6301105" cy="44831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40" w:type="dxa"/>
            <w:vAlign w:val="bottom"/>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160" w:type="dxa"/>
            <w:vAlign w:val="bottom"/>
            <w:gridSpan w:val="2"/>
            <w:shd w:val="clear" w:color="auto" w:fill="BFBFBF"/>
          </w:tcPr>
          <w:p>
            <w:pPr>
              <w:ind w:left="16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20" w:type="dxa"/>
            <w:vAlign w:val="bottom"/>
            <w:shd w:val="clear" w:color="auto" w:fill="BFBFBF"/>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Pr>
          <w:p>
            <w:pPr>
              <w:spacing w:after="0"/>
              <w:rPr>
                <w:sz w:val="22"/>
                <w:szCs w:val="22"/>
                <w:color w:val="auto"/>
              </w:rPr>
            </w:pPr>
          </w:p>
        </w:tc>
      </w:tr>
      <w:tr>
        <w:trPr>
          <w:trHeight w:val="79"/>
        </w:trPr>
        <w:tc>
          <w:tcPr>
            <w:tcW w:w="2240" w:type="dxa"/>
            <w:vAlign w:val="bottom"/>
            <w:tcBorders>
              <w:bottom w:val="single" w:sz="8" w:color="auto"/>
            </w:tcBorders>
            <w:shd w:val="clear" w:color="auto" w:fill="BFBFBF"/>
          </w:tcPr>
          <w:p>
            <w:pPr>
              <w:spacing w:after="0"/>
              <w:rPr>
                <w:sz w:val="6"/>
                <w:szCs w:val="6"/>
                <w:color w:val="auto"/>
              </w:rPr>
            </w:pPr>
          </w:p>
        </w:tc>
        <w:tc>
          <w:tcPr>
            <w:tcW w:w="5160" w:type="dxa"/>
            <w:vAlign w:val="bottom"/>
            <w:tcBorders>
              <w:bottom w:val="single" w:sz="8" w:color="auto"/>
            </w:tcBorders>
            <w:gridSpan w:val="2"/>
            <w:shd w:val="clear" w:color="auto" w:fill="BFBFBF"/>
          </w:tcPr>
          <w:p>
            <w:pPr>
              <w:spacing w:after="0"/>
              <w:rPr>
                <w:sz w:val="6"/>
                <w:szCs w:val="6"/>
                <w:color w:val="auto"/>
              </w:rPr>
            </w:pPr>
          </w:p>
        </w:tc>
        <w:tc>
          <w:tcPr>
            <w:tcW w:w="2520" w:type="dxa"/>
            <w:vAlign w:val="bottom"/>
            <w:tcBorders>
              <w:bottom w:val="single" w:sz="8" w:color="auto"/>
            </w:tcBorders>
            <w:shd w:val="clear" w:color="auto" w:fill="BFBFB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7"/>
        </w:trPr>
        <w:tc>
          <w:tcPr>
            <w:tcW w:w="2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National Australia Bank</w:t>
            </w:r>
          </w:p>
        </w:tc>
        <w:tc>
          <w:tcPr>
            <w:tcW w:w="516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color w:val="auto"/>
              </w:rPr>
              <w:t>Facility Office: National Australia Bank Limited, Singapore Branch</w:t>
            </w:r>
          </w:p>
        </w:tc>
        <w:tc>
          <w:tcPr>
            <w:tcW w:w="25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155,000,000</w:t>
            </w:r>
          </w:p>
        </w:tc>
        <w:tc>
          <w:tcPr>
            <w:tcW w:w="20" w:type="dxa"/>
            <w:vAlign w:val="bottom"/>
          </w:tcPr>
          <w:p>
            <w:pPr>
              <w:spacing w:after="0"/>
              <w:rPr>
                <w:sz w:val="16"/>
                <w:szCs w:val="16"/>
                <w:color w:val="auto"/>
              </w:rPr>
            </w:pPr>
          </w:p>
        </w:tc>
      </w:tr>
      <w:tr>
        <w:trPr>
          <w:trHeight w:val="220"/>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Address:</w:t>
            </w:r>
          </w:p>
        </w:tc>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 Marina View,</w:t>
            </w: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#20-02 Asia Square Tower 2,</w:t>
            </w: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 018961</w:t>
            </w: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David Hackett</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p>
      <w:pPr>
        <w:sectPr>
          <w:pgSz w:w="11900" w:h="16838" w:orient="portrait"/>
          <w:cols w:equalWidth="0" w:num="1">
            <w:col w:w="9940"/>
          </w:cols>
          <w:pgMar w:left="980" w:top="90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National Australia Bank Limited CIB Operations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Lending Administration Global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2 Carrington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Fegan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sean.fegan@nab.com.au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NAB.EST.Asia.Lending.Admin@nab. com.au</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+61 475 962 739</w:t>
      </w:r>
    </w:p>
    <w:p>
      <w:pPr>
        <w:spacing w:after="0" w:line="200" w:lineRule="exact"/>
        <w:rPr>
          <w:sz w:val="20"/>
          <w:szCs w:val="20"/>
          <w:color w:val="auto"/>
        </w:rPr>
      </w:pPr>
    </w:p>
    <w:p>
      <w:pPr>
        <w:sectPr>
          <w:pgSz w:w="11900" w:h="16838" w:orient="portrait"/>
          <w:cols w:equalWidth="0" w:num="2">
            <w:col w:w="3140" w:space="360"/>
            <w:col w:w="6440"/>
          </w:cols>
          <w:pgMar w:left="980" w:top="900" w:right="979" w:bottom="1440" w:gutter="0" w:footer="0" w:header="0"/>
          <w:type w:val="continuous"/>
        </w:sectPr>
      </w:pPr>
    </w:p>
    <w:p>
      <w:pPr>
        <w:spacing w:after="0" w:line="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For notices for credit and/or notices for any other matter:</w:t>
      </w:r>
    </w:p>
    <w:p>
      <w:pPr>
        <w:spacing w:after="0" w:line="43"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12 Marina View,</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#20-02 Asia Square Tower 2,</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Singapore 018961</w:t>
      </w:r>
    </w:p>
    <w:p>
      <w:pPr>
        <w:spacing w:after="0" w:line="9"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David Hackett</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Dani Colvin</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Elizabeth Park</w:t>
      </w:r>
    </w:p>
    <w:p>
      <w:pPr>
        <w:sectPr>
          <w:pgSz w:w="11900" w:h="16838" w:orient="portrait"/>
          <w:cols w:equalWidth="0" w:num="1">
            <w:col w:w="9940"/>
          </w:cols>
          <w:pgMar w:left="980" w:top="900" w:right="979" w:bottom="1440" w:gutter="0" w:footer="0" w:header="0"/>
          <w:type w:val="continuous"/>
        </w:sectPr>
      </w:pP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Phone: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david.x.hackett@nabasia.com</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dani.colvin@nab.com.au</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elizabeth.park@nab.com.au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+65 9787 1859</w:t>
      </w:r>
    </w:p>
    <w:p>
      <w:pPr>
        <w:spacing w:after="0" w:line="200" w:lineRule="exact"/>
        <w:rPr>
          <w:sz w:val="20"/>
          <w:szCs w:val="20"/>
          <w:color w:val="auto"/>
        </w:rPr>
      </w:pPr>
    </w:p>
    <w:p>
      <w:pPr>
        <w:sectPr>
          <w:pgSz w:w="11900" w:h="16838" w:orient="portrait"/>
          <w:cols w:equalWidth="0" w:num="2">
            <w:col w:w="2900" w:space="340"/>
            <w:col w:w="6700"/>
          </w:cols>
          <w:pgMar w:left="980" w:top="900"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type w:val="continuous"/>
        </w:sectPr>
      </w:pPr>
    </w:p>
    <w:bookmarkStart w:id="362" w:name="page363"/>
    <w:bookmarkEnd w:id="362"/>
    <w:p>
      <w:pPr>
        <w:ind w:left="3400"/>
        <w:spacing w:after="0"/>
        <w:rPr>
          <w:sz w:val="20"/>
          <w:szCs w:val="20"/>
          <w:color w:val="auto"/>
        </w:rPr>
      </w:pPr>
      <w:r>
        <w:rPr>
          <w:rFonts w:ascii="Times New Roman" w:cs="Times New Roman" w:eastAsia="Times New Roman" w:hAnsi="Times New Roman"/>
          <w:sz w:val="18"/>
          <w:szCs w:val="18"/>
          <w:color w:val="auto"/>
        </w:rPr>
        <w:t>+61 439 526 671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5944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6292215" cy="1594485"/>
                    </a:xfrm>
                    <a:prstGeom prst="rect">
                      <a:avLst/>
                    </a:prstGeom>
                    <a:noFill/>
                  </pic:spPr>
                </pic:pic>
              </a:graphicData>
            </a:graphic>
          </wp:anchor>
        </w:drawing>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+61 472 840 429</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Account details for payments:</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Correspondent Bank: Citibank N.A., New York</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Correspondent SWIFT:CITIUS33</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Beneficiary Bank: National Australia Bank Limited,</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Singapore Branch</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Beneficiary SWIFT: NATASGSG</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Beneficiary Account Number: 36244314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Reference: GasLog Ltd.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220345</wp:posOffset>
            </wp:positionV>
            <wp:extent cx="6292215" cy="56489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6292215" cy="564896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60" w:type="dxa"/>
            <w:vAlign w:val="bottom"/>
            <w:gridSpan w:val="2"/>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140" w:type="dxa"/>
            <w:vAlign w:val="bottom"/>
            <w:shd w:val="clear" w:color="auto" w:fill="BFBFBF"/>
          </w:tcPr>
          <w:p>
            <w:pPr>
              <w:spacing w:after="0"/>
              <w:rPr>
                <w:sz w:val="22"/>
                <w:szCs w:val="22"/>
                <w:color w:val="auto"/>
              </w:rPr>
            </w:pPr>
          </w:p>
        </w:tc>
        <w:tc>
          <w:tcPr>
            <w:tcW w:w="4260" w:type="dxa"/>
            <w:vAlign w:val="bottom"/>
            <w:gridSpan w:val="9"/>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3240" w:type="dxa"/>
            <w:vAlign w:val="bottom"/>
            <w:shd w:val="clear" w:color="auto" w:fill="BFBFBF"/>
          </w:tcPr>
          <w:p>
            <w:pPr>
              <w:ind w:left="82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Pr>
          <w:p>
            <w:pPr>
              <w:spacing w:after="0"/>
              <w:rPr>
                <w:sz w:val="22"/>
                <w:szCs w:val="22"/>
                <w:color w:val="auto"/>
              </w:rPr>
            </w:pPr>
          </w:p>
        </w:tc>
      </w:tr>
      <w:tr>
        <w:trPr>
          <w:trHeight w:val="79"/>
        </w:trPr>
        <w:tc>
          <w:tcPr>
            <w:tcW w:w="1600" w:type="dxa"/>
            <w:vAlign w:val="bottom"/>
            <w:tcBorders>
              <w:bottom w:val="single" w:sz="8" w:color="auto"/>
            </w:tcBorders>
            <w:shd w:val="clear" w:color="auto" w:fill="BFBFBF"/>
          </w:tcPr>
          <w:p>
            <w:pPr>
              <w:spacing w:after="0"/>
              <w:rPr>
                <w:sz w:val="6"/>
                <w:szCs w:val="6"/>
                <w:color w:val="auto"/>
              </w:rPr>
            </w:pPr>
          </w:p>
        </w:tc>
        <w:tc>
          <w:tcPr>
            <w:tcW w:w="660" w:type="dxa"/>
            <w:vAlign w:val="bottom"/>
            <w:tcBorders>
              <w:bottom w:val="single" w:sz="8" w:color="auto"/>
            </w:tcBorders>
            <w:shd w:val="clear" w:color="auto" w:fill="BFBFBF"/>
          </w:tcPr>
          <w:p>
            <w:pPr>
              <w:spacing w:after="0"/>
              <w:rPr>
                <w:sz w:val="6"/>
                <w:szCs w:val="6"/>
                <w:color w:val="auto"/>
              </w:rPr>
            </w:pPr>
          </w:p>
        </w:tc>
        <w:tc>
          <w:tcPr>
            <w:tcW w:w="140" w:type="dxa"/>
            <w:vAlign w:val="bottom"/>
            <w:tcBorders>
              <w:bottom w:val="single" w:sz="8" w:color="auto"/>
            </w:tcBorders>
            <w:shd w:val="clear" w:color="auto" w:fill="BFBFBF"/>
          </w:tcPr>
          <w:p>
            <w:pPr>
              <w:spacing w:after="0"/>
              <w:rPr>
                <w:sz w:val="6"/>
                <w:szCs w:val="6"/>
                <w:color w:val="auto"/>
              </w:rPr>
            </w:pPr>
          </w:p>
        </w:tc>
        <w:tc>
          <w:tcPr>
            <w:tcW w:w="480" w:type="dxa"/>
            <w:vAlign w:val="bottom"/>
            <w:tcBorders>
              <w:bottom w:val="single" w:sz="8" w:color="auto"/>
            </w:tcBorders>
            <w:shd w:val="clear" w:color="auto" w:fill="BFBFBF"/>
          </w:tcPr>
          <w:p>
            <w:pPr>
              <w:spacing w:after="0"/>
              <w:rPr>
                <w:sz w:val="6"/>
                <w:szCs w:val="6"/>
                <w:color w:val="auto"/>
              </w:rPr>
            </w:pPr>
          </w:p>
        </w:tc>
        <w:tc>
          <w:tcPr>
            <w:tcW w:w="600" w:type="dxa"/>
            <w:vAlign w:val="bottom"/>
            <w:tcBorders>
              <w:bottom w:val="single" w:sz="8" w:color="auto"/>
            </w:tcBorders>
            <w:gridSpan w:val="2"/>
            <w:shd w:val="clear" w:color="auto" w:fill="BFBFBF"/>
          </w:tcPr>
          <w:p>
            <w:pPr>
              <w:spacing w:after="0"/>
              <w:rPr>
                <w:sz w:val="6"/>
                <w:szCs w:val="6"/>
                <w:color w:val="auto"/>
              </w:rPr>
            </w:pPr>
          </w:p>
        </w:tc>
        <w:tc>
          <w:tcPr>
            <w:tcW w:w="540" w:type="dxa"/>
            <w:vAlign w:val="bottom"/>
            <w:tcBorders>
              <w:bottom w:val="single" w:sz="8" w:color="auto"/>
            </w:tcBorders>
            <w:shd w:val="clear" w:color="auto" w:fill="BFBFBF"/>
          </w:tcPr>
          <w:p>
            <w:pPr>
              <w:spacing w:after="0"/>
              <w:rPr>
                <w:sz w:val="6"/>
                <w:szCs w:val="6"/>
                <w:color w:val="auto"/>
              </w:rPr>
            </w:pPr>
          </w:p>
        </w:tc>
        <w:tc>
          <w:tcPr>
            <w:tcW w:w="560" w:type="dxa"/>
            <w:vAlign w:val="bottom"/>
            <w:tcBorders>
              <w:bottom w:val="single" w:sz="8" w:color="auto"/>
            </w:tcBorders>
            <w:shd w:val="clear" w:color="auto" w:fill="BFBFBF"/>
          </w:tcPr>
          <w:p>
            <w:pPr>
              <w:spacing w:after="0"/>
              <w:rPr>
                <w:sz w:val="6"/>
                <w:szCs w:val="6"/>
                <w:color w:val="auto"/>
              </w:rPr>
            </w:pPr>
          </w:p>
        </w:tc>
        <w:tc>
          <w:tcPr>
            <w:tcW w:w="120" w:type="dxa"/>
            <w:vAlign w:val="bottom"/>
            <w:tcBorders>
              <w:bottom w:val="single" w:sz="8" w:color="auto"/>
            </w:tcBorders>
            <w:shd w:val="clear" w:color="auto" w:fill="BFBFBF"/>
          </w:tcPr>
          <w:p>
            <w:pPr>
              <w:spacing w:after="0"/>
              <w:rPr>
                <w:sz w:val="6"/>
                <w:szCs w:val="6"/>
                <w:color w:val="auto"/>
              </w:rPr>
            </w:pPr>
          </w:p>
        </w:tc>
        <w:tc>
          <w:tcPr>
            <w:tcW w:w="220" w:type="dxa"/>
            <w:vAlign w:val="bottom"/>
            <w:tcBorders>
              <w:bottom w:val="single" w:sz="8" w:color="auto"/>
            </w:tcBorders>
            <w:shd w:val="clear" w:color="auto" w:fill="BFBFBF"/>
          </w:tcPr>
          <w:p>
            <w:pPr>
              <w:spacing w:after="0"/>
              <w:rPr>
                <w:sz w:val="6"/>
                <w:szCs w:val="6"/>
                <w:color w:val="auto"/>
              </w:rPr>
            </w:pPr>
          </w:p>
        </w:tc>
        <w:tc>
          <w:tcPr>
            <w:tcW w:w="740" w:type="dxa"/>
            <w:vAlign w:val="bottom"/>
            <w:tcBorders>
              <w:bottom w:val="single" w:sz="8" w:color="auto"/>
            </w:tcBorders>
            <w:shd w:val="clear" w:color="auto" w:fill="BFBFBF"/>
          </w:tcPr>
          <w:p>
            <w:pPr>
              <w:spacing w:after="0"/>
              <w:rPr>
                <w:sz w:val="6"/>
                <w:szCs w:val="6"/>
                <w:color w:val="auto"/>
              </w:rPr>
            </w:pPr>
          </w:p>
        </w:tc>
        <w:tc>
          <w:tcPr>
            <w:tcW w:w="1000" w:type="dxa"/>
            <w:vAlign w:val="bottom"/>
            <w:tcBorders>
              <w:bottom w:val="single" w:sz="8" w:color="auto"/>
            </w:tcBorders>
            <w:shd w:val="clear" w:color="auto" w:fill="BFBFBF"/>
          </w:tcPr>
          <w:p>
            <w:pPr>
              <w:spacing w:after="0"/>
              <w:rPr>
                <w:sz w:val="6"/>
                <w:szCs w:val="6"/>
                <w:color w:val="auto"/>
              </w:rPr>
            </w:pPr>
          </w:p>
        </w:tc>
        <w:tc>
          <w:tcPr>
            <w:tcW w:w="3240" w:type="dxa"/>
            <w:vAlign w:val="bottom"/>
            <w:tcBorders>
              <w:bottom w:val="single" w:sz="8" w:color="auto"/>
            </w:tcBorders>
            <w:shd w:val="clear" w:color="auto" w:fill="BFBFB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7"/>
        </w:trPr>
        <w:tc>
          <w:tcPr>
            <w:tcW w:w="16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National Bank</w:t>
            </w:r>
          </w:p>
        </w:tc>
        <w:tc>
          <w:tcPr>
            <w:tcW w:w="66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of</w:t>
            </w:r>
          </w:p>
        </w:tc>
        <w:tc>
          <w:tcPr>
            <w:tcW w:w="140" w:type="dxa"/>
            <w:vAlign w:val="bottom"/>
          </w:tcPr>
          <w:p>
            <w:pPr>
              <w:spacing w:after="0"/>
              <w:rPr>
                <w:sz w:val="16"/>
                <w:szCs w:val="16"/>
                <w:color w:val="auto"/>
              </w:rPr>
            </w:pPr>
          </w:p>
        </w:tc>
        <w:tc>
          <w:tcPr>
            <w:tcW w:w="4260" w:type="dxa"/>
            <w:vAlign w:val="bottom"/>
            <w:gridSpan w:val="9"/>
          </w:tcPr>
          <w:p>
            <w:pPr>
              <w:ind w:left="40"/>
              <w:spacing w:after="0" w:line="188" w:lineRule="exact"/>
              <w:rPr>
                <w:sz w:val="20"/>
                <w:szCs w:val="20"/>
                <w:color w:val="auto"/>
              </w:rPr>
            </w:pPr>
            <w:r>
              <w:rPr>
                <w:rFonts w:ascii="Times New Roman" w:cs="Times New Roman" w:eastAsia="Times New Roman" w:hAnsi="Times New Roman"/>
                <w:sz w:val="18"/>
                <w:szCs w:val="18"/>
                <w:color w:val="auto"/>
              </w:rPr>
              <w:t>Facility Office: National Bank of Greece S.A.,</w:t>
            </w:r>
          </w:p>
        </w:tc>
        <w:tc>
          <w:tcPr>
            <w:tcW w:w="3240" w:type="dxa"/>
            <w:vAlign w:val="bottom"/>
          </w:tcPr>
          <w:p>
            <w:pPr>
              <w:ind w:left="820"/>
              <w:spacing w:after="0" w:line="188" w:lineRule="exact"/>
              <w:rPr>
                <w:sz w:val="20"/>
                <w:szCs w:val="20"/>
                <w:color w:val="auto"/>
              </w:rPr>
            </w:pPr>
            <w:r>
              <w:rPr>
                <w:rFonts w:ascii="Times New Roman" w:cs="Times New Roman" w:eastAsia="Times New Roman" w:hAnsi="Times New Roman"/>
                <w:sz w:val="18"/>
                <w:szCs w:val="18"/>
                <w:color w:val="auto"/>
              </w:rPr>
              <w:t>225,000,000</w:t>
            </w:r>
          </w:p>
        </w:tc>
        <w:tc>
          <w:tcPr>
            <w:tcW w:w="20" w:type="dxa"/>
            <w:vAlign w:val="bottom"/>
          </w:tcPr>
          <w:p>
            <w:pPr>
              <w:spacing w:after="0"/>
              <w:rPr>
                <w:sz w:val="16"/>
                <w:szCs w:val="16"/>
                <w:color w:val="auto"/>
              </w:rPr>
            </w:pPr>
          </w:p>
        </w:tc>
      </w:tr>
      <w:tr>
        <w:trPr>
          <w:trHeight w:val="238"/>
        </w:trPr>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Greece S.A.</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Shipping Branch</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Address: Mpoumpoulinas 2, St.</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185 35 Piraeus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Greece</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Address: Mpoumpoulinas 2 St.,</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18535 Piraeus,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Greece</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Attention: Mrs. Anna Antoniou</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Mrs Evgenia Kanellopoulou</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Email:antoniou.thean@nbg.gr/</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Kanellopoulou.evgenia@nbg.gr</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Phone: +302104144149/ +302104144128</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other matter:</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Mpoumpoulinas 2 St.,</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18535 Piraeus,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Greece</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Attention: Mr. Andreas Mitsiopoulos</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Mrs. Eleni Bezou</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Mrs. Katerina Agapiou</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540" w:type="dxa"/>
            <w:vAlign w:val="bottom"/>
          </w:tcPr>
          <w:p>
            <w:pPr>
              <w:spacing w:after="0"/>
              <w:rPr>
                <w:sz w:val="24"/>
                <w:szCs w:val="24"/>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Mitsiopoulos.andreas@nbg.gr /</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Mpezou.eleni@nbg.gr /</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Agapiou.aikaterini@nbg.gr</w:t>
            </w: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Phone: +302104144077/ +302104144072/ +30</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2104144079</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363" w:name="page364"/>
    <w:bookmarkEnd w:id="363"/>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top w:val="single" w:sz="8" w:color="auto"/>
              <w:right w:val="single" w:sz="8" w:color="auto"/>
            </w:tcBorders>
            <w:gridSpan w:val="4"/>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6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0" w:type="dxa"/>
            <w:vAlign w:val="bottom"/>
          </w:tcPr>
          <w:p>
            <w:pPr>
              <w:spacing w:after="0"/>
              <w:rPr>
                <w:sz w:val="1"/>
                <w:szCs w:val="1"/>
                <w:color w:val="auto"/>
              </w:rPr>
            </w:pP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60" w:type="dxa"/>
            <w:vAlign w:val="bottom"/>
            <w:tcBorders>
              <w:bottom w:val="single" w:sz="8" w:color="auto"/>
            </w:tcBorders>
            <w:gridSpan w:val="2"/>
            <w:shd w:val="clear" w:color="auto" w:fill="BFBFBF"/>
          </w:tcPr>
          <w:p>
            <w:pPr>
              <w:spacing w:after="0"/>
              <w:rPr>
                <w:sz w:val="7"/>
                <w:szCs w:val="7"/>
                <w:color w:val="auto"/>
              </w:rPr>
            </w:pPr>
          </w:p>
        </w:tc>
        <w:tc>
          <w:tcPr>
            <w:tcW w:w="2300" w:type="dxa"/>
            <w:vAlign w:val="bottom"/>
            <w:tcBorders>
              <w:bottom w:val="single" w:sz="8" w:color="auto"/>
            </w:tcBorders>
            <w:shd w:val="clear" w:color="auto" w:fill="BFBFBF"/>
          </w:tcPr>
          <w:p>
            <w:pPr>
              <w:spacing w:after="0"/>
              <w:rPr>
                <w:sz w:val="7"/>
                <w:szCs w:val="7"/>
                <w:color w:val="auto"/>
              </w:rPr>
            </w:pPr>
          </w:p>
        </w:tc>
        <w:tc>
          <w:tcPr>
            <w:tcW w:w="1800" w:type="dxa"/>
            <w:vAlign w:val="bottom"/>
            <w:tcBorders>
              <w:bottom w:val="single" w:sz="8" w:color="auto"/>
              <w:right w:val="single" w:sz="8" w:color="auto"/>
            </w:tcBorders>
            <w:shd w:val="clear" w:color="auto" w:fill="BFBFBF"/>
          </w:tcPr>
          <w:p>
            <w:pPr>
              <w:spacing w:after="0"/>
              <w:rPr>
                <w:sz w:val="7"/>
                <w:szCs w:val="7"/>
                <w:color w:val="auto"/>
              </w:rPr>
            </w:pPr>
          </w:p>
        </w:tc>
        <w:tc>
          <w:tcPr>
            <w:tcW w:w="256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Nordea Bank Abp, Filial I</w:t>
            </w:r>
          </w:p>
        </w:tc>
        <w:tc>
          <w:tcPr>
            <w:tcW w:w="5060" w:type="dxa"/>
            <w:vAlign w:val="bottom"/>
            <w:tcBorders>
              <w:right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18"/>
                <w:szCs w:val="18"/>
                <w:color w:val="auto"/>
              </w:rPr>
              <w:t>Facility Office: Nordea Bank Abp, Filial I Norge</w:t>
            </w:r>
          </w:p>
        </w:tc>
        <w:tc>
          <w:tcPr>
            <w:tcW w:w="256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175,000,000</w:t>
            </w:r>
          </w:p>
        </w:tc>
        <w:tc>
          <w:tcPr>
            <w:tcW w:w="0" w:type="dxa"/>
            <w:vAlign w:val="bottom"/>
          </w:tcPr>
          <w:p>
            <w:pPr>
              <w:spacing w:after="0"/>
              <w:rPr>
                <w:sz w:val="1"/>
                <w:szCs w:val="1"/>
                <w:color w:val="auto"/>
              </w:rPr>
            </w:pPr>
          </w:p>
        </w:tc>
      </w:tr>
      <w:tr>
        <w:trPr>
          <w:trHeight w:val="238"/>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Norge</w:t>
            </w:r>
          </w:p>
        </w:tc>
        <w:tc>
          <w:tcPr>
            <w:tcW w:w="5060" w:type="dxa"/>
            <w:vAlign w:val="bottom"/>
            <w:tcBorders>
              <w:right w:val="single" w:sz="8" w:color="auto"/>
            </w:tcBorders>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Address: Essendrops gate 7</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20" w:type="dxa"/>
            <w:vAlign w:val="bottom"/>
            <w:tcBorders>
              <w:left w:val="single" w:sz="8" w:color="auto"/>
              <w:right w:val="single" w:sz="8" w:color="auto"/>
            </w:tcBorders>
          </w:tcPr>
          <w:p>
            <w:pPr>
              <w:spacing w:after="0"/>
              <w:rPr>
                <w:sz w:val="17"/>
                <w:szCs w:val="17"/>
                <w:color w:val="auto"/>
              </w:rPr>
            </w:pPr>
          </w:p>
        </w:tc>
        <w:tc>
          <w:tcPr>
            <w:tcW w:w="5060" w:type="dxa"/>
            <w:vAlign w:val="bottom"/>
            <w:tcBorders>
              <w:right w:val="single" w:sz="8" w:color="auto"/>
            </w:tcBorders>
            <w:gridSpan w:val="4"/>
            <w:vMerge w:val="continue"/>
          </w:tcPr>
          <w:p>
            <w:pPr>
              <w:spacing w:after="0"/>
              <w:rPr>
                <w:sz w:val="17"/>
                <w:szCs w:val="17"/>
                <w:color w:val="auto"/>
              </w:rPr>
            </w:pP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0368 Oslo</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Address: Essendrops gate 7</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0368 Oslo</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Norway</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Attention: Lisbeth Ulriksen</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Email: sls.norway@nordea.com</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Phone: +47 24010892</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Address: Essendrops gate 7</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0368 Oslo</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Norway</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Attention: Mons Bjerch-Andresen</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Email: mons.bjerch-andresen@nordea.com</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Phone: +47 95819544</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60" w:type="dxa"/>
            <w:vAlign w:val="bottom"/>
            <w:tcBorders>
              <w:bottom w:val="single" w:sz="8" w:color="auto"/>
              <w:right w:val="single" w:sz="8" w:color="auto"/>
            </w:tcBorders>
            <w:gridSpan w:val="4"/>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6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Oversea-Chinese Banking</w:t>
            </w:r>
          </w:p>
        </w:tc>
        <w:tc>
          <w:tcPr>
            <w:tcW w:w="5060" w:type="dxa"/>
            <w:vAlign w:val="bottom"/>
            <w:tcBorders>
              <w:right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18"/>
                <w:szCs w:val="18"/>
                <w:color w:val="auto"/>
              </w:rPr>
              <w:t>Facility Office:Oversea-Chinese Banking</w:t>
            </w:r>
          </w:p>
        </w:tc>
        <w:tc>
          <w:tcPr>
            <w:tcW w:w="256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175,000,000</w:t>
            </w:r>
          </w:p>
        </w:tc>
        <w:tc>
          <w:tcPr>
            <w:tcW w:w="0" w:type="dxa"/>
            <w:vAlign w:val="bottom"/>
          </w:tcPr>
          <w:p>
            <w:pPr>
              <w:spacing w:after="0"/>
              <w:rPr>
                <w:sz w:val="1"/>
                <w:szCs w:val="1"/>
                <w:color w:val="auto"/>
              </w:rPr>
            </w:pPr>
          </w:p>
        </w:tc>
      </w:tr>
      <w:tr>
        <w:trPr>
          <w:trHeight w:val="238"/>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Corporation Limited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Corporation Limited</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Address:</w:t>
            </w:r>
          </w:p>
        </w:tc>
        <w:tc>
          <w:tcPr>
            <w:tcW w:w="180" w:type="dxa"/>
            <w:vAlign w:val="bottom"/>
          </w:tcPr>
          <w:p>
            <w:pPr>
              <w:spacing w:after="0"/>
              <w:rPr>
                <w:sz w:val="24"/>
                <w:szCs w:val="24"/>
                <w:color w:val="auto"/>
              </w:rPr>
            </w:pPr>
          </w:p>
        </w:tc>
        <w:tc>
          <w:tcPr>
            <w:tcW w:w="410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Level 10, OCBC Centre,</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65 Chulia Street,</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Singapore, 049513</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Address: 63 Chulia Street,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Level 8 OCBC Centre East,</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Singapore 049514</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w w:val="99"/>
              </w:rPr>
              <w:t>Attention: Tho Wei Li / Kathy Ho Mui Lian / Low Yik Lan Serene /</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 Geok Chuan (Alex)</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7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180" w:type="dxa"/>
            <w:vAlign w:val="bottom"/>
          </w:tcPr>
          <w:p>
            <w:pPr>
              <w:spacing w:after="0"/>
              <w:rPr>
                <w:sz w:val="16"/>
                <w:szCs w:val="16"/>
                <w:color w:val="auto"/>
              </w:rPr>
            </w:pPr>
          </w:p>
        </w:tc>
        <w:tc>
          <w:tcPr>
            <w:tcW w:w="23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BBCSCSyndication@ocbc.com</w:t>
            </w:r>
          </w:p>
        </w:tc>
        <w:tc>
          <w:tcPr>
            <w:tcW w:w="180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Phone:</w:t>
            </w:r>
          </w:p>
        </w:tc>
        <w:tc>
          <w:tcPr>
            <w:tcW w:w="42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+65 6538 1111 service code 328 &amp; select</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 for Loan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Address: Level 10, OCBC Centre,</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65 Chulia Street,</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Singapore, 049513</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Attention: Angeline Teo / Ian Thia / Li Ke</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980" w:top="889" w:right="9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89" w:right="979" w:bottom="1440" w:gutter="0" w:footer="0" w:header="0"/>
          <w:type w:val="continuous"/>
        </w:sectPr>
      </w:pPr>
    </w:p>
    <w:bookmarkStart w:id="364" w:name="page365"/>
    <w:bookmarkEnd w:id="364"/>
    <w:p>
      <w:pPr>
        <w:ind w:left="24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AngelineTeo@ocbc.com/ IanThia@ocbc.com</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4286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6292215" cy="428625"/>
                    </a:xfrm>
                    <a:prstGeom prst="rect">
                      <a:avLst/>
                    </a:prstGeom>
                    <a:noFill/>
                  </pic:spPr>
                </pic:pic>
              </a:graphicData>
            </a:graphic>
          </wp:anchor>
        </w:drawing>
      </w:r>
    </w:p>
    <w:p>
      <w:pPr>
        <w:spacing w:after="0" w:line="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u w:val="single" w:color="auto"/>
          <w:color w:val="auto"/>
        </w:rPr>
        <w:t>LiKe@ocbc.com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Phone: +65 6530 8708 / 6318 7616 / 6428 7685</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80" w:type="dxa"/>
            <w:vAlign w:val="bottom"/>
            <w:tcBorders>
              <w:top w:val="single" w:sz="8" w:color="auto"/>
              <w:right w:val="single" w:sz="8" w:color="auto"/>
            </w:tcBorders>
            <w:gridSpan w:val="4"/>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20" w:type="dxa"/>
            <w:vAlign w:val="bottom"/>
            <w:tcBorders>
              <w:top w:val="single" w:sz="8" w:color="auto"/>
              <w:right w:val="single" w:sz="8" w:color="BFBFBF"/>
            </w:tcBorders>
            <w:shd w:val="clear" w:color="auto" w:fill="BFBFBF"/>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Borders>
              <w:top w:val="single" w:sz="8" w:color="auto"/>
            </w:tcBorders>
            <w:shd w:val="clear" w:color="auto" w:fill="000000"/>
          </w:tcPr>
          <w:p>
            <w:pPr>
              <w:spacing w:after="0"/>
              <w:rPr>
                <w:sz w:val="21"/>
                <w:szCs w:val="21"/>
                <w:color w:val="auto"/>
              </w:rPr>
            </w:pP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00" w:type="dxa"/>
            <w:vAlign w:val="bottom"/>
            <w:tcBorders>
              <w:bottom w:val="single" w:sz="8" w:color="auto"/>
            </w:tcBorders>
            <w:gridSpan w:val="2"/>
            <w:shd w:val="clear" w:color="auto" w:fill="BFBFBF"/>
          </w:tcPr>
          <w:p>
            <w:pPr>
              <w:spacing w:after="0"/>
              <w:rPr>
                <w:sz w:val="7"/>
                <w:szCs w:val="7"/>
                <w:color w:val="auto"/>
              </w:rPr>
            </w:pPr>
          </w:p>
        </w:tc>
        <w:tc>
          <w:tcPr>
            <w:tcW w:w="2100" w:type="dxa"/>
            <w:vAlign w:val="bottom"/>
            <w:tcBorders>
              <w:bottom w:val="single" w:sz="8" w:color="auto"/>
            </w:tcBorders>
            <w:shd w:val="clear" w:color="auto" w:fill="BFBFBF"/>
          </w:tcPr>
          <w:p>
            <w:pPr>
              <w:spacing w:after="0"/>
              <w:rPr>
                <w:sz w:val="7"/>
                <w:szCs w:val="7"/>
                <w:color w:val="auto"/>
              </w:rPr>
            </w:pPr>
          </w:p>
        </w:tc>
        <w:tc>
          <w:tcPr>
            <w:tcW w:w="2080" w:type="dxa"/>
            <w:vAlign w:val="bottom"/>
            <w:tcBorders>
              <w:bottom w:val="single" w:sz="8" w:color="auto"/>
              <w:right w:val="single" w:sz="8" w:color="auto"/>
            </w:tcBorders>
            <w:shd w:val="clear" w:color="auto" w:fill="BFBFBF"/>
          </w:tcPr>
          <w:p>
            <w:pPr>
              <w:spacing w:after="0"/>
              <w:rPr>
                <w:sz w:val="7"/>
                <w:szCs w:val="7"/>
                <w:color w:val="auto"/>
              </w:rPr>
            </w:pPr>
          </w:p>
        </w:tc>
        <w:tc>
          <w:tcPr>
            <w:tcW w:w="2520" w:type="dxa"/>
            <w:vAlign w:val="bottom"/>
            <w:tcBorders>
              <w:bottom w:val="single" w:sz="8" w:color="auto"/>
              <w:right w:val="single" w:sz="8" w:color="BFBFBF"/>
            </w:tcBorders>
            <w:shd w:val="clear" w:color="auto" w:fill="BFBFBF"/>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Skandinaviska Enskilda</w:t>
            </w:r>
          </w:p>
        </w:tc>
        <w:tc>
          <w:tcPr>
            <w:tcW w:w="5080" w:type="dxa"/>
            <w:vAlign w:val="bottom"/>
            <w:tcBorders>
              <w:right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18"/>
                <w:szCs w:val="18"/>
                <w:color w:val="auto"/>
              </w:rPr>
              <w:t>Facility Office: Skandinaviska Enskilda Banken AB</w:t>
            </w:r>
          </w:p>
        </w:tc>
        <w:tc>
          <w:tcPr>
            <w:tcW w:w="25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90,000,000</w:t>
            </w:r>
          </w:p>
        </w:tc>
        <w:tc>
          <w:tcPr>
            <w:tcW w:w="20" w:type="dxa"/>
            <w:vAlign w:val="bottom"/>
            <w:shd w:val="clear" w:color="auto" w:fill="000000"/>
          </w:tcPr>
          <w:p>
            <w:pPr>
              <w:spacing w:after="0"/>
              <w:rPr>
                <w:sz w:val="16"/>
                <w:szCs w:val="16"/>
                <w:color w:val="auto"/>
              </w:rPr>
            </w:pPr>
          </w:p>
        </w:tc>
      </w:tr>
      <w:tr>
        <w:trPr>
          <w:trHeight w:val="238"/>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Banken AB (publ)</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(publ)</w:t>
            </w:r>
          </w:p>
        </w:tc>
        <w:tc>
          <w:tcPr>
            <w:tcW w:w="2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Address: Kungsträdgårdsgatan 8</w:t>
            </w:r>
          </w:p>
        </w:tc>
        <w:tc>
          <w:tcPr>
            <w:tcW w:w="2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SE-106 40 Stockholm</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Sweden</w:t>
            </w:r>
          </w:p>
        </w:tc>
        <w:tc>
          <w:tcPr>
            <w:tcW w:w="2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Address: Kungsträdgårdsgatan 8</w:t>
            </w:r>
          </w:p>
        </w:tc>
        <w:tc>
          <w:tcPr>
            <w:tcW w:w="2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SE-106 40 Stockholm</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Attention: Johan Lindström / Susanna Wilhelmsson</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Johan.lindstrom@seb.se /</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susanna.wilhelmsson@seb.se</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Phone: +46 704 622 375 / +46 707 638 680</w:t>
            </w:r>
          </w:p>
        </w:tc>
        <w:tc>
          <w:tcPr>
            <w:tcW w:w="2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2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Address: V. Gerulaicio g. 10</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08200 Vilnius</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Lithuania</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Attention: Structured Loan Services</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Email: sco@seb.se</w:t>
            </w:r>
          </w:p>
        </w:tc>
        <w:tc>
          <w:tcPr>
            <w:tcW w:w="25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50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Phone: +37052594847</w:t>
            </w:r>
          </w:p>
        </w:tc>
        <w:tc>
          <w:tcPr>
            <w:tcW w:w="25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r>
      <w:tr>
        <w:trPr>
          <w:trHeight w:val="425"/>
        </w:trPr>
        <w:tc>
          <w:tcPr>
            <w:tcW w:w="2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23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5080" w:type="dxa"/>
            <w:vAlign w:val="bottom"/>
            <w:tcBorders>
              <w:right w:val="single" w:sz="8" w:color="auto"/>
            </w:tcBorders>
            <w:gridSpan w:val="4"/>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Facility Office and contact details for notices</w:t>
            </w:r>
          </w:p>
        </w:tc>
        <w:tc>
          <w:tcPr>
            <w:tcW w:w="252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 ($)</w:t>
            </w:r>
          </w:p>
        </w:tc>
        <w:tc>
          <w:tcPr>
            <w:tcW w:w="20" w:type="dxa"/>
            <w:vAlign w:val="bottom"/>
          </w:tcPr>
          <w:p>
            <w:pPr>
              <w:spacing w:after="0"/>
              <w:rPr>
                <w:sz w:val="20"/>
                <w:szCs w:val="20"/>
                <w:color w:val="auto"/>
              </w:rPr>
            </w:pP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00" w:type="dxa"/>
            <w:vAlign w:val="bottom"/>
            <w:tcBorders>
              <w:bottom w:val="single" w:sz="8" w:color="auto"/>
            </w:tcBorders>
            <w:gridSpan w:val="2"/>
            <w:shd w:val="clear" w:color="auto" w:fill="BFBFBF"/>
          </w:tcPr>
          <w:p>
            <w:pPr>
              <w:spacing w:after="0"/>
              <w:rPr>
                <w:sz w:val="7"/>
                <w:szCs w:val="7"/>
                <w:color w:val="auto"/>
              </w:rPr>
            </w:pPr>
          </w:p>
        </w:tc>
        <w:tc>
          <w:tcPr>
            <w:tcW w:w="2100" w:type="dxa"/>
            <w:vAlign w:val="bottom"/>
            <w:tcBorders>
              <w:bottom w:val="single" w:sz="8" w:color="auto"/>
            </w:tcBorders>
            <w:shd w:val="clear" w:color="auto" w:fill="BFBFBF"/>
          </w:tcPr>
          <w:p>
            <w:pPr>
              <w:spacing w:after="0"/>
              <w:rPr>
                <w:sz w:val="7"/>
                <w:szCs w:val="7"/>
                <w:color w:val="auto"/>
              </w:rPr>
            </w:pPr>
          </w:p>
        </w:tc>
        <w:tc>
          <w:tcPr>
            <w:tcW w:w="2080" w:type="dxa"/>
            <w:vAlign w:val="bottom"/>
            <w:tcBorders>
              <w:bottom w:val="single" w:sz="8" w:color="auto"/>
              <w:right w:val="single" w:sz="8" w:color="auto"/>
            </w:tcBorders>
            <w:shd w:val="clear" w:color="auto" w:fill="BFBFBF"/>
          </w:tcPr>
          <w:p>
            <w:pPr>
              <w:spacing w:after="0"/>
              <w:rPr>
                <w:sz w:val="7"/>
                <w:szCs w:val="7"/>
                <w:color w:val="auto"/>
              </w:rPr>
            </w:pPr>
          </w:p>
        </w:tc>
        <w:tc>
          <w:tcPr>
            <w:tcW w:w="2520" w:type="dxa"/>
            <w:vAlign w:val="bottom"/>
            <w:tcBorders>
              <w:bottom w:val="single" w:sz="8" w:color="auto"/>
              <w:right w:val="single" w:sz="8" w:color="auto"/>
            </w:tcBorders>
            <w:shd w:val="clear" w:color="auto" w:fill="BFBFBF"/>
          </w:tcPr>
          <w:p>
            <w:pPr>
              <w:spacing w:after="0"/>
              <w:rPr>
                <w:sz w:val="7"/>
                <w:szCs w:val="7"/>
                <w:color w:val="auto"/>
              </w:rPr>
            </w:pPr>
          </w:p>
        </w:tc>
        <w:tc>
          <w:tcPr>
            <w:tcW w:w="20" w:type="dxa"/>
            <w:vAlign w:val="bottom"/>
          </w:tcPr>
          <w:p>
            <w:pPr>
              <w:spacing w:after="0"/>
              <w:rPr>
                <w:sz w:val="7"/>
                <w:szCs w:val="7"/>
                <w:color w:val="auto"/>
              </w:rPr>
            </w:pPr>
          </w:p>
        </w:tc>
      </w:tr>
      <w:tr>
        <w:trPr>
          <w:trHeight w:val="187"/>
        </w:trPr>
        <w:tc>
          <w:tcPr>
            <w:tcW w:w="23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Standard Chartered Bank</w:t>
            </w:r>
          </w:p>
        </w:tc>
        <w:tc>
          <w:tcPr>
            <w:tcW w:w="5080" w:type="dxa"/>
            <w:vAlign w:val="bottom"/>
            <w:tcBorders>
              <w:right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18"/>
                <w:szCs w:val="18"/>
                <w:color w:val="auto"/>
              </w:rPr>
              <w:t>Facility Office: Standard Chartered Bank</w:t>
            </w:r>
          </w:p>
        </w:tc>
        <w:tc>
          <w:tcPr>
            <w:tcW w:w="252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155,000,000</w:t>
            </w:r>
          </w:p>
        </w:tc>
        <w:tc>
          <w:tcPr>
            <w:tcW w:w="20" w:type="dxa"/>
            <w:vAlign w:val="bottom"/>
          </w:tcPr>
          <w:p>
            <w:pPr>
              <w:spacing w:after="0"/>
              <w:rPr>
                <w:sz w:val="16"/>
                <w:szCs w:val="16"/>
                <w:color w:val="auto"/>
              </w:rPr>
            </w:pPr>
          </w:p>
        </w:tc>
      </w:tr>
      <w:tr>
        <w:trPr>
          <w:trHeight w:val="238"/>
        </w:trPr>
        <w:tc>
          <w:tcPr>
            <w:tcW w:w="23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(Singapore) Limited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(Singapore) Limited</w:t>
            </w:r>
          </w:p>
        </w:tc>
        <w:tc>
          <w:tcPr>
            <w:tcW w:w="25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100" w:type="dxa"/>
            <w:vAlign w:val="bottom"/>
          </w:tcPr>
          <w:p>
            <w:pPr>
              <w:spacing w:after="0"/>
              <w:rPr>
                <w:sz w:val="24"/>
                <w:szCs w:val="24"/>
                <w:color w:val="auto"/>
              </w:rPr>
            </w:pPr>
          </w:p>
        </w:tc>
        <w:tc>
          <w:tcPr>
            <w:tcW w:w="418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Marina Bay Financial Centre</w:t>
            </w:r>
          </w:p>
        </w:tc>
        <w:tc>
          <w:tcPr>
            <w:tcW w:w="2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Tower 1,</w:t>
            </w:r>
          </w:p>
        </w:tc>
        <w:tc>
          <w:tcPr>
            <w:tcW w:w="2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Level 27, 8 Marina Boulevard,</w:t>
            </w:r>
          </w:p>
        </w:tc>
        <w:tc>
          <w:tcPr>
            <w:tcW w:w="2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Singapore 018981</w:t>
            </w:r>
          </w:p>
        </w:tc>
        <w:tc>
          <w:tcPr>
            <w:tcW w:w="25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2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2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Address: Standard Chartered Bank (Singapore) Limited</w:t>
            </w:r>
          </w:p>
        </w:tc>
        <w:tc>
          <w:tcPr>
            <w:tcW w:w="2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8 Marina Boulevard</w:t>
            </w:r>
          </w:p>
        </w:tc>
        <w:tc>
          <w:tcPr>
            <w:tcW w:w="2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#27-01 Marina Bay Financial Centre</w:t>
            </w:r>
          </w:p>
        </w:tc>
        <w:tc>
          <w:tcPr>
            <w:tcW w:w="2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Singapore 018981</w:t>
            </w:r>
          </w:p>
        </w:tc>
        <w:tc>
          <w:tcPr>
            <w:tcW w:w="25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50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Attention: Loan Processing Unit</w:t>
            </w:r>
          </w:p>
        </w:tc>
        <w:tc>
          <w:tcPr>
            <w:tcW w:w="2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8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100" w:type="dxa"/>
            <w:vAlign w:val="bottom"/>
          </w:tcPr>
          <w:p>
            <w:pPr>
              <w:spacing w:after="0"/>
              <w:rPr>
                <w:sz w:val="16"/>
                <w:szCs w:val="16"/>
                <w:color w:val="auto"/>
              </w:rPr>
            </w:pPr>
          </w:p>
        </w:tc>
        <w:tc>
          <w:tcPr>
            <w:tcW w:w="41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sg.Loaninstructions@sc.com</w:t>
            </w:r>
          </w:p>
        </w:tc>
        <w:tc>
          <w:tcPr>
            <w:tcW w:w="25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2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2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40"/>
          </w:cols>
          <w:pgMar w:left="980" w:top="891" w:right="979" w:bottom="1440" w:gutter="0" w:footer="0" w:header="0"/>
        </w:sectPr>
      </w:pPr>
    </w:p>
    <w:bookmarkStart w:id="365" w:name="page366"/>
    <w:bookmarkEnd w:id="3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320" w:type="dxa"/>
            <w:vAlign w:val="bottom"/>
            <w:tcBorders>
              <w:top w:val="single" w:sz="8" w:color="auto"/>
              <w:left w:val="single" w:sz="8" w:color="auto"/>
              <w:right w:val="single" w:sz="8" w:color="auto"/>
            </w:tcBorders>
          </w:tcPr>
          <w:p>
            <w:pPr>
              <w:spacing w:after="0"/>
              <w:rPr>
                <w:sz w:val="24"/>
                <w:szCs w:val="24"/>
                <w:color w:val="auto"/>
              </w:rPr>
            </w:pPr>
          </w:p>
        </w:tc>
        <w:tc>
          <w:tcPr>
            <w:tcW w:w="5060" w:type="dxa"/>
            <w:vAlign w:val="bottom"/>
            <w:tcBorders>
              <w:top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2540" w:type="dxa"/>
            <w:vAlign w:val="bottom"/>
            <w:tcBorders>
              <w:top w:val="single" w:sz="8" w:color="auto"/>
              <w:right w:val="single" w:sz="8" w:color="auto"/>
            </w:tcBorders>
          </w:tcPr>
          <w:p>
            <w:pPr>
              <w:spacing w:after="0"/>
              <w:rPr>
                <w:sz w:val="24"/>
                <w:szCs w:val="24"/>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300" w:type="dxa"/>
            <w:vAlign w:val="bottom"/>
          </w:tcPr>
          <w:p>
            <w:pPr>
              <w:spacing w:after="0"/>
              <w:rPr>
                <w:sz w:val="24"/>
                <w:szCs w:val="24"/>
                <w:color w:val="auto"/>
              </w:rPr>
            </w:pPr>
          </w:p>
        </w:tc>
        <w:tc>
          <w:tcPr>
            <w:tcW w:w="3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8 Marina Boulevard, #27-01, Marina Bay Financial</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Centre Tower 1, Singapore 018981</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Attention:</w:t>
            </w:r>
          </w:p>
        </w:tc>
        <w:tc>
          <w:tcPr>
            <w:tcW w:w="300" w:type="dxa"/>
            <w:vAlign w:val="bottom"/>
          </w:tcPr>
          <w:p>
            <w:pPr>
              <w:spacing w:after="0"/>
              <w:rPr>
                <w:sz w:val="18"/>
                <w:szCs w:val="18"/>
                <w:color w:val="auto"/>
              </w:rPr>
            </w:pPr>
          </w:p>
        </w:tc>
        <w:tc>
          <w:tcPr>
            <w:tcW w:w="3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Ninad Dalvi</w:t>
            </w:r>
          </w:p>
        </w:tc>
        <w:tc>
          <w:tcPr>
            <w:tcW w:w="2540" w:type="dxa"/>
            <w:vAlign w:val="bottom"/>
            <w:tcBorders>
              <w:right w:val="single" w:sz="8" w:color="auto"/>
            </w:tcBorders>
          </w:tcPr>
          <w:p>
            <w:pPr>
              <w:spacing w:after="0"/>
              <w:rPr>
                <w:sz w:val="18"/>
                <w:szCs w:val="18"/>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9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300" w:type="dxa"/>
            <w:vAlign w:val="bottom"/>
          </w:tcPr>
          <w:p>
            <w:pPr>
              <w:spacing w:after="0"/>
              <w:rPr>
                <w:sz w:val="16"/>
                <w:szCs w:val="16"/>
                <w:color w:val="auto"/>
              </w:rPr>
            </w:pPr>
          </w:p>
        </w:tc>
        <w:tc>
          <w:tcPr>
            <w:tcW w:w="382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Ninad.Dalvi@sc.com</w:t>
            </w:r>
          </w:p>
        </w:tc>
        <w:tc>
          <w:tcPr>
            <w:tcW w:w="2540" w:type="dxa"/>
            <w:vAlign w:val="bottom"/>
            <w:tcBorders>
              <w:right w:val="single" w:sz="8" w:color="auto"/>
            </w:tcBorders>
          </w:tcPr>
          <w:p>
            <w:pPr>
              <w:spacing w:after="0"/>
              <w:rPr>
                <w:sz w:val="16"/>
                <w:szCs w:val="16"/>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300" w:type="dxa"/>
            <w:vAlign w:val="bottom"/>
          </w:tcPr>
          <w:p>
            <w:pPr>
              <w:spacing w:after="0"/>
              <w:rPr>
                <w:sz w:val="20"/>
                <w:szCs w:val="20"/>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+6590040325</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r>
      <w:tr>
        <w:trPr>
          <w:trHeight w:val="414"/>
        </w:trPr>
        <w:tc>
          <w:tcPr>
            <w:tcW w:w="232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300" w:type="dxa"/>
            <w:vAlign w:val="bottom"/>
          </w:tcPr>
          <w:p>
            <w:pPr>
              <w:spacing w:after="0"/>
              <w:rPr>
                <w:sz w:val="24"/>
                <w:szCs w:val="24"/>
                <w:color w:val="auto"/>
              </w:rPr>
            </w:pPr>
          </w:p>
        </w:tc>
        <w:tc>
          <w:tcPr>
            <w:tcW w:w="3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1 Basinghall Avenue,</w:t>
            </w:r>
          </w:p>
        </w:tc>
        <w:tc>
          <w:tcPr>
            <w:tcW w:w="2540" w:type="dxa"/>
            <w:vAlign w:val="bottom"/>
            <w:tcBorders>
              <w:right w:val="single" w:sz="8" w:color="auto"/>
            </w:tcBorders>
          </w:tcPr>
          <w:p>
            <w:pPr>
              <w:spacing w:after="0"/>
              <w:rPr>
                <w:sz w:val="24"/>
                <w:szCs w:val="24"/>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London - EC2V 5DD Attention:   Audrey</w:t>
            </w: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Cherbonnier / Thanos</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Papanikolaou</w:t>
            </w:r>
          </w:p>
        </w:tc>
        <w:tc>
          <w:tcPr>
            <w:tcW w:w="2540" w:type="dxa"/>
            <w:vAlign w:val="bottom"/>
            <w:tcBorders>
              <w:right w:val="single" w:sz="8" w:color="auto"/>
            </w:tcBorders>
          </w:tcPr>
          <w:p>
            <w:pPr>
              <w:spacing w:after="0"/>
              <w:rPr>
                <w:sz w:val="18"/>
                <w:szCs w:val="18"/>
                <w:color w:val="auto"/>
              </w:rPr>
            </w:pPr>
          </w:p>
        </w:tc>
      </w:tr>
      <w:tr>
        <w:trPr>
          <w:trHeight w:val="194"/>
        </w:trPr>
        <w:tc>
          <w:tcPr>
            <w:tcW w:w="2320" w:type="dxa"/>
            <w:vAlign w:val="bottom"/>
            <w:tcBorders>
              <w:left w:val="single" w:sz="8" w:color="auto"/>
              <w:right w:val="single" w:sz="8" w:color="auto"/>
            </w:tcBorders>
          </w:tcPr>
          <w:p>
            <w:pPr>
              <w:spacing w:after="0"/>
              <w:rPr>
                <w:sz w:val="16"/>
                <w:szCs w:val="16"/>
                <w:color w:val="auto"/>
              </w:rPr>
            </w:pPr>
          </w:p>
        </w:tc>
        <w:tc>
          <w:tcPr>
            <w:tcW w:w="9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300" w:type="dxa"/>
            <w:vAlign w:val="bottom"/>
          </w:tcPr>
          <w:p>
            <w:pPr>
              <w:spacing w:after="0"/>
              <w:rPr>
                <w:sz w:val="16"/>
                <w:szCs w:val="16"/>
                <w:color w:val="auto"/>
              </w:rPr>
            </w:pPr>
          </w:p>
        </w:tc>
        <w:tc>
          <w:tcPr>
            <w:tcW w:w="382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Audrey.Cherbonnier@sc.com /</w:t>
            </w:r>
          </w:p>
        </w:tc>
        <w:tc>
          <w:tcPr>
            <w:tcW w:w="2540" w:type="dxa"/>
            <w:vAlign w:val="bottom"/>
            <w:tcBorders>
              <w:right w:val="single" w:sz="8" w:color="auto"/>
            </w:tcBorders>
          </w:tcPr>
          <w:p>
            <w:pPr>
              <w:spacing w:after="0"/>
              <w:rPr>
                <w:sz w:val="16"/>
                <w:szCs w:val="16"/>
                <w:color w:val="auto"/>
              </w:rPr>
            </w:pP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r>
      <w:tr>
        <w:trPr>
          <w:trHeight w:val="196"/>
        </w:trPr>
        <w:tc>
          <w:tcPr>
            <w:tcW w:w="2320" w:type="dxa"/>
            <w:vAlign w:val="bottom"/>
            <w:tcBorders>
              <w:left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20" w:type="dxa"/>
            <w:vAlign w:val="bottom"/>
            <w:tcBorders>
              <w:right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athanasios.papanikolaou@sc.com</w:t>
            </w:r>
          </w:p>
        </w:tc>
        <w:tc>
          <w:tcPr>
            <w:tcW w:w="2540" w:type="dxa"/>
            <w:vAlign w:val="bottom"/>
            <w:tcBorders>
              <w:right w:val="single" w:sz="8" w:color="auto"/>
            </w:tcBorders>
          </w:tcPr>
          <w:p>
            <w:pPr>
              <w:spacing w:after="0"/>
              <w:rPr>
                <w:sz w:val="17"/>
                <w:szCs w:val="17"/>
                <w:color w:val="auto"/>
              </w:rPr>
            </w:pP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4"/>
            <w:shd w:val="clear" w:color="auto" w:fill="000000"/>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Phone:</w:t>
            </w: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+442078852305 / +442078859120</w:t>
            </w:r>
          </w:p>
        </w:tc>
        <w:tc>
          <w:tcPr>
            <w:tcW w:w="2540" w:type="dxa"/>
            <w:vAlign w:val="bottom"/>
            <w:tcBorders>
              <w:bottom w:val="single" w:sz="8" w:color="auto"/>
              <w:right w:val="single" w:sz="8" w:color="auto"/>
            </w:tcBorders>
          </w:tcPr>
          <w:p>
            <w:pPr>
              <w:spacing w:after="0"/>
              <w:rPr>
                <w:sz w:val="20"/>
                <w:szCs w:val="20"/>
                <w:color w:val="auto"/>
              </w:rPr>
            </w:pPr>
          </w:p>
        </w:tc>
      </w:tr>
      <w:tr>
        <w:trPr>
          <w:trHeight w:val="209"/>
        </w:trPr>
        <w:tc>
          <w:tcPr>
            <w:tcW w:w="32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2"/>
          </w:tcPr>
          <w:p>
            <w:pPr>
              <w:spacing w:after="0"/>
              <w:rPr>
                <w:sz w:val="18"/>
                <w:szCs w:val="18"/>
                <w:color w:val="auto"/>
              </w:rPr>
            </w:pPr>
          </w:p>
        </w:tc>
      </w:tr>
      <w:tr>
        <w:trPr>
          <w:trHeight w:val="232"/>
        </w:trPr>
        <w:tc>
          <w:tcPr>
            <w:tcW w:w="23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Commitments:</w:t>
            </w:r>
          </w:p>
        </w:tc>
        <w:tc>
          <w:tcPr>
            <w:tcW w:w="940" w:type="dxa"/>
            <w:vAlign w:val="bottom"/>
            <w:tcBorders>
              <w:right w:val="single" w:sz="8" w:color="BFBFBF"/>
            </w:tcBorders>
            <w:shd w:val="clear" w:color="auto" w:fill="BFBFBF"/>
          </w:tcPr>
          <w:p>
            <w:pPr>
              <w:spacing w:after="0"/>
              <w:rPr>
                <w:sz w:val="20"/>
                <w:szCs w:val="20"/>
                <w:color w:val="auto"/>
              </w:rPr>
            </w:pPr>
          </w:p>
        </w:tc>
        <w:tc>
          <w:tcPr>
            <w:tcW w:w="300" w:type="dxa"/>
            <w:vAlign w:val="bottom"/>
            <w:tcBorders>
              <w:right w:val="single" w:sz="8" w:color="BFBFBF"/>
            </w:tcBorders>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820" w:type="dxa"/>
            <w:vAlign w:val="bottom"/>
            <w:shd w:val="clear" w:color="auto" w:fill="BFBFBF"/>
          </w:tcPr>
          <w:p>
            <w:pPr>
              <w:spacing w:after="0"/>
              <w:rPr>
                <w:sz w:val="20"/>
                <w:szCs w:val="20"/>
                <w:color w:val="auto"/>
              </w:rPr>
            </w:pPr>
          </w:p>
        </w:tc>
        <w:tc>
          <w:tcPr>
            <w:tcW w:w="6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1400" w:type="dxa"/>
            <w:vAlign w:val="bottom"/>
            <w:tcBorders>
              <w:right w:val="single" w:sz="8" w:color="auto"/>
            </w:tcBorders>
            <w:shd w:val="clear" w:color="auto" w:fill="BFBFBF"/>
          </w:tcPr>
          <w:p>
            <w:pPr>
              <w:spacing w:after="0"/>
              <w:rPr>
                <w:sz w:val="20"/>
                <w:szCs w:val="20"/>
                <w:color w:val="auto"/>
              </w:rPr>
            </w:pPr>
          </w:p>
        </w:tc>
        <w:tc>
          <w:tcPr>
            <w:tcW w:w="2540" w:type="dxa"/>
            <w:vAlign w:val="bottom"/>
            <w:tcBorders>
              <w:right w:val="single" w:sz="8" w:color="auto"/>
            </w:tcBorders>
            <w:shd w:val="clear" w:color="auto" w:fill="BFBFBF"/>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2,800,000,000</w:t>
            </w:r>
          </w:p>
        </w:tc>
      </w:tr>
      <w:tr>
        <w:trPr>
          <w:trHeight w:val="86"/>
        </w:trPr>
        <w:tc>
          <w:tcPr>
            <w:tcW w:w="23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40" w:type="dxa"/>
            <w:vAlign w:val="bottom"/>
            <w:tcBorders>
              <w:bottom w:val="single" w:sz="8" w:color="auto"/>
              <w:right w:val="single" w:sz="8" w:color="BFBFBF"/>
            </w:tcBorders>
            <w:shd w:val="clear" w:color="auto" w:fill="BFBFBF"/>
          </w:tcPr>
          <w:p>
            <w:pPr>
              <w:spacing w:after="0"/>
              <w:rPr>
                <w:sz w:val="7"/>
                <w:szCs w:val="7"/>
                <w:color w:val="auto"/>
              </w:rPr>
            </w:pPr>
          </w:p>
        </w:tc>
        <w:tc>
          <w:tcPr>
            <w:tcW w:w="300" w:type="dxa"/>
            <w:vAlign w:val="bottom"/>
            <w:tcBorders>
              <w:bottom w:val="single" w:sz="8" w:color="auto"/>
              <w:right w:val="single" w:sz="8" w:color="BFBFBF"/>
            </w:tcBorders>
            <w:shd w:val="clear" w:color="auto" w:fill="BFBFBF"/>
          </w:tcPr>
          <w:p>
            <w:pPr>
              <w:spacing w:after="0"/>
              <w:rPr>
                <w:sz w:val="7"/>
                <w:szCs w:val="7"/>
                <w:color w:val="auto"/>
              </w:rPr>
            </w:pPr>
          </w:p>
        </w:tc>
        <w:tc>
          <w:tcPr>
            <w:tcW w:w="700" w:type="dxa"/>
            <w:vAlign w:val="bottom"/>
            <w:tcBorders>
              <w:bottom w:val="single" w:sz="8" w:color="auto"/>
            </w:tcBorders>
            <w:shd w:val="clear" w:color="auto" w:fill="BFBFBF"/>
          </w:tcPr>
          <w:p>
            <w:pPr>
              <w:spacing w:after="0"/>
              <w:rPr>
                <w:sz w:val="7"/>
                <w:szCs w:val="7"/>
                <w:color w:val="auto"/>
              </w:rPr>
            </w:pPr>
          </w:p>
        </w:tc>
        <w:tc>
          <w:tcPr>
            <w:tcW w:w="820" w:type="dxa"/>
            <w:vAlign w:val="bottom"/>
            <w:tcBorders>
              <w:bottom w:val="single" w:sz="8" w:color="auto"/>
            </w:tcBorders>
            <w:shd w:val="clear" w:color="auto" w:fill="BFBFBF"/>
          </w:tcPr>
          <w:p>
            <w:pPr>
              <w:spacing w:after="0"/>
              <w:rPr>
                <w:sz w:val="7"/>
                <w:szCs w:val="7"/>
                <w:color w:val="auto"/>
              </w:rPr>
            </w:pPr>
          </w:p>
        </w:tc>
        <w:tc>
          <w:tcPr>
            <w:tcW w:w="600" w:type="dxa"/>
            <w:vAlign w:val="bottom"/>
            <w:tcBorders>
              <w:bottom w:val="single" w:sz="8" w:color="auto"/>
            </w:tcBorders>
            <w:shd w:val="clear" w:color="auto" w:fill="BFBFBF"/>
          </w:tcPr>
          <w:p>
            <w:pPr>
              <w:spacing w:after="0"/>
              <w:rPr>
                <w:sz w:val="7"/>
                <w:szCs w:val="7"/>
                <w:color w:val="auto"/>
              </w:rPr>
            </w:pPr>
          </w:p>
        </w:tc>
        <w:tc>
          <w:tcPr>
            <w:tcW w:w="300" w:type="dxa"/>
            <w:vAlign w:val="bottom"/>
            <w:tcBorders>
              <w:bottom w:val="single" w:sz="8" w:color="auto"/>
            </w:tcBorders>
            <w:shd w:val="clear" w:color="auto" w:fill="BFBFBF"/>
          </w:tcPr>
          <w:p>
            <w:pPr>
              <w:spacing w:after="0"/>
              <w:rPr>
                <w:sz w:val="7"/>
                <w:szCs w:val="7"/>
                <w:color w:val="auto"/>
              </w:rPr>
            </w:pPr>
          </w:p>
        </w:tc>
        <w:tc>
          <w:tcPr>
            <w:tcW w:w="1400" w:type="dxa"/>
            <w:vAlign w:val="bottom"/>
            <w:tcBorders>
              <w:bottom w:val="single" w:sz="8" w:color="auto"/>
              <w:right w:val="single" w:sz="8" w:color="auto"/>
            </w:tcBorders>
            <w:shd w:val="clear" w:color="auto" w:fill="BFBFBF"/>
          </w:tcPr>
          <w:p>
            <w:pPr>
              <w:spacing w:after="0"/>
              <w:rPr>
                <w:sz w:val="7"/>
                <w:szCs w:val="7"/>
                <w:color w:val="auto"/>
              </w:rPr>
            </w:pPr>
          </w:p>
        </w:tc>
        <w:tc>
          <w:tcPr>
            <w:tcW w:w="2540" w:type="dxa"/>
            <w:vAlign w:val="bottom"/>
            <w:tcBorders>
              <w:bottom w:val="single" w:sz="8" w:color="auto"/>
              <w:right w:val="single" w:sz="8" w:color="auto"/>
            </w:tcBorders>
            <w:shd w:val="clear" w:color="auto" w:fill="BFBFBF"/>
          </w:tcPr>
          <w:p>
            <w:pPr>
              <w:spacing w:after="0"/>
              <w:rPr>
                <w:sz w:val="7"/>
                <w:szCs w:val="7"/>
                <w:color w:val="auto"/>
              </w:rPr>
            </w:pPr>
          </w:p>
        </w:tc>
      </w:tr>
      <w:tr>
        <w:trPr>
          <w:trHeight w:val="426"/>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The Agent</w:t>
            </w:r>
          </w:p>
        </w:tc>
      </w:tr>
      <w:tr>
        <w:trPr>
          <w:trHeight w:val="216"/>
        </w:trPr>
        <w:tc>
          <w:tcPr>
            <w:tcW w:w="32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2"/>
          </w:tcPr>
          <w:p>
            <w:pPr>
              <w:spacing w:after="0"/>
              <w:rPr>
                <w:sz w:val="18"/>
                <w:szCs w:val="18"/>
                <w:color w:val="auto"/>
              </w:rPr>
            </w:pPr>
          </w:p>
        </w:tc>
      </w:tr>
      <w:tr>
        <w:trPr>
          <w:trHeight w:val="232"/>
        </w:trPr>
        <w:tc>
          <w:tcPr>
            <w:tcW w:w="3260" w:type="dxa"/>
            <w:vAlign w:val="bottom"/>
            <w:tcBorders>
              <w:left w:val="single" w:sz="8" w:color="auto"/>
              <w:right w:val="single" w:sz="8" w:color="auto"/>
            </w:tcBorders>
            <w:gridSpan w:val="2"/>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6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r>
      <w:tr>
        <w:trPr>
          <w:trHeight w:val="86"/>
        </w:trPr>
        <w:tc>
          <w:tcPr>
            <w:tcW w:w="3260" w:type="dxa"/>
            <w:vAlign w:val="bottom"/>
            <w:tcBorders>
              <w:left w:val="single" w:sz="8" w:color="auto"/>
              <w:bottom w:val="single" w:sz="8" w:color="auto"/>
              <w:right w:val="single" w:sz="8" w:color="auto"/>
            </w:tcBorders>
            <w:gridSpan w:val="2"/>
            <w:shd w:val="clear" w:color="auto" w:fill="BFBFBF"/>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940" w:type="dxa"/>
            <w:vAlign w:val="bottom"/>
            <w:tcBorders>
              <w:bottom w:val="single" w:sz="8" w:color="auto"/>
              <w:right w:val="single" w:sz="8" w:color="auto"/>
            </w:tcBorders>
            <w:gridSpan w:val="2"/>
          </w:tcPr>
          <w:p>
            <w:pPr>
              <w:spacing w:after="0"/>
              <w:rPr>
                <w:sz w:val="7"/>
                <w:szCs w:val="7"/>
                <w:color w:val="auto"/>
              </w:rPr>
            </w:pPr>
          </w:p>
        </w:tc>
      </w:tr>
      <w:tr>
        <w:trPr>
          <w:trHeight w:val="191"/>
        </w:trPr>
        <w:tc>
          <w:tcPr>
            <w:tcW w:w="3260" w:type="dxa"/>
            <w:vAlign w:val="bottom"/>
            <w:tcBorders>
              <w:left w:val="single" w:sz="8" w:color="auto"/>
              <w:right w:val="single" w:sz="8" w:color="auto"/>
            </w:tcBorders>
            <w:gridSpan w:val="2"/>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to notice</w:t>
            </w:r>
          </w:p>
        </w:tc>
        <w:tc>
          <w:tcPr>
            <w:tcW w:w="100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5660" w:type="dxa"/>
            <w:vAlign w:val="bottom"/>
            <w:tcBorders>
              <w:right w:val="single" w:sz="8" w:color="auto"/>
            </w:tcBorders>
            <w:gridSpan w:val="5"/>
          </w:tcPr>
          <w:p>
            <w:pPr>
              <w:ind w:left="140"/>
              <w:spacing w:after="0" w:line="191" w:lineRule="exact"/>
              <w:rPr>
                <w:sz w:val="20"/>
                <w:szCs w:val="20"/>
                <w:color w:val="auto"/>
              </w:rPr>
            </w:pPr>
            <w:r>
              <w:rPr>
                <w:rFonts w:ascii="Times New Roman" w:cs="Times New Roman" w:eastAsia="Times New Roman" w:hAnsi="Times New Roman"/>
                <w:sz w:val="18"/>
                <w:szCs w:val="18"/>
                <w:color w:val="auto"/>
              </w:rPr>
              <w:t>8th Floor</w:t>
            </w:r>
          </w:p>
        </w:tc>
      </w:tr>
      <w:tr>
        <w:trPr>
          <w:trHeight w:val="216"/>
        </w:trPr>
        <w:tc>
          <w:tcPr>
            <w:tcW w:w="2320" w:type="dxa"/>
            <w:vAlign w:val="bottom"/>
            <w:tcBorders>
              <w:left w:val="single" w:sz="8" w:color="auto"/>
              <w:right w:val="single" w:sz="8" w:color="BFBFBF"/>
            </w:tcBorders>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The Walbrook Building</w:t>
            </w:r>
          </w:p>
        </w:tc>
      </w:tr>
      <w:tr>
        <w:trPr>
          <w:trHeight w:val="216"/>
        </w:trPr>
        <w:tc>
          <w:tcPr>
            <w:tcW w:w="2320" w:type="dxa"/>
            <w:vAlign w:val="bottom"/>
            <w:tcBorders>
              <w:left w:val="single" w:sz="8" w:color="auto"/>
              <w:right w:val="single" w:sz="8" w:color="BFBFBF"/>
            </w:tcBorders>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25 Walbrook</w:t>
            </w:r>
          </w:p>
        </w:tc>
      </w:tr>
      <w:tr>
        <w:trPr>
          <w:trHeight w:val="216"/>
        </w:trPr>
        <w:tc>
          <w:tcPr>
            <w:tcW w:w="2320" w:type="dxa"/>
            <w:vAlign w:val="bottom"/>
            <w:tcBorders>
              <w:left w:val="single" w:sz="8" w:color="auto"/>
              <w:right w:val="single" w:sz="8" w:color="BFBFBF"/>
            </w:tcBorders>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London EC4N 8AF U.K.</w:t>
            </w:r>
          </w:p>
        </w:tc>
      </w:tr>
      <w:tr>
        <w:trPr>
          <w:trHeight w:val="216"/>
        </w:trPr>
        <w:tc>
          <w:tcPr>
            <w:tcW w:w="2320" w:type="dxa"/>
            <w:vAlign w:val="bottom"/>
            <w:tcBorders>
              <w:left w:val="single" w:sz="8" w:color="auto"/>
              <w:right w:val="single" w:sz="8" w:color="BFBFBF"/>
            </w:tcBorders>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Attention:</w:t>
            </w:r>
          </w:p>
        </w:tc>
        <w:tc>
          <w:tcPr>
            <w:tcW w:w="56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Kay Newman</w:t>
            </w:r>
          </w:p>
        </w:tc>
      </w:tr>
      <w:tr>
        <w:trPr>
          <w:trHeight w:val="234"/>
        </w:trPr>
        <w:tc>
          <w:tcPr>
            <w:tcW w:w="2320" w:type="dxa"/>
            <w:vAlign w:val="bottom"/>
            <w:tcBorders>
              <w:left w:val="single" w:sz="8" w:color="auto"/>
              <w:bottom w:val="single" w:sz="8" w:color="auto"/>
              <w:right w:val="single" w:sz="8" w:color="BFBFBF"/>
            </w:tcBorders>
            <w:shd w:val="clear" w:color="auto" w:fill="BFBFBF"/>
          </w:tcPr>
          <w:p>
            <w:pPr>
              <w:spacing w:after="0"/>
              <w:rPr>
                <w:sz w:val="20"/>
                <w:szCs w:val="20"/>
                <w:color w:val="auto"/>
              </w:rPr>
            </w:pPr>
          </w:p>
        </w:tc>
        <w:tc>
          <w:tcPr>
            <w:tcW w:w="940" w:type="dxa"/>
            <w:vAlign w:val="bottom"/>
            <w:tcBorders>
              <w:bottom w:val="single" w:sz="8" w:color="auto"/>
              <w:right w:val="single" w:sz="8" w:color="auto"/>
            </w:tcBorders>
            <w:shd w:val="clear" w:color="auto" w:fill="BFBFBF"/>
          </w:tcPr>
          <w:p>
            <w:pPr>
              <w:spacing w:after="0"/>
              <w:rPr>
                <w:sz w:val="20"/>
                <w:szCs w:val="20"/>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E-mail:</w:t>
            </w:r>
          </w:p>
        </w:tc>
        <w:tc>
          <w:tcPr>
            <w:tcW w:w="5660" w:type="dxa"/>
            <w:vAlign w:val="bottom"/>
            <w:tcBorders>
              <w:bottom w:val="single" w:sz="8" w:color="auto"/>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cmoalondon@dnb.no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66" w:name="page367"/>
    <w:bookmarkEnd w:id="366"/>
    <w:tbl>
      <w:tblPr>
        <w:tblLayout w:type="fixed"/>
        <w:tblInd w:w="1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The Security Agent</w:t>
            </w:r>
          </w:p>
        </w:tc>
      </w:tr>
      <w:tr>
        <w:trPr>
          <w:trHeight w:val="216"/>
        </w:trPr>
        <w:tc>
          <w:tcPr>
            <w:tcW w:w="3260" w:type="dxa"/>
            <w:vAlign w:val="bottom"/>
            <w:tcBorders>
              <w:bottom w:val="single" w:sz="8" w:color="auto"/>
            </w:tcBorders>
          </w:tcPr>
          <w:p>
            <w:pPr>
              <w:spacing w:after="0"/>
              <w:rPr>
                <w:sz w:val="18"/>
                <w:szCs w:val="18"/>
                <w:color w:val="auto"/>
              </w:rPr>
            </w:pPr>
          </w:p>
        </w:tc>
        <w:tc>
          <w:tcPr>
            <w:tcW w:w="6660" w:type="dxa"/>
            <w:vAlign w:val="bottom"/>
            <w:tcBorders>
              <w:bottom w:val="single" w:sz="8" w:color="auto"/>
            </w:tcBorders>
            <w:gridSpan w:val="2"/>
          </w:tcPr>
          <w:p>
            <w:pPr>
              <w:spacing w:after="0"/>
              <w:rPr>
                <w:sz w:val="18"/>
                <w:szCs w:val="18"/>
                <w:color w:val="auto"/>
              </w:rPr>
            </w:pPr>
          </w:p>
        </w:tc>
      </w:tr>
      <w:tr>
        <w:trPr>
          <w:trHeight w:val="232"/>
        </w:trPr>
        <w:tc>
          <w:tcPr>
            <w:tcW w:w="326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r>
      <w:tr>
        <w:trPr>
          <w:trHeight w:val="86"/>
        </w:trPr>
        <w:tc>
          <w:tcPr>
            <w:tcW w:w="326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760" w:type="dxa"/>
            <w:vAlign w:val="bottom"/>
            <w:tcBorders>
              <w:bottom w:val="single" w:sz="8" w:color="auto"/>
              <w:right w:val="single" w:sz="8" w:color="auto"/>
            </w:tcBorders>
          </w:tcPr>
          <w:p>
            <w:pPr>
              <w:spacing w:after="0"/>
              <w:rPr>
                <w:sz w:val="7"/>
                <w:szCs w:val="7"/>
                <w:color w:val="auto"/>
              </w:rPr>
            </w:pPr>
          </w:p>
        </w:tc>
      </w:tr>
      <w:tr>
        <w:trPr>
          <w:trHeight w:val="191"/>
        </w:trPr>
        <w:tc>
          <w:tcPr>
            <w:tcW w:w="326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to notice</w:t>
            </w:r>
          </w:p>
        </w:tc>
        <w:tc>
          <w:tcPr>
            <w:tcW w:w="9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5760" w:type="dxa"/>
            <w:vAlign w:val="bottom"/>
            <w:tcBorders>
              <w:right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8th Floor</w:t>
            </w:r>
          </w:p>
        </w:tc>
      </w:tr>
      <w:tr>
        <w:trPr>
          <w:trHeight w:val="216"/>
        </w:trPr>
        <w:tc>
          <w:tcPr>
            <w:tcW w:w="3260" w:type="dxa"/>
            <w:vAlign w:val="bottom"/>
            <w:tcBorders>
              <w:left w:val="single" w:sz="8" w:color="auto"/>
              <w:right w:val="single" w:sz="8" w:color="auto"/>
            </w:tcBorders>
            <w:shd w:val="clear" w:color="auto" w:fill="BFBFBF"/>
          </w:tcPr>
          <w:p>
            <w:pPr>
              <w:spacing w:after="0"/>
              <w:rPr>
                <w:sz w:val="18"/>
                <w:szCs w:val="18"/>
                <w:color w:val="auto"/>
              </w:rPr>
            </w:pPr>
          </w:p>
        </w:tc>
        <w:tc>
          <w:tcPr>
            <w:tcW w:w="900" w:type="dxa"/>
            <w:vAlign w:val="bottom"/>
          </w:tcPr>
          <w:p>
            <w:pPr>
              <w:spacing w:after="0"/>
              <w:rPr>
                <w:sz w:val="18"/>
                <w:szCs w:val="18"/>
                <w:color w:val="auto"/>
              </w:rPr>
            </w:pPr>
          </w:p>
        </w:tc>
        <w:tc>
          <w:tcPr>
            <w:tcW w:w="57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Walbrook Building</w:t>
            </w:r>
          </w:p>
        </w:tc>
      </w:tr>
      <w:tr>
        <w:trPr>
          <w:trHeight w:val="216"/>
        </w:trPr>
        <w:tc>
          <w:tcPr>
            <w:tcW w:w="3260" w:type="dxa"/>
            <w:vAlign w:val="bottom"/>
            <w:tcBorders>
              <w:left w:val="single" w:sz="8" w:color="auto"/>
              <w:right w:val="single" w:sz="8" w:color="auto"/>
            </w:tcBorders>
            <w:shd w:val="clear" w:color="auto" w:fill="BFBFBF"/>
          </w:tcPr>
          <w:p>
            <w:pPr>
              <w:spacing w:after="0"/>
              <w:rPr>
                <w:sz w:val="18"/>
                <w:szCs w:val="18"/>
                <w:color w:val="auto"/>
              </w:rPr>
            </w:pPr>
          </w:p>
        </w:tc>
        <w:tc>
          <w:tcPr>
            <w:tcW w:w="900" w:type="dxa"/>
            <w:vAlign w:val="bottom"/>
          </w:tcPr>
          <w:p>
            <w:pPr>
              <w:spacing w:after="0"/>
              <w:rPr>
                <w:sz w:val="18"/>
                <w:szCs w:val="18"/>
                <w:color w:val="auto"/>
              </w:rPr>
            </w:pPr>
          </w:p>
        </w:tc>
        <w:tc>
          <w:tcPr>
            <w:tcW w:w="57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25 Walbrook</w:t>
            </w:r>
          </w:p>
        </w:tc>
      </w:tr>
      <w:tr>
        <w:trPr>
          <w:trHeight w:val="216"/>
        </w:trPr>
        <w:tc>
          <w:tcPr>
            <w:tcW w:w="3260" w:type="dxa"/>
            <w:vAlign w:val="bottom"/>
            <w:tcBorders>
              <w:left w:val="single" w:sz="8" w:color="auto"/>
              <w:right w:val="single" w:sz="8" w:color="auto"/>
            </w:tcBorders>
            <w:shd w:val="clear" w:color="auto" w:fill="BFBFBF"/>
          </w:tcPr>
          <w:p>
            <w:pPr>
              <w:spacing w:after="0"/>
              <w:rPr>
                <w:sz w:val="18"/>
                <w:szCs w:val="18"/>
                <w:color w:val="auto"/>
              </w:rPr>
            </w:pPr>
          </w:p>
        </w:tc>
        <w:tc>
          <w:tcPr>
            <w:tcW w:w="900" w:type="dxa"/>
            <w:vAlign w:val="bottom"/>
          </w:tcPr>
          <w:p>
            <w:pPr>
              <w:spacing w:after="0"/>
              <w:rPr>
                <w:sz w:val="18"/>
                <w:szCs w:val="18"/>
                <w:color w:val="auto"/>
              </w:rPr>
            </w:pPr>
          </w:p>
        </w:tc>
        <w:tc>
          <w:tcPr>
            <w:tcW w:w="57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London EC4N 8AF U.K.</w:t>
            </w:r>
          </w:p>
        </w:tc>
      </w:tr>
      <w:tr>
        <w:trPr>
          <w:trHeight w:val="216"/>
        </w:trPr>
        <w:tc>
          <w:tcPr>
            <w:tcW w:w="3260" w:type="dxa"/>
            <w:vAlign w:val="bottom"/>
            <w:tcBorders>
              <w:left w:val="single" w:sz="8" w:color="auto"/>
              <w:right w:val="single" w:sz="8" w:color="auto"/>
            </w:tcBorders>
            <w:shd w:val="clear" w:color="auto" w:fill="BFBFBF"/>
          </w:tcPr>
          <w:p>
            <w:pPr>
              <w:spacing w:after="0"/>
              <w:rPr>
                <w:sz w:val="18"/>
                <w:szCs w:val="18"/>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Attention:</w:t>
            </w:r>
          </w:p>
        </w:tc>
        <w:tc>
          <w:tcPr>
            <w:tcW w:w="57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Kay Newman</w:t>
            </w:r>
          </w:p>
        </w:tc>
      </w:tr>
      <w:tr>
        <w:trPr>
          <w:trHeight w:val="234"/>
        </w:trPr>
        <w:tc>
          <w:tcPr>
            <w:tcW w:w="326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E-mail:</w:t>
            </w:r>
          </w:p>
        </w:tc>
        <w:tc>
          <w:tcPr>
            <w:tcW w:w="57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cmoalondon@dnb.no</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5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The Arrangers</w:t>
            </w:r>
          </w:p>
        </w:tc>
      </w:tr>
      <w:tr>
        <w:trPr>
          <w:trHeight w:val="216"/>
        </w:trPr>
        <w:tc>
          <w:tcPr>
            <w:tcW w:w="342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Alpha Bank S.A.</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0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Alpha Bank S.A Address: 93 Akti Miaouli</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r>
      <w:tr>
        <w:trPr>
          <w:trHeight w:val="410"/>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238"/>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414"/>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17-19 Papastratou</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45, Piraeus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Elia Argiropoulou</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Theodoros Skiadopoulos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efthalia.argiropoulou@alpha.gr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theodoros.skiadopoulos@alpha.gr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cc: shippingloansadmin@alpha.gr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+30 2105179349</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+30 2105179351</w:t>
            </w:r>
          </w:p>
        </w:tc>
      </w:tr>
      <w:tr>
        <w:trPr>
          <w:trHeight w:val="212"/>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+30 2106506060</w:t>
            </w:r>
          </w:p>
        </w:tc>
      </w:tr>
      <w:tr>
        <w:trPr>
          <w:trHeight w:val="220"/>
        </w:trPr>
        <w:tc>
          <w:tcPr>
            <w:tcW w:w="3420" w:type="dxa"/>
            <w:vAlign w:val="bottom"/>
            <w:tcBorders>
              <w:left w:val="single" w:sz="8" w:color="auto"/>
              <w:right w:val="single" w:sz="8" w:color="auto"/>
            </w:tcBorders>
            <w:shd w:val="clear" w:color="auto" w:fill="BFBFBF"/>
          </w:tcPr>
          <w:p>
            <w:pPr>
              <w:spacing w:after="0"/>
              <w:rPr>
                <w:sz w:val="19"/>
                <w:szCs w:val="19"/>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93 Akti Miaouli</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185 38, Piraeus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Greece</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Konstantinos Flokos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Sotirios Georgakopoulos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konstantinos.flokos@alpha.gr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sotirios.gorgakopoulos@alpha.gr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with cc: shipdivision@alpha.gr</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+30 2104290116</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+30 2103266269</w:t>
            </w:r>
          </w:p>
        </w:tc>
      </w:tr>
      <w:tr>
        <w:trPr>
          <w:trHeight w:val="234"/>
        </w:trPr>
        <w:tc>
          <w:tcPr>
            <w:tcW w:w="34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6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+30 2104290677</w:t>
            </w:r>
          </w:p>
        </w:tc>
      </w:tr>
      <w:tr>
        <w:trPr>
          <w:trHeight w:val="210"/>
        </w:trPr>
        <w:tc>
          <w:tcPr>
            <w:tcW w:w="342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ABN AMRO Bank N.V.</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0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Facility Office: ABN AMRO Bank NV</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 ABN AMRO Bank NV Athens Branch</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38, Patriarchou Ioakeim St.</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GR-10675 Athens Greece</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Danai Kotsia</w:t>
            </w:r>
          </w:p>
        </w:tc>
      </w:tr>
      <w:tr>
        <w:trPr>
          <w:trHeight w:val="234"/>
        </w:trPr>
        <w:tc>
          <w:tcPr>
            <w:tcW w:w="34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650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Vangelis Nomikos</w:t>
            </w:r>
          </w:p>
        </w:tc>
      </w:tr>
      <w:tr>
        <w:trPr>
          <w:trHeight w:val="736"/>
        </w:trPr>
        <w:tc>
          <w:tcPr>
            <w:tcW w:w="3420" w:type="dxa"/>
            <w:vAlign w:val="bottom"/>
          </w:tcPr>
          <w:p>
            <w:pPr>
              <w:spacing w:after="0"/>
              <w:rPr>
                <w:sz w:val="24"/>
                <w:szCs w:val="24"/>
                <w:color w:val="auto"/>
              </w:rPr>
            </w:pPr>
          </w:p>
        </w:tc>
        <w:tc>
          <w:tcPr>
            <w:tcW w:w="65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190</w:t>
            </w:r>
          </w:p>
        </w:tc>
      </w:tr>
      <w:tr>
        <w:trPr>
          <w:trHeight w:val="560"/>
        </w:trPr>
        <w:tc>
          <w:tcPr>
            <w:tcW w:w="34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367" w:name="page368"/>
    <w:bookmarkEnd w:id="367"/>
    <w:p>
      <w:pPr>
        <w:ind w:left="4280"/>
        <w:spacing w:after="0"/>
        <w:rPr>
          <w:sz w:val="20"/>
          <w:szCs w:val="20"/>
          <w:color w:val="auto"/>
        </w:rPr>
      </w:pPr>
      <w:r>
        <w:rPr>
          <w:rFonts w:ascii="Times New Roman" w:cs="Times New Roman" w:eastAsia="Times New Roman" w:hAnsi="Times New Roman"/>
          <w:sz w:val="18"/>
          <w:szCs w:val="18"/>
          <w:color w:val="auto"/>
        </w:rPr>
        <w:t>Despoina Pavlidou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26917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6292215" cy="2691765"/>
                    </a:xfrm>
                    <a:prstGeom prst="rect">
                      <a:avLst/>
                    </a:prstGeom>
                    <a:noFill/>
                  </pic:spPr>
                </pic:pic>
              </a:graphicData>
            </a:graphic>
          </wp:anchor>
        </w:drawing>
      </w:r>
    </w:p>
    <w:p>
      <w:pPr>
        <w:spacing w:after="0" w:line="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Address: 38, Patriarchou Ioakeim St.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GR-10675 Athens Greece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Attention: Danai Kotsia</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Vangelis Nomikos Despoina Pavlidou</w:t>
      </w:r>
    </w:p>
    <w:p>
      <w:pPr>
        <w:spacing w:after="0" w:line="9" w:lineRule="exact"/>
        <w:rPr>
          <w:sz w:val="20"/>
          <w:szCs w:val="20"/>
          <w:color w:val="auto"/>
        </w:rPr>
      </w:pPr>
    </w:p>
    <w:p>
      <w:pPr>
        <w:ind w:left="4020" w:right="1040" w:hanging="507"/>
        <w:spacing w:after="0" w:line="265" w:lineRule="auto"/>
        <w:rPr>
          <w:sz w:val="20"/>
          <w:szCs w:val="20"/>
          <w:color w:val="auto"/>
        </w:rPr>
      </w:pPr>
      <w:r>
        <w:rPr>
          <w:rFonts w:ascii="Times New Roman" w:cs="Times New Roman" w:eastAsia="Times New Roman" w:hAnsi="Times New Roman"/>
          <w:sz w:val="17"/>
          <w:szCs w:val="17"/>
          <w:color w:val="auto"/>
        </w:rPr>
        <w:t>Email: danai.kotsia@gr.abnamro.com vangelis.nomikos@gr.abnamro.com despoina.pavlidou@gr.abnamro.com</w:t>
      </w:r>
    </w:p>
    <w:p>
      <w:pPr>
        <w:ind w:left="3500"/>
        <w:spacing w:after="0"/>
        <w:rPr>
          <w:sz w:val="20"/>
          <w:szCs w:val="20"/>
          <w:color w:val="auto"/>
        </w:rPr>
      </w:pPr>
      <w:r>
        <w:rPr>
          <w:rFonts w:ascii="Times New Roman" w:cs="Times New Roman" w:eastAsia="Times New Roman" w:hAnsi="Times New Roman"/>
          <w:sz w:val="18"/>
          <w:szCs w:val="18"/>
          <w:color w:val="auto"/>
        </w:rPr>
        <w:t>Phone: +302107227600</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Address: 38, Patriarchou Ioakeim St.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GR-10675 Athens Greece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Attention: Danai Kotsia</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Vangelis Nomikos Despoina Pavlidou</w:t>
      </w:r>
    </w:p>
    <w:p>
      <w:pPr>
        <w:spacing w:after="0" w:line="9" w:lineRule="exact"/>
        <w:rPr>
          <w:sz w:val="20"/>
          <w:szCs w:val="20"/>
          <w:color w:val="auto"/>
        </w:rPr>
      </w:pPr>
    </w:p>
    <w:p>
      <w:pPr>
        <w:ind w:left="4020" w:right="1000" w:hanging="507"/>
        <w:spacing w:after="0" w:line="265" w:lineRule="auto"/>
        <w:rPr>
          <w:sz w:val="20"/>
          <w:szCs w:val="20"/>
          <w:color w:val="auto"/>
        </w:rPr>
      </w:pPr>
      <w:r>
        <w:rPr>
          <w:rFonts w:ascii="Times New Roman" w:cs="Times New Roman" w:eastAsia="Times New Roman" w:hAnsi="Times New Roman"/>
          <w:sz w:val="17"/>
          <w:szCs w:val="17"/>
          <w:color w:val="auto"/>
        </w:rPr>
        <w:t>Email: danai.kotsia@gr.abnamro.com, vangelis.nomikos@gr.abnamro.com despoina.pavlidou@gr.abnamro.com,</w:t>
      </w:r>
    </w:p>
    <w:p>
      <w:pPr>
        <w:ind w:left="3500"/>
        <w:spacing w:after="0"/>
        <w:rPr>
          <w:sz w:val="20"/>
          <w:szCs w:val="20"/>
          <w:color w:val="auto"/>
        </w:rPr>
      </w:pPr>
      <w:r>
        <w:rPr>
          <w:rFonts w:ascii="Times New Roman" w:cs="Times New Roman" w:eastAsia="Times New Roman" w:hAnsi="Times New Roman"/>
          <w:sz w:val="18"/>
          <w:szCs w:val="18"/>
          <w:color w:val="auto"/>
        </w:rPr>
        <w:t>Phone: +302107227600</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45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1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4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9 rue du Débarcadère</w:t>
            </w:r>
          </w:p>
        </w:tc>
        <w:tc>
          <w:tcPr>
            <w:tcW w:w="860" w:type="dxa"/>
            <w:vAlign w:val="bottom"/>
            <w:tcBorders>
              <w:right w:val="single" w:sz="8" w:color="auto"/>
            </w:tcBorders>
          </w:tcPr>
          <w:p>
            <w:pPr>
              <w:spacing w:after="0"/>
              <w:rPr>
                <w:sz w:val="16"/>
                <w:szCs w:val="16"/>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11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Immeuble Océanie, 2e étage – ACI: CPE02A1 93500 Pantin</w:t>
            </w:r>
          </w:p>
        </w:tc>
        <w:tc>
          <w:tcPr>
            <w:tcW w:w="860" w:type="dxa"/>
            <w:vAlign w:val="bottom"/>
            <w:tcBorders>
              <w:right w:val="single" w:sz="8" w:color="auto"/>
            </w:tcBorders>
          </w:tcPr>
          <w:p>
            <w:pPr>
              <w:spacing w:after="0"/>
              <w:rPr>
                <w:sz w:val="18"/>
                <w:szCs w:val="18"/>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11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860" w:type="dxa"/>
            <w:vAlign w:val="bottom"/>
            <w:tcBorders>
              <w:right w:val="single" w:sz="8" w:color="auto"/>
            </w:tcBorders>
          </w:tcPr>
          <w:p>
            <w:pPr>
              <w:spacing w:after="0"/>
              <w:rPr>
                <w:sz w:val="18"/>
                <w:szCs w:val="18"/>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CTM Transportation Team</w:t>
            </w:r>
          </w:p>
        </w:tc>
        <w:tc>
          <w:tcPr>
            <w:tcW w:w="860" w:type="dxa"/>
            <w:vAlign w:val="bottom"/>
            <w:tcBorders>
              <w:right w:val="single" w:sz="8" w:color="auto"/>
            </w:tcBorders>
          </w:tcPr>
          <w:p>
            <w:pPr>
              <w:spacing w:after="0"/>
              <w:rPr>
                <w:sz w:val="18"/>
                <w:szCs w:val="18"/>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paris.cib.cbe.ctm.transportation@bnpparibas.com Phone:</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+33 1 42</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98 43 74</w:t>
            </w:r>
          </w:p>
        </w:tc>
        <w:tc>
          <w:tcPr>
            <w:tcW w:w="45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108"/>
        </w:trPr>
        <w:tc>
          <w:tcPr>
            <w:tcW w:w="342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54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554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Citigroup Centre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Canada Square, Canary Wharf London E14 5LB</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w:t>
            </w:r>
          </w:p>
        </w:tc>
        <w:tc>
          <w:tcPr>
            <w:tcW w:w="5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Vassilios Maroulis; Andrew P. Mason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55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vassilios.n.maroulis@citi.com;</w:t>
            </w:r>
          </w:p>
        </w:tc>
      </w:tr>
      <w:tr>
        <w:trPr>
          <w:trHeight w:val="234"/>
        </w:trPr>
        <w:tc>
          <w:tcPr>
            <w:tcW w:w="340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andrew.paul.mason@citi.com</w:t>
            </w: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Credit Suisse AG</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Facility Office: Credit Suisse AG</w:t>
            </w:r>
          </w:p>
        </w:tc>
      </w:tr>
      <w:tr>
        <w:trPr>
          <w:trHeight w:val="391"/>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jc w:val="center"/>
              <w:ind w:right="3990"/>
              <w:spacing w:after="0"/>
              <w:rPr>
                <w:sz w:val="20"/>
                <w:szCs w:val="20"/>
                <w:color w:val="auto"/>
              </w:rPr>
            </w:pPr>
            <w:r>
              <w:rPr>
                <w:rFonts w:ascii="Times New Roman" w:cs="Times New Roman" w:eastAsia="Times New Roman" w:hAnsi="Times New Roman"/>
                <w:sz w:val="18"/>
                <w:szCs w:val="18"/>
                <w:color w:val="auto"/>
              </w:rPr>
              <w:t>Address: St Alban-Graben 1-3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jc w:val="center"/>
              <w:ind w:right="3990"/>
              <w:spacing w:after="0"/>
              <w:rPr>
                <w:sz w:val="20"/>
                <w:szCs w:val="20"/>
                <w:color w:val="auto"/>
              </w:rPr>
            </w:pPr>
            <w:r>
              <w:rPr>
                <w:rFonts w:ascii="Times New Roman" w:cs="Times New Roman" w:eastAsia="Times New Roman" w:hAnsi="Times New Roman"/>
                <w:sz w:val="18"/>
                <w:szCs w:val="18"/>
                <w:color w:val="auto"/>
                <w:w w:val="99"/>
              </w:rPr>
              <w:t>4051 Basel</w:t>
            </w:r>
          </w:p>
        </w:tc>
      </w:tr>
      <w:tr>
        <w:trPr>
          <w:trHeight w:val="234"/>
        </w:trPr>
        <w:tc>
          <w:tcPr>
            <w:tcW w:w="340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6520" w:type="dxa"/>
            <w:vAlign w:val="bottom"/>
            <w:tcBorders>
              <w:bottom w:val="single" w:sz="8" w:color="auto"/>
              <w:right w:val="single" w:sz="8" w:color="auto"/>
            </w:tcBorders>
          </w:tcPr>
          <w:p>
            <w:pPr>
              <w:jc w:val="center"/>
              <w:ind w:right="3930"/>
              <w:spacing w:after="0"/>
              <w:rPr>
                <w:sz w:val="20"/>
                <w:szCs w:val="20"/>
                <w:color w:val="auto"/>
              </w:rPr>
            </w:pPr>
            <w:r>
              <w:rPr>
                <w:rFonts w:ascii="Times New Roman" w:cs="Times New Roman" w:eastAsia="Times New Roman" w:hAnsi="Times New Roman"/>
                <w:sz w:val="18"/>
                <w:szCs w:val="18"/>
                <w:color w:val="auto"/>
                <w:w w:val="99"/>
              </w:rPr>
              <w:t>Switzerland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1" w:right="999" w:bottom="1440" w:gutter="0" w:footer="0" w:header="0"/>
        </w:sectPr>
      </w:pPr>
    </w:p>
    <w:bookmarkStart w:id="368" w:name="page369"/>
    <w:bookmarkEnd w:id="368"/>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spacing w:after="0"/>
              <w:rPr>
                <w:sz w:val="21"/>
                <w:szCs w:val="21"/>
                <w:color w:val="auto"/>
              </w:rPr>
            </w:pPr>
          </w:p>
        </w:tc>
        <w:tc>
          <w:tcPr>
            <w:tcW w:w="65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410"/>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Address: St Alban-Graben 1-3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4051 Basel</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Attention: Antonios Tsoukalis</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Ioannis Efstathopoulos</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Marie Zimmermann</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Email: antonios.tsoukalis@credit-suisse.com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ioannis.efstathopoulos@credit-suisse.com</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marie.zimmermann@credit-suisse.com</w:t>
            </w: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Address: St Alban-Graben 1-3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4051 Basel</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Attention: Rakita Budislava</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Saranda Gashi</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Email: rakita.budislava@credit-suisse.com</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saranda.gashi@credit-suisse.com</w:t>
            </w:r>
          </w:p>
        </w:tc>
      </w:tr>
      <w:tr>
        <w:trPr>
          <w:trHeight w:val="108"/>
        </w:trPr>
        <w:tc>
          <w:tcPr>
            <w:tcW w:w="340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6540" w:type="dxa"/>
            <w:vAlign w:val="bottom"/>
            <w:tcBorders>
              <w:bottom w:val="single" w:sz="8" w:color="auto"/>
              <w:right w:val="single" w:sz="8" w:color="auto"/>
            </w:tcBorders>
            <w:gridSpan w:val="2"/>
          </w:tcPr>
          <w:p>
            <w:pPr>
              <w:spacing w:after="0"/>
              <w:rPr>
                <w:sz w:val="9"/>
                <w:szCs w:val="9"/>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gridSpan w:val="2"/>
          </w:tcPr>
          <w:p>
            <w:pPr>
              <w:spacing w:after="0"/>
              <w:rPr>
                <w:sz w:val="18"/>
                <w:szCs w:val="18"/>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Danish Ship Finance A/S</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40" w:type="dxa"/>
            <w:vAlign w:val="bottom"/>
            <w:tcBorders>
              <w:bottom w:val="single" w:sz="8" w:color="auto"/>
              <w:right w:val="single" w:sz="8" w:color="auto"/>
            </w:tcBorders>
            <w:gridSpan w:val="2"/>
          </w:tcPr>
          <w:p>
            <w:pPr>
              <w:spacing w:after="0"/>
              <w:rPr>
                <w:sz w:val="7"/>
                <w:szCs w:val="7"/>
                <w:color w:val="auto"/>
              </w:rPr>
            </w:pPr>
          </w:p>
        </w:tc>
      </w:tr>
      <w:tr>
        <w:trPr>
          <w:trHeight w:val="191"/>
        </w:trPr>
        <w:tc>
          <w:tcPr>
            <w:tcW w:w="340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40" w:type="dxa"/>
            <w:vAlign w:val="bottom"/>
            <w:tcBorders>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Danish Ship Finance A/S</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Address: Sankt Annae Plads 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Denmark</w:t>
            </w:r>
          </w:p>
        </w:tc>
      </w:tr>
      <w:tr>
        <w:trPr>
          <w:trHeight w:val="319"/>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Attention: Thomas Schiltmann</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59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Winni Udbye Madsen</w:t>
            </w:r>
          </w:p>
        </w:tc>
      </w:tr>
      <w:tr>
        <w:trPr>
          <w:trHeight w:val="315"/>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319"/>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Address: Sankt Annae Plads 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Attention: Thomas Schiltmann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Winni Udbye Madsen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5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TSC@skibskredit.dk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WUM@skibskredit.dk</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+45 3333 9333</w:t>
            </w:r>
          </w:p>
        </w:tc>
      </w:tr>
      <w:tr>
        <w:trPr>
          <w:trHeight w:val="338"/>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319"/>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Address: Sankt Annae Plads 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1250 Copenhagen 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Attention: Thomas Schiltmann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Winni Udbye Madsen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Email: TSC@skibskredit.dk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5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WUM@skibskredit.dk</w:t>
            </w:r>
          </w:p>
        </w:tc>
      </w:tr>
      <w:tr>
        <w:trPr>
          <w:trHeight w:val="268"/>
        </w:trPr>
        <w:tc>
          <w:tcPr>
            <w:tcW w:w="340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Phone: +45 3333 9333</w:t>
            </w:r>
          </w:p>
        </w:tc>
      </w:tr>
      <w:tr>
        <w:trPr>
          <w:trHeight w:val="20"/>
        </w:trPr>
        <w:tc>
          <w:tcPr>
            <w:tcW w:w="3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75"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type w:val="continuous"/>
        </w:sectPr>
      </w:pPr>
    </w:p>
    <w:bookmarkStart w:id="369" w:name="page370"/>
    <w:bookmarkEnd w:id="369"/>
    <w:tbl>
      <w:tblPr>
        <w:tblLayout w:type="fixed"/>
        <w:tblInd w:w="0" w:type="dxa"/>
        <w:tblCellMar>
          <w:top w:w="0" w:type="dxa"/>
          <w:left w:w="0" w:type="dxa"/>
          <w:bottom w:w="0" w:type="dxa"/>
          <w:right w:w="0" w:type="dxa"/>
        </w:tblCellMar>
      </w:tblPr>
      <w:tr>
        <w:trPr>
          <w:trHeight w:val="238"/>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1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DNB (UK) Limited</w:t>
            </w:r>
          </w:p>
        </w:tc>
      </w:tr>
      <w:tr>
        <w:trPr>
          <w:trHeight w:val="108"/>
        </w:trPr>
        <w:tc>
          <w:tcPr>
            <w:tcW w:w="2800" w:type="dxa"/>
            <w:vAlign w:val="bottom"/>
            <w:tcBorders>
              <w:bottom w:val="single" w:sz="8" w:color="auto"/>
            </w:tcBorders>
          </w:tcPr>
          <w:p>
            <w:pPr>
              <w:spacing w:after="0"/>
              <w:rPr>
                <w:sz w:val="9"/>
                <w:szCs w:val="9"/>
                <w:color w:val="auto"/>
              </w:rPr>
            </w:pPr>
          </w:p>
        </w:tc>
        <w:tc>
          <w:tcPr>
            <w:tcW w:w="7120" w:type="dxa"/>
            <w:vAlign w:val="bottom"/>
            <w:tcBorders>
              <w:bottom w:val="single" w:sz="8" w:color="auto"/>
            </w:tcBorders>
          </w:tcPr>
          <w:p>
            <w:pPr>
              <w:spacing w:after="0"/>
              <w:rPr>
                <w:sz w:val="9"/>
                <w:szCs w:val="9"/>
                <w:color w:val="auto"/>
              </w:rPr>
            </w:pPr>
          </w:p>
        </w:tc>
      </w:tr>
      <w:tr>
        <w:trPr>
          <w:trHeight w:val="232"/>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7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Facility Office: DNB (UK)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6292215" cy="5751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6292215" cy="5751830"/>
                    </a:xfrm>
                    <a:prstGeom prst="rect">
                      <a:avLst/>
                    </a:prstGeom>
                    <a:noFill/>
                  </pic:spPr>
                </pic:pic>
              </a:graphicData>
            </a:graphic>
          </wp:anchor>
        </w:drawing>
      </w:r>
    </w:p>
    <w:p>
      <w:pPr>
        <w:spacing w:after="0" w:line="155"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4260" w:right="4240" w:hanging="2"/>
        <w:spacing w:after="0" w:line="277" w:lineRule="auto"/>
        <w:tabs>
          <w:tab w:leader="none" w:pos="4485"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Walbrook, London EC4N 8AF United Kingdom</w:t>
      </w:r>
    </w:p>
    <w:p>
      <w:pPr>
        <w:spacing w:after="0" w:line="16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p>
      <w:pPr>
        <w:spacing w:after="0" w:line="229"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4260" w:right="4240" w:hanging="2"/>
        <w:spacing w:after="0" w:line="265" w:lineRule="auto"/>
        <w:tabs>
          <w:tab w:leader="none" w:pos="4485"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Walbrook, London EC4N 8AF United Kingdom</w:t>
      </w:r>
    </w:p>
    <w:p>
      <w:pPr>
        <w:ind w:left="3500"/>
        <w:spacing w:after="0"/>
        <w:rPr>
          <w:sz w:val="20"/>
          <w:szCs w:val="20"/>
          <w:color w:val="auto"/>
        </w:rPr>
      </w:pPr>
      <w:r>
        <w:rPr>
          <w:rFonts w:ascii="Times New Roman" w:cs="Times New Roman" w:eastAsia="Times New Roman" w:hAnsi="Times New Roman"/>
          <w:sz w:val="18"/>
          <w:szCs w:val="18"/>
          <w:color w:val="auto"/>
        </w:rPr>
        <w:t>Attention: CMOA Department</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Kay Newman</w:t>
      </w:r>
    </w:p>
    <w:p>
      <w:pPr>
        <w:spacing w:after="0" w:line="9" w:lineRule="exact"/>
        <w:rPr>
          <w:sz w:val="20"/>
          <w:szCs w:val="20"/>
          <w:color w:val="auto"/>
        </w:rPr>
      </w:pPr>
    </w:p>
    <w:p>
      <w:pPr>
        <w:jc w:val="both"/>
        <w:ind w:left="3500"/>
        <w:spacing w:after="0"/>
        <w:tabs>
          <w:tab w:leader="none" w:pos="4220" w:val="left"/>
        </w:tabs>
        <w:rPr>
          <w:sz w:val="20"/>
          <w:szCs w:val="20"/>
          <w:color w:val="auto"/>
        </w:rPr>
      </w:pPr>
      <w:r>
        <w:rPr>
          <w:rFonts w:ascii="Times New Roman" w:cs="Times New Roman" w:eastAsia="Times New Roman" w:hAnsi="Times New Roman"/>
          <w:sz w:val="18"/>
          <w:szCs w:val="18"/>
          <w:color w:val="auto"/>
        </w:rPr>
        <w:t>Email:</w:t>
        <w:tab/>
        <w:t>cmoalondon@dnb.no</w:t>
      </w:r>
    </w:p>
    <w:p>
      <w:pPr>
        <w:spacing w:after="0" w:line="9"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18"/>
          <w:szCs w:val="18"/>
          <w:color w:val="auto"/>
        </w:rPr>
        <w:t>kay.newman@dnb.no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+44 (0)207 621 1111</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+44 (0)7918690732</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Fax: +44 (0)207 283 5935</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2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Address: 8th Floor, The Walbrook Building,</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25 Walbrook,</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London EC4N 8AF</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Attention: Loan Admin Department</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Chris Smith</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Email: ladlondon@dnb.no</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Christopher.smith@dnb.no</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+44 (0)207 621 1111</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+44 (0)7927292370</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Fax: +44 (0)207 283 5935</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ING Bank N.V., London Branch</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ING Bank N.V., London Branch</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Address: 8-10 Moorgate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London EC2R 6DA</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Attention: Paul Thom</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Pauline Liadi</w:t>
            </w:r>
          </w:p>
        </w:tc>
      </w:tr>
      <w:tr>
        <w:trPr>
          <w:trHeight w:val="410"/>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8-10 Moorgate</w:t>
            </w:r>
          </w:p>
        </w:tc>
      </w:tr>
      <w:tr>
        <w:trPr>
          <w:trHeight w:val="268"/>
        </w:trPr>
        <w:tc>
          <w:tcPr>
            <w:tcW w:w="340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London, EC2R 6DA</w:t>
            </w:r>
          </w:p>
        </w:tc>
      </w:tr>
      <w:tr>
        <w:trPr>
          <w:trHeight w:val="20"/>
        </w:trPr>
        <w:tc>
          <w:tcPr>
            <w:tcW w:w="3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5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87"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type w:val="continuous"/>
        </w:sectPr>
      </w:pPr>
    </w:p>
    <w:bookmarkStart w:id="370" w:name="page371"/>
    <w:bookmarkEnd w:id="370"/>
    <w:p>
      <w:pPr>
        <w:ind w:left="3500"/>
        <w:spacing w:after="0"/>
        <w:rPr>
          <w:sz w:val="20"/>
          <w:szCs w:val="20"/>
          <w:color w:val="auto"/>
        </w:rPr>
      </w:pPr>
      <w:r>
        <w:rPr>
          <w:rFonts w:ascii="Times New Roman" w:cs="Times New Roman" w:eastAsia="Times New Roman" w:hAnsi="Times New Roman"/>
          <w:sz w:val="18"/>
          <w:szCs w:val="18"/>
          <w:color w:val="auto"/>
        </w:rPr>
        <w:t>Attention: Deal Execution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7227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6292215" cy="1722755"/>
                    </a:xfrm>
                    <a:prstGeom prst="rect">
                      <a:avLst/>
                    </a:prstGeom>
                    <a:noFill/>
                  </pic:spPr>
                </pic:pic>
              </a:graphicData>
            </a:graphic>
          </wp:anchor>
        </w:drawing>
      </w:r>
    </w:p>
    <w:p>
      <w:pPr>
        <w:spacing w:after="0" w:line="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Email: Execution@ing.com</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+44 207 767 1984</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p>
      <w:pPr>
        <w:spacing w:after="0" w:line="10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Address: 8-10 Moorgate, London, EC2R 6DA</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Attention: Paul Thom</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Pauline Liadi</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Email: paul.thom@ing.com</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pauline.liadi@ing.com</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0207 767 6634</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0791 795 8527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20" w:type="dxa"/>
            <w:vAlign w:val="bottom"/>
            <w:tcBorders>
              <w:bottom w:val="single" w:sz="8" w:color="auto"/>
              <w:right w:val="single" w:sz="8" w:color="auto"/>
            </w:tcBorders>
            <w:gridSpan w:val="2"/>
          </w:tcPr>
          <w:p>
            <w:pPr>
              <w:spacing w:after="0"/>
              <w:rPr>
                <w:sz w:val="7"/>
                <w:szCs w:val="7"/>
                <w:color w:val="auto"/>
              </w:rPr>
            </w:pPr>
          </w:p>
        </w:tc>
      </w:tr>
      <w:tr>
        <w:trPr>
          <w:trHeight w:val="191"/>
        </w:trPr>
        <w:tc>
          <w:tcPr>
            <w:tcW w:w="340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Facility Office: National Australia Bank Limited,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Singapore Branch</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5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Attention:  David Hackett</w:t>
            </w:r>
          </w:p>
        </w:tc>
      </w:tr>
      <w:tr>
        <w:trPr>
          <w:trHeight w:val="338"/>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29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National Australia Bank Limited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CIB Operations</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Lending Administration Global Team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56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Level 2, 2 Carrington Street,</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Sydney, NSW 2000</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w:t>
            </w: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Sean Fegan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56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sean.fegan@nab.com.au NAB.EST.Asia.Lending.Admin@nab.com.au</w:t>
            </w:r>
          </w:p>
        </w:tc>
      </w:tr>
      <w:tr>
        <w:trPr>
          <w:trHeight w:val="212"/>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+61 475 962 739</w:t>
            </w: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306"/>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56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w:t>
            </w:r>
          </w:p>
        </w:tc>
        <w:tc>
          <w:tcPr>
            <w:tcW w:w="56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David Hackett</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Dani Colvin</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Elizabeth Park</w:t>
            </w:r>
          </w:p>
        </w:tc>
      </w:tr>
      <w:tr>
        <w:trPr>
          <w:trHeight w:val="306"/>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david.x.hackett@nabasia.com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dani.colvin@nab.com.au</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elizabeth.park@nab.com.au</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w:t>
            </w:r>
          </w:p>
        </w:tc>
        <w:tc>
          <w:tcPr>
            <w:tcW w:w="56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+65 9787 1859</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+61 439 526 671</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+61 472 840 429</w:t>
            </w:r>
          </w:p>
        </w:tc>
      </w:tr>
      <w:tr>
        <w:trPr>
          <w:trHeight w:val="32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Account details for payments:</w:t>
            </w:r>
          </w:p>
        </w:tc>
      </w:tr>
      <w:tr>
        <w:trPr>
          <w:trHeight w:val="319"/>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Correspondent Bank: Citibank N.A., New York</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Correspondent SWIFT:CITIUS33</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Beneficiary Bank: National Australia Bank Limited, Singapore Branch</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Beneficiary SWIFT: NATASGSG</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Beneficiary Account Number: 36244314</w:t>
            </w:r>
          </w:p>
        </w:tc>
      </w:tr>
      <w:tr>
        <w:trPr>
          <w:trHeight w:val="243"/>
        </w:trPr>
        <w:tc>
          <w:tcPr>
            <w:tcW w:w="3400" w:type="dxa"/>
            <w:vAlign w:val="bottom"/>
            <w:tcBorders>
              <w:left w:val="single" w:sz="8" w:color="auto"/>
              <w:bottom w:val="single" w:sz="8" w:color="auto"/>
              <w:right w:val="single" w:sz="8" w:color="auto"/>
            </w:tcBorders>
            <w:shd w:val="clear" w:color="auto" w:fill="BFBFBF"/>
          </w:tcPr>
          <w:p>
            <w:pPr>
              <w:spacing w:after="0"/>
              <w:rPr>
                <w:sz w:val="21"/>
                <w:szCs w:val="21"/>
                <w:color w:val="auto"/>
              </w:rPr>
            </w:pPr>
          </w:p>
        </w:tc>
        <w:tc>
          <w:tcPr>
            <w:tcW w:w="65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Reference: GasLog Ltd. - 2023</w:t>
            </w:r>
          </w:p>
        </w:tc>
      </w:tr>
    </w:tbl>
    <w:p>
      <w:pPr>
        <w:spacing w:after="0" w:line="200" w:lineRule="exact"/>
        <w:rPr>
          <w:sz w:val="20"/>
          <w:szCs w:val="20"/>
          <w:color w:val="auto"/>
        </w:rPr>
      </w:pPr>
    </w:p>
    <w:p>
      <w:pPr>
        <w:sectPr>
          <w:pgSz w:w="11900" w:h="16838" w:orient="portrait"/>
          <w:cols w:equalWidth="0" w:num="1">
            <w:col w:w="9920"/>
          </w:cols>
          <w:pgMar w:left="980" w:top="1107"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07" w:right="999" w:bottom="1440" w:gutter="0" w:footer="0" w:header="0"/>
          <w:type w:val="continuous"/>
        </w:sectPr>
      </w:pPr>
    </w:p>
    <w:bookmarkStart w:id="371" w:name="page372"/>
    <w:bookmarkEnd w:id="371"/>
    <w:tbl>
      <w:tblPr>
        <w:tblLayout w:type="fixed"/>
        <w:tblInd w:w="0" w:type="dxa"/>
        <w:tblCellMar>
          <w:top w:w="0" w:type="dxa"/>
          <w:left w:w="0" w:type="dxa"/>
          <w:bottom w:w="0" w:type="dxa"/>
          <w:right w:w="0" w:type="dxa"/>
        </w:tblCellMar>
      </w:tblPr>
      <w:tr>
        <w:trPr>
          <w:trHeight w:val="238"/>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r>
      <w:tr>
        <w:trPr>
          <w:trHeight w:val="108"/>
        </w:trPr>
        <w:tc>
          <w:tcPr>
            <w:tcW w:w="2820" w:type="dxa"/>
            <w:vAlign w:val="bottom"/>
            <w:tcBorders>
              <w:bottom w:val="single" w:sz="8" w:color="auto"/>
            </w:tcBorders>
          </w:tcPr>
          <w:p>
            <w:pPr>
              <w:spacing w:after="0"/>
              <w:rPr>
                <w:sz w:val="9"/>
                <w:szCs w:val="9"/>
                <w:color w:val="auto"/>
              </w:rPr>
            </w:pPr>
          </w:p>
        </w:tc>
        <w:tc>
          <w:tcPr>
            <w:tcW w:w="7100" w:type="dxa"/>
            <w:vAlign w:val="bottom"/>
            <w:tcBorders>
              <w:bottom w:val="single" w:sz="8" w:color="auto"/>
            </w:tcBorders>
          </w:tcPr>
          <w:p>
            <w:pPr>
              <w:spacing w:after="0"/>
              <w:rPr>
                <w:sz w:val="9"/>
                <w:szCs w:val="9"/>
                <w:color w:val="auto"/>
              </w:rPr>
            </w:pPr>
          </w:p>
        </w:tc>
      </w:tr>
      <w:tr>
        <w:trPr>
          <w:trHeight w:val="232"/>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7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Facility Office: National Bank of Greece S.A., Shipping Branch</w:t>
            </w:r>
          </w:p>
        </w:tc>
      </w:tr>
      <w:tr>
        <w:trPr>
          <w:trHeight w:val="283"/>
        </w:trPr>
        <w:tc>
          <w:tcPr>
            <w:tcW w:w="2820" w:type="dxa"/>
            <w:vAlign w:val="bottom"/>
          </w:tcPr>
          <w:p>
            <w:pPr>
              <w:spacing w:after="0"/>
              <w:rPr>
                <w:sz w:val="24"/>
                <w:szCs w:val="24"/>
                <w:color w:val="auto"/>
              </w:rPr>
            </w:pPr>
          </w:p>
        </w:tc>
        <w:tc>
          <w:tcPr>
            <w:tcW w:w="7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Mpoumpoulinas 2, St.</w:t>
            </w:r>
          </w:p>
        </w:tc>
      </w:tr>
      <w:tr>
        <w:trPr>
          <w:trHeight w:val="216"/>
        </w:trPr>
        <w:tc>
          <w:tcPr>
            <w:tcW w:w="2820" w:type="dxa"/>
            <w:vAlign w:val="bottom"/>
          </w:tcPr>
          <w:p>
            <w:pPr>
              <w:spacing w:after="0"/>
              <w:rPr>
                <w:sz w:val="18"/>
                <w:szCs w:val="18"/>
                <w:color w:val="auto"/>
              </w:rPr>
            </w:pPr>
          </w:p>
        </w:tc>
        <w:tc>
          <w:tcPr>
            <w:tcW w:w="71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185 35 Piraeus</w:t>
            </w:r>
          </w:p>
        </w:tc>
      </w:tr>
      <w:tr>
        <w:trPr>
          <w:trHeight w:val="234"/>
        </w:trPr>
        <w:tc>
          <w:tcPr>
            <w:tcW w:w="2820" w:type="dxa"/>
            <w:vAlign w:val="bottom"/>
          </w:tcPr>
          <w:p>
            <w:pPr>
              <w:spacing w:after="0"/>
              <w:rPr>
                <w:sz w:val="20"/>
                <w:szCs w:val="20"/>
                <w:color w:val="auto"/>
              </w:rPr>
            </w:pPr>
          </w:p>
        </w:tc>
        <w:tc>
          <w:tcPr>
            <w:tcW w:w="71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Greece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-839470</wp:posOffset>
            </wp:positionV>
            <wp:extent cx="6292215" cy="40201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6292215" cy="4020185"/>
                    </a:xfrm>
                    <a:prstGeom prst="rect">
                      <a:avLst/>
                    </a:prstGeom>
                    <a:noFill/>
                  </pic:spPr>
                </pic:pic>
              </a:graphicData>
            </a:graphic>
          </wp:anchor>
        </w:drawing>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324"/>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324"/>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 Mpoumpoulinas 2 St., 18535 Piraeus, Greece</w:t>
            </w:r>
          </w:p>
        </w:tc>
      </w:tr>
      <w:tr>
        <w:trPr>
          <w:trHeight w:val="292"/>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Mrs. Anna Antoniou</w:t>
            </w:r>
          </w:p>
        </w:tc>
      </w:tr>
      <w:tr>
        <w:trPr>
          <w:trHeight w:val="234"/>
        </w:trPr>
        <w:tc>
          <w:tcPr>
            <w:tcW w:w="3400" w:type="dxa"/>
            <w:vAlign w:val="bottom"/>
          </w:tcPr>
          <w:p>
            <w:pPr>
              <w:spacing w:after="0"/>
              <w:rPr>
                <w:sz w:val="20"/>
                <w:szCs w:val="20"/>
                <w:color w:val="auto"/>
              </w:rPr>
            </w:pPr>
          </w:p>
        </w:tc>
        <w:tc>
          <w:tcPr>
            <w:tcW w:w="6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Mrs Evgenia Kanellopoulou</w:t>
            </w:r>
          </w:p>
        </w:tc>
      </w:tr>
      <w:tr>
        <w:trPr>
          <w:trHeight w:val="432"/>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 antoniou.thean@nbg.gr / Kanellopoulou.evgenia@nbg.gr</w:t>
            </w:r>
          </w:p>
        </w:tc>
      </w:tr>
      <w:tr>
        <w:trPr>
          <w:trHeight w:val="446"/>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 +302104144149/ +302104144128</w:t>
            </w:r>
          </w:p>
        </w:tc>
      </w:tr>
      <w:tr>
        <w:trPr>
          <w:trHeight w:val="432"/>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324"/>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 Mpoumpoulinas 2 St., 18535 Piraeus, Greece</w:t>
            </w:r>
          </w:p>
        </w:tc>
      </w:tr>
      <w:tr>
        <w:trPr>
          <w:trHeight w:val="292"/>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 Mr. Andreas Mitsiopoulos</w:t>
            </w:r>
          </w:p>
        </w:tc>
      </w:tr>
      <w:tr>
        <w:trPr>
          <w:trHeight w:val="216"/>
        </w:trPr>
        <w:tc>
          <w:tcPr>
            <w:tcW w:w="3400" w:type="dxa"/>
            <w:vAlign w:val="bottom"/>
          </w:tcPr>
          <w:p>
            <w:pPr>
              <w:spacing w:after="0"/>
              <w:rPr>
                <w:sz w:val="18"/>
                <w:szCs w:val="18"/>
                <w:color w:val="auto"/>
              </w:rPr>
            </w:pPr>
          </w:p>
        </w:tc>
        <w:tc>
          <w:tcPr>
            <w:tcW w:w="6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Mrs. Eleni Bezou</w:t>
            </w:r>
          </w:p>
        </w:tc>
      </w:tr>
      <w:tr>
        <w:trPr>
          <w:trHeight w:val="234"/>
        </w:trPr>
        <w:tc>
          <w:tcPr>
            <w:tcW w:w="3400" w:type="dxa"/>
            <w:vAlign w:val="bottom"/>
          </w:tcPr>
          <w:p>
            <w:pPr>
              <w:spacing w:after="0"/>
              <w:rPr>
                <w:sz w:val="20"/>
                <w:szCs w:val="20"/>
                <w:color w:val="auto"/>
              </w:rPr>
            </w:pPr>
          </w:p>
        </w:tc>
        <w:tc>
          <w:tcPr>
            <w:tcW w:w="6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Mrs. Katerina Agapiou</w:t>
            </w:r>
          </w:p>
        </w:tc>
      </w:tr>
      <w:tr>
        <w:trPr>
          <w:trHeight w:val="414"/>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 Mitsiopoulos.andreas@nbg.gr / Mpezou.eleni@nbg.gr /</w:t>
            </w:r>
          </w:p>
        </w:tc>
      </w:tr>
      <w:tr>
        <w:trPr>
          <w:trHeight w:val="234"/>
        </w:trPr>
        <w:tc>
          <w:tcPr>
            <w:tcW w:w="3400" w:type="dxa"/>
            <w:vAlign w:val="bottom"/>
          </w:tcPr>
          <w:p>
            <w:pPr>
              <w:spacing w:after="0"/>
              <w:rPr>
                <w:sz w:val="20"/>
                <w:szCs w:val="20"/>
                <w:color w:val="auto"/>
              </w:rPr>
            </w:pPr>
          </w:p>
        </w:tc>
        <w:tc>
          <w:tcPr>
            <w:tcW w:w="6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Agapiou.aikaterini@nbg.gr</w:t>
            </w:r>
          </w:p>
        </w:tc>
      </w:tr>
      <w:tr>
        <w:trPr>
          <w:trHeight w:val="310"/>
        </w:trPr>
        <w:tc>
          <w:tcPr>
            <w:tcW w:w="34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 +302104144077/ +302104144072/ +30 2104144079</w:t>
            </w:r>
          </w:p>
        </w:tc>
      </w:tr>
      <w:tr>
        <w:trPr>
          <w:trHeight w:val="54"/>
        </w:trPr>
        <w:tc>
          <w:tcPr>
            <w:tcW w:w="340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Facility Office: Nordea Bank Abp, Filial I Norge</w:t>
            </w:r>
          </w:p>
        </w:tc>
      </w:tr>
      <w:tr>
        <w:trPr>
          <w:trHeight w:val="283"/>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Address: Essendrops gate 7</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0368 Oslo</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w:t>
            </w: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r>
      <w:tr>
        <w:trPr>
          <w:trHeight w:val="32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306"/>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Essendrops gate 7</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0368 Oslo</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Attention: Lisbeth Ulriksen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sls.norway@nordea.com</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+47 24010892</w:t>
            </w:r>
          </w:p>
        </w:tc>
      </w:tr>
      <w:tr>
        <w:trPr>
          <w:trHeight w:val="310"/>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306"/>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Essendrops gate 7</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0368 Oslo</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Attention: Mons Bjerch-Andresen</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mons.bjerch-andresen@nordea.com</w:t>
            </w:r>
          </w:p>
        </w:tc>
      </w:tr>
      <w:tr>
        <w:trPr>
          <w:trHeight w:val="290"/>
        </w:trPr>
        <w:tc>
          <w:tcPr>
            <w:tcW w:w="340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Phone: +47 95819544</w:t>
            </w:r>
          </w:p>
        </w:tc>
      </w:tr>
      <w:tr>
        <w:trPr>
          <w:trHeight w:val="20"/>
        </w:trPr>
        <w:tc>
          <w:tcPr>
            <w:tcW w:w="3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5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8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type w:val="continuous"/>
        </w:sectPr>
      </w:pPr>
    </w:p>
    <w:bookmarkStart w:id="372" w:name="page373"/>
    <w:bookmarkEnd w:id="372"/>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20" w:type="dxa"/>
            <w:vAlign w:val="bottom"/>
            <w:tcBorders>
              <w:top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tc>
        <w:tc>
          <w:tcPr>
            <w:tcW w:w="1300" w:type="dxa"/>
            <w:vAlign w:val="bottom"/>
            <w:tcBorders>
              <w:top w:val="single" w:sz="8" w:color="auto"/>
              <w:right w:val="single" w:sz="8" w:color="auto"/>
            </w:tcBorders>
          </w:tcPr>
          <w:p>
            <w:pPr>
              <w:spacing w:after="0"/>
              <w:rPr>
                <w:sz w:val="21"/>
                <w:szCs w:val="21"/>
                <w:color w:val="auto"/>
              </w:rPr>
            </w:pP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gridSpan w:val="2"/>
          </w:tcPr>
          <w:p>
            <w:pPr>
              <w:spacing w:after="0"/>
              <w:rPr>
                <w:sz w:val="7"/>
                <w:szCs w:val="7"/>
                <w:color w:val="auto"/>
              </w:rPr>
            </w:pPr>
          </w:p>
        </w:tc>
        <w:tc>
          <w:tcPr>
            <w:tcW w:w="2300" w:type="dxa"/>
            <w:vAlign w:val="bottom"/>
            <w:tcBorders>
              <w:bottom w:val="single" w:sz="8" w:color="auto"/>
            </w:tcBorders>
            <w:gridSpan w:val="3"/>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5220" w:type="dxa"/>
            <w:vAlign w:val="bottom"/>
            <w:gridSpan w:val="6"/>
          </w:tcPr>
          <w:p>
            <w:pPr>
              <w:ind w:left="100"/>
              <w:spacing w:after="0" w:line="191" w:lineRule="exact"/>
              <w:rPr>
                <w:sz w:val="20"/>
                <w:szCs w:val="20"/>
                <w:color w:val="auto"/>
              </w:rPr>
            </w:pPr>
            <w:r>
              <w:rPr>
                <w:rFonts w:ascii="Times New Roman" w:cs="Times New Roman" w:eastAsia="Times New Roman" w:hAnsi="Times New Roman"/>
                <w:sz w:val="18"/>
                <w:szCs w:val="18"/>
                <w:color w:val="auto"/>
              </w:rPr>
              <w:t>Facility Office: Oversea-Chinese Banking Corporation Limited</w:t>
            </w:r>
          </w:p>
        </w:tc>
        <w:tc>
          <w:tcPr>
            <w:tcW w:w="1300" w:type="dxa"/>
            <w:vAlign w:val="bottom"/>
            <w:tcBorders>
              <w:right w:val="single" w:sz="8" w:color="auto"/>
            </w:tcBorders>
          </w:tcPr>
          <w:p>
            <w:pPr>
              <w:spacing w:after="0"/>
              <w:rPr>
                <w:sz w:val="16"/>
                <w:szCs w:val="16"/>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Address:</w:t>
            </w:r>
          </w:p>
        </w:tc>
        <w:tc>
          <w:tcPr>
            <w:tcW w:w="2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Level 10, OCBC Centre,</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65 Chulia Street,</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56"/>
        </w:trPr>
        <w:tc>
          <w:tcPr>
            <w:tcW w:w="3400" w:type="dxa"/>
            <w:vAlign w:val="bottom"/>
            <w:tcBorders>
              <w:left w:val="single" w:sz="8" w:color="auto"/>
              <w:right w:val="single" w:sz="8" w:color="auto"/>
            </w:tcBorders>
            <w:shd w:val="clear" w:color="auto" w:fill="BFBFBF"/>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Singapore, 049513</w:t>
            </w: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5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1300" w:type="dxa"/>
            <w:vAlign w:val="bottom"/>
            <w:tcBorders>
              <w:right w:val="single" w:sz="8" w:color="auto"/>
            </w:tcBorders>
          </w:tcPr>
          <w:p>
            <w:pPr>
              <w:spacing w:after="0"/>
              <w:rPr>
                <w:sz w:val="24"/>
                <w:szCs w:val="24"/>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Address: 63 Chulia Street,</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8 OCBC Centre East,</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 049514</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Attention: Tho Wei Li / Kathy Ho Mui Lian / Low Yik Lan Serene / Tan Geok Chuan</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(Alex)</w:t>
            </w: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Email: BBCSCSyndication@ocbc.com</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0"/>
        </w:trPr>
        <w:tc>
          <w:tcPr>
            <w:tcW w:w="340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r>
      <w:tr>
        <w:trPr>
          <w:trHeight w:val="264"/>
        </w:trPr>
        <w:tc>
          <w:tcPr>
            <w:tcW w:w="3400" w:type="dxa"/>
            <w:vAlign w:val="bottom"/>
            <w:tcBorders>
              <w:left w:val="single" w:sz="8" w:color="auto"/>
              <w:right w:val="single" w:sz="8" w:color="auto"/>
            </w:tcBorders>
            <w:shd w:val="clear" w:color="auto" w:fill="BFBFBF"/>
          </w:tcPr>
          <w:p>
            <w:pPr>
              <w:spacing w:after="0"/>
              <w:rPr>
                <w:sz w:val="22"/>
                <w:szCs w:val="22"/>
                <w:color w:val="auto"/>
              </w:rPr>
            </w:pPr>
          </w:p>
        </w:tc>
        <w:tc>
          <w:tcPr>
            <w:tcW w:w="5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Phone: 65 6538 1111 service code 328 &amp; select 2 for Loan</w:t>
            </w:r>
          </w:p>
        </w:tc>
        <w:tc>
          <w:tcPr>
            <w:tcW w:w="1300" w:type="dxa"/>
            <w:vAlign w:val="bottom"/>
            <w:tcBorders>
              <w:right w:val="single" w:sz="8" w:color="auto"/>
            </w:tcBorders>
          </w:tcPr>
          <w:p>
            <w:pPr>
              <w:spacing w:after="0"/>
              <w:rPr>
                <w:sz w:val="22"/>
                <w:szCs w:val="22"/>
                <w:color w:val="auto"/>
              </w:rPr>
            </w:pP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5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1300" w:type="dxa"/>
            <w:vAlign w:val="bottom"/>
            <w:tcBorders>
              <w:right w:val="single" w:sz="8" w:color="auto"/>
            </w:tcBorders>
          </w:tcPr>
          <w:p>
            <w:pPr>
              <w:spacing w:after="0"/>
              <w:rPr>
                <w:sz w:val="24"/>
                <w:szCs w:val="24"/>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Address: Level 10, OCBC Centre,</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65 Chulia Street,</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Singapore, 049513</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56"/>
        </w:trPr>
        <w:tc>
          <w:tcPr>
            <w:tcW w:w="3400" w:type="dxa"/>
            <w:vAlign w:val="bottom"/>
            <w:tcBorders>
              <w:left w:val="single" w:sz="8" w:color="auto"/>
              <w:right w:val="single" w:sz="8" w:color="auto"/>
            </w:tcBorders>
            <w:shd w:val="clear" w:color="auto" w:fill="BFBFBF"/>
          </w:tcPr>
          <w:p>
            <w:pPr>
              <w:spacing w:after="0"/>
              <w:rPr>
                <w:sz w:val="22"/>
                <w:szCs w:val="22"/>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Attention: Angeline Teo / Ian Thia / Li Ke</w:t>
            </w: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AngelineTeo@ocbc.com</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78"/>
              </w:rPr>
              <w:t>/</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IanThia@ocbc.com</w:t>
            </w:r>
          </w:p>
        </w:tc>
        <w:tc>
          <w:tcPr>
            <w:tcW w:w="130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LiKe@ocbc.com</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297"/>
        </w:trPr>
        <w:tc>
          <w:tcPr>
            <w:tcW w:w="340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3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Phone: +65 6530 8708 / 6318 7616 / 6428 7685</w:t>
            </w: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10"/>
        </w:trPr>
        <w:tc>
          <w:tcPr>
            <w:tcW w:w="34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2"/>
          </w:tcPr>
          <w:p>
            <w:pPr>
              <w:spacing w:after="0"/>
              <w:rPr>
                <w:sz w:val="18"/>
                <w:szCs w:val="18"/>
                <w:color w:val="auto"/>
              </w:rPr>
            </w:pPr>
          </w:p>
        </w:tc>
        <w:tc>
          <w:tcPr>
            <w:tcW w:w="640" w:type="dxa"/>
            <w:vAlign w:val="bottom"/>
            <w:tcBorders>
              <w:top w:val="single" w:sz="8" w:color="auto"/>
              <w:bottom w:val="single" w:sz="8" w:color="auto"/>
            </w:tcBorders>
            <w:gridSpan w:val="2"/>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gridSpan w:val="2"/>
          </w:tcPr>
          <w:p>
            <w:pPr>
              <w:spacing w:after="0"/>
              <w:rPr>
                <w:sz w:val="7"/>
                <w:szCs w:val="7"/>
                <w:color w:val="auto"/>
              </w:rPr>
            </w:pPr>
          </w:p>
        </w:tc>
        <w:tc>
          <w:tcPr>
            <w:tcW w:w="2300" w:type="dxa"/>
            <w:vAlign w:val="bottom"/>
            <w:tcBorders>
              <w:bottom w:val="single" w:sz="8" w:color="auto"/>
            </w:tcBorders>
            <w:gridSpan w:val="3"/>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5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Facility Office: Skandinaviska Enskilda Banken AB (publ)</w:t>
            </w:r>
          </w:p>
        </w:tc>
        <w:tc>
          <w:tcPr>
            <w:tcW w:w="1300" w:type="dxa"/>
            <w:vAlign w:val="bottom"/>
            <w:tcBorders>
              <w:right w:val="single" w:sz="8" w:color="auto"/>
            </w:tcBorders>
          </w:tcPr>
          <w:p>
            <w:pPr>
              <w:spacing w:after="0"/>
              <w:rPr>
                <w:sz w:val="20"/>
                <w:szCs w:val="20"/>
                <w:color w:val="auto"/>
              </w:rPr>
            </w:pPr>
          </w:p>
        </w:tc>
      </w:tr>
      <w:tr>
        <w:trPr>
          <w:trHeight w:val="283"/>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3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Address: Kungstr</w:t>
            </w:r>
            <w:r>
              <w:rPr>
                <w:rFonts w:ascii="Arial" w:cs="Arial" w:eastAsia="Arial" w:hAnsi="Arial"/>
                <w:sz w:val="18"/>
                <w:szCs w:val="18"/>
                <w:color w:val="auto"/>
              </w:rPr>
              <w:t>ä</w:t>
            </w:r>
            <w:r>
              <w:rPr>
                <w:rFonts w:ascii="Times New Roman" w:cs="Times New Roman" w:eastAsia="Times New Roman" w:hAnsi="Times New Roman"/>
                <w:sz w:val="18"/>
                <w:szCs w:val="18"/>
                <w:color w:val="auto"/>
              </w:rPr>
              <w:t>dg</w:t>
            </w:r>
            <w:r>
              <w:rPr>
                <w:rFonts w:ascii="Arial" w:cs="Arial" w:eastAsia="Arial" w:hAnsi="Arial"/>
                <w:sz w:val="18"/>
                <w:szCs w:val="18"/>
                <w:color w:val="auto"/>
              </w:rPr>
              <w:t>å</w:t>
            </w:r>
            <w:r>
              <w:rPr>
                <w:rFonts w:ascii="Times New Roman" w:cs="Times New Roman" w:eastAsia="Times New Roman" w:hAnsi="Times New Roman"/>
                <w:sz w:val="18"/>
                <w:szCs w:val="18"/>
                <w:color w:val="auto"/>
              </w:rPr>
              <w:t>rdsgatan 8</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SE-106 40 Stockholm</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2"/>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Sweden</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31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Notices and contact details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52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c>
          <w:tcPr>
            <w:tcW w:w="1300" w:type="dxa"/>
            <w:vAlign w:val="bottom"/>
            <w:tcBorders>
              <w:right w:val="single" w:sz="8" w:color="auto"/>
            </w:tcBorders>
          </w:tcPr>
          <w:p>
            <w:pPr>
              <w:spacing w:after="0"/>
              <w:rPr>
                <w:sz w:val="20"/>
                <w:szCs w:val="20"/>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Address: Kungstr</w:t>
            </w:r>
            <w:r>
              <w:rPr>
                <w:rFonts w:ascii="Arial" w:cs="Arial" w:eastAsia="Arial" w:hAnsi="Arial"/>
                <w:sz w:val="18"/>
                <w:szCs w:val="18"/>
                <w:color w:val="auto"/>
              </w:rPr>
              <w:t>ä</w:t>
            </w:r>
            <w:r>
              <w:rPr>
                <w:rFonts w:ascii="Times New Roman" w:cs="Times New Roman" w:eastAsia="Times New Roman" w:hAnsi="Times New Roman"/>
                <w:sz w:val="18"/>
                <w:szCs w:val="18"/>
                <w:color w:val="auto"/>
              </w:rPr>
              <w:t>dg</w:t>
            </w:r>
            <w:r>
              <w:rPr>
                <w:rFonts w:ascii="Arial" w:cs="Arial" w:eastAsia="Arial" w:hAnsi="Arial"/>
                <w:sz w:val="18"/>
                <w:szCs w:val="18"/>
                <w:color w:val="auto"/>
              </w:rPr>
              <w:t>å</w:t>
            </w:r>
            <w:r>
              <w:rPr>
                <w:rFonts w:ascii="Times New Roman" w:cs="Times New Roman" w:eastAsia="Times New Roman" w:hAnsi="Times New Roman"/>
                <w:sz w:val="18"/>
                <w:szCs w:val="18"/>
                <w:color w:val="auto"/>
              </w:rPr>
              <w:t>rdsgatan 8</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15"/>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SE-106 40 Stockholm</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7"/>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5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Attention: Johan Lindstr</w:t>
            </w:r>
            <w:r>
              <w:rPr>
                <w:rFonts w:ascii="Arial" w:cs="Arial" w:eastAsia="Arial" w:hAnsi="Arial"/>
                <w:sz w:val="18"/>
                <w:szCs w:val="18"/>
                <w:color w:val="auto"/>
              </w:rPr>
              <w:t>ö</w:t>
            </w:r>
            <w:r>
              <w:rPr>
                <w:rFonts w:ascii="Times New Roman" w:cs="Times New Roman" w:eastAsia="Times New Roman" w:hAnsi="Times New Roman"/>
                <w:sz w:val="18"/>
                <w:szCs w:val="18"/>
                <w:color w:val="auto"/>
              </w:rPr>
              <w:t>m / Susanna Wilhelmsson</w:t>
            </w: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Email:</w:t>
            </w:r>
          </w:p>
        </w:tc>
        <w:tc>
          <w:tcPr>
            <w:tcW w:w="4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Johan.lindstrom@seb.se/ susanna.wilhelmsson@seb.se</w:t>
            </w:r>
          </w:p>
        </w:tc>
        <w:tc>
          <w:tcPr>
            <w:tcW w:w="1300" w:type="dxa"/>
            <w:vAlign w:val="bottom"/>
            <w:tcBorders>
              <w:right w:val="single" w:sz="8" w:color="auto"/>
            </w:tcBorders>
          </w:tcPr>
          <w:p>
            <w:pPr>
              <w:spacing w:after="0"/>
              <w:rPr>
                <w:sz w:val="18"/>
                <w:szCs w:val="18"/>
                <w:color w:val="auto"/>
              </w:rPr>
            </w:pP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Phone: +46 704 622 375 / +46 707 638 680</w:t>
            </w: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52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c>
          <w:tcPr>
            <w:tcW w:w="1300" w:type="dxa"/>
            <w:vAlign w:val="bottom"/>
            <w:tcBorders>
              <w:right w:val="single" w:sz="8" w:color="auto"/>
            </w:tcBorders>
          </w:tcPr>
          <w:p>
            <w:pPr>
              <w:spacing w:after="0"/>
              <w:rPr>
                <w:sz w:val="24"/>
                <w:szCs w:val="24"/>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3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Address: V. Gerulaicio g. 10</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08200 Vilnius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Attention: Structured Loan Services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Email: sco@seb.se</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68"/>
        </w:trPr>
        <w:tc>
          <w:tcPr>
            <w:tcW w:w="340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Phone: +37052594847</w:t>
            </w:r>
          </w:p>
        </w:tc>
        <w:tc>
          <w:tcPr>
            <w:tcW w:w="3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r>
      <w:tr>
        <w:trPr>
          <w:trHeight w:val="20"/>
        </w:trPr>
        <w:tc>
          <w:tcPr>
            <w:tcW w:w="3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87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type w:val="continuous"/>
        </w:sectPr>
      </w:pPr>
    </w:p>
    <w:bookmarkStart w:id="373" w:name="page374"/>
    <w:bookmarkEnd w:id="373"/>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top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100" w:type="dxa"/>
            <w:vAlign w:val="bottom"/>
          </w:tcPr>
          <w:p>
            <w:pPr>
              <w:spacing w:after="0"/>
              <w:rPr>
                <w:sz w:val="20"/>
                <w:szCs w:val="20"/>
                <w:color w:val="auto"/>
              </w:rPr>
            </w:pPr>
          </w:p>
        </w:tc>
        <w:tc>
          <w:tcPr>
            <w:tcW w:w="6420" w:type="dxa"/>
            <w:vAlign w:val="bottom"/>
            <w:tcBorders>
              <w:right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color w:val="auto"/>
              </w:rPr>
              <w:t>Facility Office: Standard Chartered Bank (Singapore) Limited</w:t>
            </w:r>
          </w:p>
        </w:tc>
      </w:tr>
      <w:tr>
        <w:trPr>
          <w:trHeight w:val="270"/>
        </w:trPr>
        <w:tc>
          <w:tcPr>
            <w:tcW w:w="3400" w:type="dxa"/>
            <w:vAlign w:val="bottom"/>
            <w:tcBorders>
              <w:left w:val="single" w:sz="8" w:color="auto"/>
              <w:right w:val="single" w:sz="8" w:color="auto"/>
            </w:tcBorders>
            <w:shd w:val="clear" w:color="auto" w:fill="BFBFBF"/>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00" w:type="dxa"/>
            <w:vAlign w:val="bottom"/>
            <w:tcBorders>
              <w:right w:val="single" w:sz="8" w:color="auto"/>
            </w:tcBorders>
            <w:gridSpan w:val="10"/>
          </w:tcPr>
          <w:p>
            <w:pPr>
              <w:ind w:left="120"/>
              <w:spacing w:after="0"/>
              <w:rPr>
                <w:sz w:val="20"/>
                <w:szCs w:val="20"/>
                <w:color w:val="auto"/>
              </w:rPr>
            </w:pPr>
            <w:r>
              <w:rPr>
                <w:rFonts w:ascii="Times New Roman" w:cs="Times New Roman" w:eastAsia="Times New Roman" w:hAnsi="Times New Roman"/>
                <w:sz w:val="18"/>
                <w:szCs w:val="18"/>
                <w:color w:val="auto"/>
              </w:rPr>
              <w:t>Marina Bay Financial Centre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Tower 1,</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Level 27, 8 Marina Boulevard,</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Singapore 018981</w:t>
            </w:r>
          </w:p>
        </w:tc>
      </w:tr>
      <w:tr>
        <w:trPr>
          <w:trHeight w:val="446"/>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16"/>
          </w:tcPr>
          <w:p>
            <w:pPr>
              <w:ind w:left="80"/>
              <w:spacing w:after="0"/>
              <w:rPr>
                <w:sz w:val="20"/>
                <w:szCs w:val="20"/>
                <w:color w:val="auto"/>
              </w:rPr>
            </w:pPr>
            <w:r>
              <w:rPr>
                <w:rFonts w:ascii="Times New Roman" w:cs="Times New Roman" w:eastAsia="Times New Roman" w:hAnsi="Times New Roman"/>
                <w:sz w:val="18"/>
                <w:szCs w:val="18"/>
                <w:color w:val="auto"/>
              </w:rPr>
              <w:t>Notices and contact details</w:t>
            </w:r>
          </w:p>
        </w:tc>
      </w:tr>
      <w:tr>
        <w:trPr>
          <w:trHeight w:val="432"/>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For any payments and payments-related purposes:</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16"/>
          </w:tcPr>
          <w:p>
            <w:pPr>
              <w:ind w:left="80"/>
              <w:spacing w:after="0"/>
              <w:rPr>
                <w:sz w:val="20"/>
                <w:szCs w:val="20"/>
                <w:color w:val="auto"/>
              </w:rPr>
            </w:pPr>
            <w:r>
              <w:rPr>
                <w:rFonts w:ascii="Times New Roman" w:cs="Times New Roman" w:eastAsia="Times New Roman" w:hAnsi="Times New Roman"/>
                <w:sz w:val="18"/>
                <w:szCs w:val="18"/>
                <w:color w:val="auto"/>
              </w:rPr>
              <w:t>Address: Standard Chartered Bank (Singapore) Limited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80" w:type="dxa"/>
            <w:vAlign w:val="bottom"/>
            <w:tcBorders>
              <w:right w:val="single" w:sz="8" w:color="auto"/>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8 Marina Boulevard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80" w:type="dxa"/>
            <w:vAlign w:val="bottom"/>
            <w:tcBorders>
              <w:right w:val="single" w:sz="8" w:color="auto"/>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#27-01 Marina Bay Financial Centre</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80" w:type="dxa"/>
            <w:vAlign w:val="bottom"/>
            <w:tcBorders>
              <w:right w:val="single" w:sz="8" w:color="auto"/>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Singapore 018981</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16"/>
          </w:tcPr>
          <w:p>
            <w:pPr>
              <w:ind w:left="80"/>
              <w:spacing w:after="0"/>
              <w:rPr>
                <w:sz w:val="20"/>
                <w:szCs w:val="20"/>
                <w:color w:val="auto"/>
              </w:rPr>
            </w:pPr>
            <w:r>
              <w:rPr>
                <w:rFonts w:ascii="Times New Roman" w:cs="Times New Roman" w:eastAsia="Times New Roman" w:hAnsi="Times New Roman"/>
                <w:sz w:val="18"/>
                <w:szCs w:val="18"/>
                <w:color w:val="auto"/>
              </w:rPr>
              <w:t>Attention: Loan Processing Unit</w:t>
            </w:r>
          </w:p>
        </w:tc>
      </w:tr>
      <w:tr>
        <w:trPr>
          <w:trHeight w:val="194"/>
        </w:trPr>
        <w:tc>
          <w:tcPr>
            <w:tcW w:w="3400" w:type="dxa"/>
            <w:vAlign w:val="bottom"/>
            <w:tcBorders>
              <w:left w:val="single" w:sz="8" w:color="auto"/>
              <w:right w:val="single" w:sz="8" w:color="auto"/>
            </w:tcBorders>
            <w:shd w:val="clear" w:color="auto" w:fill="BFBFBF"/>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6"/>
                <w:szCs w:val="16"/>
                <w:color w:val="auto"/>
              </w:rPr>
            </w:pPr>
          </w:p>
        </w:tc>
        <w:tc>
          <w:tcPr>
            <w:tcW w:w="5600" w:type="dxa"/>
            <w:vAlign w:val="bottom"/>
            <w:tcBorders>
              <w:right w:val="single" w:sz="8" w:color="auto"/>
            </w:tcBorders>
            <w:gridSpan w:val="12"/>
          </w:tcPr>
          <w:p>
            <w:pPr>
              <w:spacing w:after="0" w:line="194" w:lineRule="exact"/>
              <w:rPr>
                <w:sz w:val="20"/>
                <w:szCs w:val="20"/>
                <w:color w:val="auto"/>
              </w:rPr>
            </w:pPr>
            <w:r>
              <w:rPr>
                <w:rFonts w:ascii="Times New Roman" w:cs="Times New Roman" w:eastAsia="Times New Roman" w:hAnsi="Times New Roman"/>
                <w:sz w:val="18"/>
                <w:szCs w:val="18"/>
                <w:color w:val="auto"/>
              </w:rPr>
              <w:t>sg.Loaninstructions@sc.com</w:t>
            </w:r>
          </w:p>
        </w:tc>
      </w:tr>
      <w:tr>
        <w:trPr>
          <w:trHeight w:val="20"/>
        </w:trPr>
        <w:tc>
          <w:tcPr>
            <w:tcW w:w="340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331"/>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6520" w:type="dxa"/>
            <w:vAlign w:val="bottom"/>
            <w:tcBorders>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For notices for credit and/or notices for any other matter:</w:t>
            </w: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8 Marina Boulevard, #27-01, Marina Bay Financial</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Centre Tower 1, Singapore 018981</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Ninad Dalvi</w:t>
            </w:r>
          </w:p>
        </w:tc>
      </w:tr>
      <w:tr>
        <w:trPr>
          <w:trHeight w:val="194"/>
        </w:trPr>
        <w:tc>
          <w:tcPr>
            <w:tcW w:w="3400" w:type="dxa"/>
            <w:vAlign w:val="bottom"/>
            <w:tcBorders>
              <w:left w:val="single" w:sz="8" w:color="auto"/>
              <w:bottom w:val="single" w:sz="8" w:color="BFBFBF"/>
              <w:right w:val="single" w:sz="8" w:color="auto"/>
            </w:tcBorders>
            <w:shd w:val="clear" w:color="auto" w:fill="BFBFBF"/>
          </w:tcPr>
          <w:p>
            <w:pPr>
              <w:spacing w:after="0"/>
              <w:rPr>
                <w:sz w:val="16"/>
                <w:szCs w:val="16"/>
                <w:color w:val="auto"/>
              </w:rPr>
            </w:pPr>
          </w:p>
        </w:tc>
        <w:tc>
          <w:tcPr>
            <w:tcW w:w="8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8"/>
              </w:rPr>
              <w:t>Ninad.Dalvi@sc.com</w:t>
            </w:r>
          </w:p>
        </w:tc>
        <w:tc>
          <w:tcPr>
            <w:tcW w:w="3740" w:type="dxa"/>
            <w:vAlign w:val="bottom"/>
            <w:tcBorders>
              <w:right w:val="single" w:sz="8" w:color="auto"/>
            </w:tcBorders>
            <w:gridSpan w:val="5"/>
          </w:tcPr>
          <w:p>
            <w:pPr>
              <w:spacing w:after="0"/>
              <w:rPr>
                <w:sz w:val="16"/>
                <w:szCs w:val="16"/>
                <w:color w:val="auto"/>
              </w:rPr>
            </w:pPr>
          </w:p>
        </w:tc>
      </w:tr>
      <w:tr>
        <w:trPr>
          <w:trHeight w:val="237"/>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+6590040325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414"/>
        </w:trPr>
        <w:tc>
          <w:tcPr>
            <w:tcW w:w="3400" w:type="dxa"/>
            <w:vAlign w:val="bottom"/>
            <w:tcBorders>
              <w:left w:val="single" w:sz="8" w:color="auto"/>
              <w:right w:val="single" w:sz="8" w:color="auto"/>
            </w:tcBorders>
            <w:shd w:val="clear" w:color="auto" w:fill="BFBFBF"/>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1 Basinghall Avenue,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rPr>
              <w:t>London - EC2V 5DD</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Audrey Cherbonnier / Thanos Papanikolaou</w:t>
            </w:r>
          </w:p>
        </w:tc>
      </w:tr>
      <w:tr>
        <w:trPr>
          <w:trHeight w:val="194"/>
        </w:trPr>
        <w:tc>
          <w:tcPr>
            <w:tcW w:w="3400" w:type="dxa"/>
            <w:vAlign w:val="bottom"/>
            <w:tcBorders>
              <w:left w:val="single" w:sz="8" w:color="auto"/>
              <w:right w:val="single" w:sz="8" w:color="auto"/>
            </w:tcBorders>
            <w:shd w:val="clear" w:color="auto" w:fill="BFBFBF"/>
          </w:tcPr>
          <w:p>
            <w:pPr>
              <w:spacing w:after="0"/>
              <w:rPr>
                <w:sz w:val="16"/>
                <w:szCs w:val="16"/>
                <w:color w:val="auto"/>
              </w:rPr>
            </w:pPr>
          </w:p>
        </w:tc>
        <w:tc>
          <w:tcPr>
            <w:tcW w:w="8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00" w:type="dxa"/>
            <w:vAlign w:val="bottom"/>
            <w:tcBorders>
              <w:right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Audrey.Cherbonnier@sc.com /</w:t>
            </w:r>
          </w:p>
        </w:tc>
      </w:tr>
      <w:tr>
        <w:trPr>
          <w:trHeight w:val="20"/>
        </w:trPr>
        <w:tc>
          <w:tcPr>
            <w:tcW w:w="340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196"/>
        </w:trPr>
        <w:tc>
          <w:tcPr>
            <w:tcW w:w="3400" w:type="dxa"/>
            <w:vAlign w:val="bottom"/>
            <w:tcBorders>
              <w:left w:val="single" w:sz="8" w:color="auto"/>
              <w:right w:val="single" w:sz="8" w:color="auto"/>
            </w:tcBorders>
            <w:shd w:val="clear" w:color="auto" w:fill="BFBFBF"/>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40" w:type="dxa"/>
            <w:vAlign w:val="bottom"/>
            <w:tcBorders>
              <w:right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athanasios.papanikolaou@sc.com</w:t>
            </w:r>
          </w:p>
        </w:tc>
      </w:tr>
      <w:tr>
        <w:trPr>
          <w:trHeight w:val="20"/>
        </w:trPr>
        <w:tc>
          <w:tcPr>
            <w:tcW w:w="340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290"/>
        </w:trPr>
        <w:tc>
          <w:tcPr>
            <w:tcW w:w="340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368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+442078852305 / +442078859120</w:t>
            </w:r>
          </w:p>
        </w:tc>
        <w:tc>
          <w:tcPr>
            <w:tcW w:w="1960" w:type="dxa"/>
            <w:vAlign w:val="bottom"/>
            <w:tcBorders>
              <w:right w:val="single" w:sz="8" w:color="auto"/>
            </w:tcBorders>
          </w:tcPr>
          <w:p>
            <w:pPr>
              <w:spacing w:after="0"/>
              <w:rPr>
                <w:sz w:val="24"/>
                <w:szCs w:val="24"/>
                <w:color w:val="auto"/>
              </w:rPr>
            </w:pPr>
          </w:p>
        </w:tc>
      </w:tr>
      <w:tr>
        <w:trPr>
          <w:trHeight w:val="426"/>
        </w:trPr>
        <w:tc>
          <w:tcPr>
            <w:tcW w:w="3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20" w:type="dxa"/>
            <w:vAlign w:val="bottom"/>
            <w:tcBorders>
              <w:top w:val="single" w:sz="8" w:color="auto"/>
            </w:tcBorders>
            <w:gridSpan w:val="15"/>
          </w:tcPr>
          <w:p>
            <w:pPr>
              <w:ind w:left="220"/>
              <w:spacing w:after="0"/>
              <w:rPr>
                <w:sz w:val="20"/>
                <w:szCs w:val="20"/>
                <w:color w:val="auto"/>
              </w:rPr>
            </w:pPr>
            <w:r>
              <w:rPr>
                <w:rFonts w:ascii="Times New Roman" w:cs="Times New Roman" w:eastAsia="Times New Roman" w:hAnsi="Times New Roman"/>
                <w:sz w:val="18"/>
                <w:szCs w:val="18"/>
                <w:b w:val="1"/>
                <w:bCs w:val="1"/>
                <w:color w:val="auto"/>
              </w:rPr>
              <w:t>The Original Hedging Providers</w:t>
            </w:r>
          </w:p>
        </w:tc>
      </w:tr>
      <w:tr>
        <w:trPr>
          <w:trHeight w:val="229"/>
        </w:trPr>
        <w:tc>
          <w:tcPr>
            <w:tcW w:w="3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232"/>
        </w:trPr>
        <w:tc>
          <w:tcPr>
            <w:tcW w:w="340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left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Alpha Bank S.A.</w:t>
            </w:r>
          </w:p>
        </w:tc>
      </w:tr>
      <w:tr>
        <w:trPr>
          <w:trHeight w:val="86"/>
        </w:trPr>
        <w:tc>
          <w:tcPr>
            <w:tcW w:w="3400" w:type="dxa"/>
            <w:vAlign w:val="bottom"/>
            <w:tcBorders>
              <w:left w:val="single" w:sz="8" w:color="auto"/>
              <w:bottom w:val="single" w:sz="8" w:color="auto"/>
              <w:right w:val="single" w:sz="8" w:color="BFBFBF"/>
            </w:tcBorders>
            <w:shd w:val="clear" w:color="auto" w:fill="BFBFBF"/>
          </w:tcPr>
          <w:p>
            <w:pPr>
              <w:spacing w:after="0"/>
              <w:rPr>
                <w:sz w:val="7"/>
                <w:szCs w:val="7"/>
                <w:color w:val="auto"/>
              </w:rPr>
            </w:pPr>
          </w:p>
        </w:tc>
        <w:tc>
          <w:tcPr>
            <w:tcW w:w="100" w:type="dxa"/>
            <w:vAlign w:val="bottom"/>
            <w:tcBorders>
              <w:left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BFBFBF"/>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left w:val="single" w:sz="8" w:color="auto"/>
              <w:right w:val="single" w:sz="8" w:color="auto"/>
            </w:tcBorders>
            <w:gridSpan w:val="16"/>
          </w:tcPr>
          <w:p>
            <w:pPr>
              <w:ind w:left="100"/>
              <w:spacing w:after="0" w:line="191" w:lineRule="exact"/>
              <w:rPr>
                <w:sz w:val="20"/>
                <w:szCs w:val="20"/>
                <w:color w:val="auto"/>
              </w:rPr>
            </w:pPr>
            <w:r>
              <w:rPr>
                <w:rFonts w:ascii="Times New Roman" w:cs="Times New Roman" w:eastAsia="Times New Roman" w:hAnsi="Times New Roman"/>
                <w:sz w:val="18"/>
                <w:szCs w:val="18"/>
                <w:color w:val="auto"/>
              </w:rPr>
              <w:t>Address: 93 Akti Miaouli, 185 38, Piraeus, Greece</w:t>
            </w:r>
          </w:p>
        </w:tc>
      </w:tr>
      <w:tr>
        <w:trPr>
          <w:trHeight w:val="216"/>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6520" w:type="dxa"/>
            <w:vAlign w:val="bottom"/>
            <w:tcBorders>
              <w:left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Attention: Konstantinos Flokos / Sotirios Georgakopoulos</w:t>
            </w:r>
          </w:p>
        </w:tc>
      </w:tr>
      <w:tr>
        <w:trPr>
          <w:trHeight w:val="194"/>
        </w:trPr>
        <w:tc>
          <w:tcPr>
            <w:tcW w:w="3400" w:type="dxa"/>
            <w:vAlign w:val="bottom"/>
            <w:tcBorders>
              <w:left w:val="single" w:sz="8" w:color="auto"/>
              <w:right w:val="single" w:sz="8" w:color="BFBFBF"/>
            </w:tcBorders>
            <w:shd w:val="clear" w:color="auto" w:fill="BFBFBF"/>
          </w:tcPr>
          <w:p>
            <w:pPr>
              <w:spacing w:after="0"/>
              <w:rPr>
                <w:sz w:val="16"/>
                <w:szCs w:val="16"/>
                <w:color w:val="auto"/>
              </w:rPr>
            </w:pPr>
          </w:p>
        </w:tc>
        <w:tc>
          <w:tcPr>
            <w:tcW w:w="6520" w:type="dxa"/>
            <w:vAlign w:val="bottom"/>
            <w:tcBorders>
              <w:left w:val="single" w:sz="8" w:color="auto"/>
              <w:right w:val="single" w:sz="8" w:color="auto"/>
            </w:tcBorders>
            <w:gridSpan w:val="16"/>
          </w:tcPr>
          <w:p>
            <w:pPr>
              <w:ind w:left="100"/>
              <w:spacing w:after="0" w:line="194" w:lineRule="exact"/>
              <w:rPr>
                <w:sz w:val="20"/>
                <w:szCs w:val="20"/>
                <w:color w:val="auto"/>
              </w:rPr>
            </w:pPr>
            <w:r>
              <w:rPr>
                <w:rFonts w:ascii="Times New Roman" w:cs="Times New Roman" w:eastAsia="Times New Roman" w:hAnsi="Times New Roman"/>
                <w:sz w:val="18"/>
                <w:szCs w:val="18"/>
                <w:color w:val="auto"/>
              </w:rPr>
              <w:t>Email: shipdivision@alpha.gr / konstantinos.flokos@alpha.gr /</w:t>
            </w:r>
          </w:p>
        </w:tc>
      </w:tr>
      <w:tr>
        <w:trPr>
          <w:trHeight w:val="20"/>
        </w:trPr>
        <w:tc>
          <w:tcPr>
            <w:tcW w:w="3400" w:type="dxa"/>
            <w:vAlign w:val="bottom"/>
            <w:tcBorders>
              <w:left w:val="single" w:sz="8" w:color="auto"/>
              <w:right w:val="single" w:sz="8" w:color="BFBFBF"/>
            </w:tcBorders>
            <w:shd w:val="clear" w:color="auto" w:fill="BFBFBF"/>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20" w:type="dxa"/>
            <w:vAlign w:val="bottom"/>
            <w:gridSpan w:val="5"/>
            <w:shd w:val="clear" w:color="auto" w:fill="000000"/>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r>
      <w:tr>
        <w:trPr>
          <w:trHeight w:val="196"/>
        </w:trPr>
        <w:tc>
          <w:tcPr>
            <w:tcW w:w="3400" w:type="dxa"/>
            <w:vAlign w:val="bottom"/>
            <w:tcBorders>
              <w:left w:val="single" w:sz="8" w:color="auto"/>
              <w:right w:val="single" w:sz="8" w:color="BFBFBF"/>
            </w:tcBorders>
            <w:shd w:val="clear" w:color="auto" w:fill="BFBFBF"/>
          </w:tcPr>
          <w:p>
            <w:pPr>
              <w:spacing w:after="0"/>
              <w:rPr>
                <w:sz w:val="17"/>
                <w:szCs w:val="17"/>
                <w:color w:val="auto"/>
              </w:rPr>
            </w:pPr>
          </w:p>
        </w:tc>
        <w:tc>
          <w:tcPr>
            <w:tcW w:w="6520" w:type="dxa"/>
            <w:vAlign w:val="bottom"/>
            <w:tcBorders>
              <w:left w:val="single" w:sz="8" w:color="auto"/>
              <w:right w:val="single" w:sz="8" w:color="auto"/>
            </w:tcBorders>
            <w:gridSpan w:val="16"/>
          </w:tcPr>
          <w:p>
            <w:pPr>
              <w:ind w:left="100"/>
              <w:spacing w:after="0" w:line="196" w:lineRule="exact"/>
              <w:rPr>
                <w:sz w:val="20"/>
                <w:szCs w:val="20"/>
                <w:color w:val="auto"/>
              </w:rPr>
            </w:pPr>
            <w:r>
              <w:rPr>
                <w:rFonts w:ascii="Times New Roman" w:cs="Times New Roman" w:eastAsia="Times New Roman" w:hAnsi="Times New Roman"/>
                <w:sz w:val="18"/>
                <w:szCs w:val="18"/>
                <w:color w:val="auto"/>
              </w:rPr>
              <w:t>sotirios.gorgakopoulos@alpha.gr</w:t>
            </w:r>
          </w:p>
        </w:tc>
      </w:tr>
      <w:tr>
        <w:trPr>
          <w:trHeight w:val="75"/>
        </w:trPr>
        <w:tc>
          <w:tcPr>
            <w:tcW w:w="3400" w:type="dxa"/>
            <w:vAlign w:val="bottom"/>
            <w:tcBorders>
              <w:top w:val="single" w:sz="8" w:color="BFBFBF"/>
              <w:left w:val="single" w:sz="8" w:color="auto"/>
              <w:bottom w:val="single" w:sz="8" w:color="auto"/>
              <w:right w:val="single" w:sz="8" w:color="BFBFBF"/>
            </w:tcBorders>
            <w:shd w:val="clear" w:color="auto" w:fill="BFBFBF"/>
          </w:tcPr>
          <w:p>
            <w:pPr>
              <w:spacing w:after="0"/>
              <w:rPr>
                <w:sz w:val="6"/>
                <w:szCs w:val="6"/>
                <w:color w:val="auto"/>
              </w:rPr>
            </w:pPr>
          </w:p>
        </w:tc>
        <w:tc>
          <w:tcPr>
            <w:tcW w:w="100" w:type="dxa"/>
            <w:vAlign w:val="bottom"/>
            <w:tcBorders>
              <w:left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r>
      <w:tr>
        <w:trPr>
          <w:trHeight w:val="223"/>
        </w:trPr>
        <w:tc>
          <w:tcPr>
            <w:tcW w:w="3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232"/>
        </w:trPr>
        <w:tc>
          <w:tcPr>
            <w:tcW w:w="340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tcBorders>
              <w:left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ABN AMRO BANK N.V.</w:t>
            </w:r>
          </w:p>
        </w:tc>
      </w:tr>
      <w:tr>
        <w:trPr>
          <w:trHeight w:val="86"/>
        </w:trPr>
        <w:tc>
          <w:tcPr>
            <w:tcW w:w="3400" w:type="dxa"/>
            <w:vAlign w:val="bottom"/>
            <w:tcBorders>
              <w:left w:val="single" w:sz="8" w:color="auto"/>
              <w:bottom w:val="single" w:sz="8" w:color="auto"/>
              <w:right w:val="single" w:sz="8" w:color="BFBFBF"/>
            </w:tcBorders>
            <w:shd w:val="clear" w:color="auto" w:fill="BFBFBF"/>
          </w:tcPr>
          <w:p>
            <w:pPr>
              <w:spacing w:after="0"/>
              <w:rPr>
                <w:sz w:val="7"/>
                <w:szCs w:val="7"/>
                <w:color w:val="auto"/>
              </w:rPr>
            </w:pPr>
          </w:p>
        </w:tc>
        <w:tc>
          <w:tcPr>
            <w:tcW w:w="100" w:type="dxa"/>
            <w:vAlign w:val="bottom"/>
            <w:tcBorders>
              <w:left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BFBFBF"/>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20" w:type="dxa"/>
            <w:vAlign w:val="bottom"/>
            <w:tcBorders>
              <w:left w:val="single" w:sz="8" w:color="auto"/>
              <w:right w:val="single" w:sz="8" w:color="auto"/>
            </w:tcBorders>
            <w:gridSpan w:val="16"/>
          </w:tcPr>
          <w:p>
            <w:pPr>
              <w:ind w:left="100"/>
              <w:spacing w:after="0" w:line="191" w:lineRule="exact"/>
              <w:rPr>
                <w:sz w:val="20"/>
                <w:szCs w:val="20"/>
                <w:color w:val="auto"/>
              </w:rPr>
            </w:pPr>
            <w:r>
              <w:rPr>
                <w:rFonts w:ascii="Times New Roman" w:cs="Times New Roman" w:eastAsia="Times New Roman" w:hAnsi="Times New Roman"/>
                <w:sz w:val="18"/>
                <w:szCs w:val="18"/>
                <w:color w:val="auto"/>
              </w:rPr>
              <w:t>Address: Gustav Mahlerlaan 10</w:t>
            </w:r>
          </w:p>
        </w:tc>
      </w:tr>
      <w:tr>
        <w:trPr>
          <w:trHeight w:val="216"/>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80" w:type="dxa"/>
            <w:vAlign w:val="bottom"/>
            <w:tcBorders>
              <w:right w:val="single" w:sz="8" w:color="auto"/>
            </w:tcBorders>
            <w:gridSpan w:val="14"/>
          </w:tcPr>
          <w:p>
            <w:pPr>
              <w:ind w:left="160"/>
              <w:spacing w:after="0"/>
              <w:rPr>
                <w:sz w:val="20"/>
                <w:szCs w:val="20"/>
                <w:color w:val="auto"/>
              </w:rPr>
            </w:pPr>
            <w:r>
              <w:rPr>
                <w:rFonts w:ascii="Times New Roman" w:cs="Times New Roman" w:eastAsia="Times New Roman" w:hAnsi="Times New Roman"/>
                <w:sz w:val="18"/>
                <w:szCs w:val="18"/>
                <w:color w:val="auto"/>
              </w:rPr>
              <w:t>1082 PP, Amsterdam</w:t>
            </w:r>
          </w:p>
        </w:tc>
      </w:tr>
      <w:tr>
        <w:trPr>
          <w:trHeight w:val="234"/>
        </w:trPr>
        <w:tc>
          <w:tcPr>
            <w:tcW w:w="3400" w:type="dxa"/>
            <w:vAlign w:val="bottom"/>
            <w:tcBorders>
              <w:left w:val="single" w:sz="8" w:color="auto"/>
              <w:right w:val="single" w:sz="8" w:color="BFBFBF"/>
            </w:tcBorders>
            <w:shd w:val="clear" w:color="auto" w:fill="BFBFBF"/>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80" w:type="dxa"/>
            <w:vAlign w:val="bottom"/>
            <w:tcBorders>
              <w:right w:val="single" w:sz="8" w:color="auto"/>
            </w:tcBorders>
            <w:gridSpan w:val="14"/>
          </w:tcPr>
          <w:p>
            <w:pPr>
              <w:ind w:left="160"/>
              <w:spacing w:after="0"/>
              <w:rPr>
                <w:sz w:val="20"/>
                <w:szCs w:val="20"/>
                <w:color w:val="auto"/>
              </w:rPr>
            </w:pPr>
            <w:r>
              <w:rPr>
                <w:rFonts w:ascii="Times New Roman" w:cs="Times New Roman" w:eastAsia="Times New Roman" w:hAnsi="Times New Roman"/>
                <w:sz w:val="18"/>
                <w:szCs w:val="18"/>
                <w:color w:val="auto"/>
              </w:rPr>
              <w:t>PAC: HQ7206</w:t>
            </w:r>
          </w:p>
        </w:tc>
      </w:tr>
      <w:tr>
        <w:trPr>
          <w:trHeight w:val="414"/>
        </w:trPr>
        <w:tc>
          <w:tcPr>
            <w:tcW w:w="3400" w:type="dxa"/>
            <w:vAlign w:val="bottom"/>
            <w:tcBorders>
              <w:left w:val="single" w:sz="8" w:color="auto"/>
              <w:right w:val="single" w:sz="8" w:color="BFBFBF"/>
            </w:tcBorders>
            <w:shd w:val="clear" w:color="auto" w:fill="BFBFBF"/>
          </w:tcPr>
          <w:p>
            <w:pPr>
              <w:spacing w:after="0"/>
              <w:rPr>
                <w:sz w:val="24"/>
                <w:szCs w:val="24"/>
                <w:color w:val="auto"/>
              </w:rPr>
            </w:pPr>
          </w:p>
        </w:tc>
        <w:tc>
          <w:tcPr>
            <w:tcW w:w="6520" w:type="dxa"/>
            <w:vAlign w:val="bottom"/>
            <w:tcBorders>
              <w:left w:val="single" w:sz="8" w:color="auto"/>
              <w:right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color w:val="auto"/>
              </w:rPr>
              <w:t>Attention: Legal Wealth, Markets &amp; Clearing (MDU)</w:t>
            </w:r>
          </w:p>
        </w:tc>
      </w:tr>
      <w:tr>
        <w:trPr>
          <w:trHeight w:val="194"/>
        </w:trPr>
        <w:tc>
          <w:tcPr>
            <w:tcW w:w="3400" w:type="dxa"/>
            <w:vAlign w:val="bottom"/>
            <w:tcBorders>
              <w:left w:val="single" w:sz="8" w:color="auto"/>
              <w:right w:val="single" w:sz="8" w:color="BFBFBF"/>
            </w:tcBorders>
            <w:shd w:val="clear" w:color="auto" w:fill="BFBFBF"/>
          </w:tcPr>
          <w:p>
            <w:pPr>
              <w:spacing w:after="0"/>
              <w:rPr>
                <w:sz w:val="16"/>
                <w:szCs w:val="16"/>
                <w:color w:val="auto"/>
              </w:rPr>
            </w:pPr>
          </w:p>
        </w:tc>
        <w:tc>
          <w:tcPr>
            <w:tcW w:w="880" w:type="dxa"/>
            <w:vAlign w:val="bottom"/>
            <w:tcBorders>
              <w:left w:val="single" w:sz="8" w:color="auto"/>
            </w:tcBorders>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5640" w:type="dxa"/>
            <w:vAlign w:val="bottom"/>
            <w:tcBorders>
              <w:right w:val="single" w:sz="8" w:color="auto"/>
            </w:tcBorders>
            <w:gridSpan w:val="13"/>
          </w:tcPr>
          <w:p>
            <w:pPr>
              <w:spacing w:after="0" w:line="194" w:lineRule="exact"/>
              <w:rPr>
                <w:sz w:val="20"/>
                <w:szCs w:val="20"/>
                <w:color w:val="auto"/>
              </w:rPr>
            </w:pPr>
            <w:r>
              <w:rPr>
                <w:rFonts w:ascii="Times New Roman" w:cs="Times New Roman" w:eastAsia="Times New Roman" w:hAnsi="Times New Roman"/>
                <w:sz w:val="18"/>
                <w:szCs w:val="18"/>
                <w:color w:val="auto"/>
              </w:rPr>
              <w:t>mdu@nl.abnamro.com</w:t>
            </w:r>
          </w:p>
        </w:tc>
      </w:tr>
      <w:tr>
        <w:trPr>
          <w:trHeight w:val="75"/>
        </w:trPr>
        <w:tc>
          <w:tcPr>
            <w:tcW w:w="3400" w:type="dxa"/>
            <w:vAlign w:val="bottom"/>
            <w:tcBorders>
              <w:top w:val="single" w:sz="8" w:color="BFBFBF"/>
              <w:left w:val="single" w:sz="8" w:color="auto"/>
              <w:bottom w:val="single" w:sz="8" w:color="auto"/>
              <w:right w:val="single" w:sz="8" w:color="BFBFBF"/>
            </w:tcBorders>
            <w:shd w:val="clear" w:color="auto" w:fill="BFBFBF"/>
          </w:tcPr>
          <w:p>
            <w:pPr>
              <w:spacing w:after="0"/>
              <w:rPr>
                <w:sz w:val="6"/>
                <w:szCs w:val="6"/>
                <w:color w:val="auto"/>
              </w:rPr>
            </w:pPr>
          </w:p>
        </w:tc>
        <w:tc>
          <w:tcPr>
            <w:tcW w:w="100" w:type="dxa"/>
            <w:vAlign w:val="bottom"/>
            <w:tcBorders>
              <w:left w:val="single" w:sz="8" w:color="auto"/>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238"/>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BNP PARIBAS</w:t>
            </w:r>
          </w:p>
        </w:tc>
      </w:tr>
      <w:tr>
        <w:trPr>
          <w:trHeight w:val="108"/>
        </w:trPr>
        <w:tc>
          <w:tcPr>
            <w:tcW w:w="2820" w:type="dxa"/>
            <w:vAlign w:val="bottom"/>
            <w:tcBorders>
              <w:bottom w:val="single" w:sz="8" w:color="auto"/>
            </w:tcBorders>
          </w:tcPr>
          <w:p>
            <w:pPr>
              <w:spacing w:after="0"/>
              <w:rPr>
                <w:sz w:val="9"/>
                <w:szCs w:val="9"/>
                <w:color w:val="auto"/>
              </w:rPr>
            </w:pPr>
          </w:p>
        </w:tc>
        <w:tc>
          <w:tcPr>
            <w:tcW w:w="7100" w:type="dxa"/>
            <w:vAlign w:val="bottom"/>
            <w:tcBorders>
              <w:bottom w:val="single" w:sz="8" w:color="auto"/>
            </w:tcBorders>
          </w:tcPr>
          <w:p>
            <w:pPr>
              <w:spacing w:after="0"/>
              <w:rPr>
                <w:sz w:val="9"/>
                <w:szCs w:val="9"/>
                <w:color w:val="auto"/>
              </w:rPr>
            </w:pPr>
          </w:p>
        </w:tc>
      </w:tr>
      <w:tr>
        <w:trPr>
          <w:trHeight w:val="191"/>
        </w:trPr>
        <w:tc>
          <w:tcPr>
            <w:tcW w:w="28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710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Address: BNP Paribas Head Office</w:t>
            </w:r>
          </w:p>
        </w:tc>
      </w:tr>
      <w:tr>
        <w:trPr>
          <w:trHeight w:val="217"/>
        </w:trPr>
        <w:tc>
          <w:tcPr>
            <w:tcW w:w="2820" w:type="dxa"/>
            <w:vAlign w:val="bottom"/>
          </w:tcPr>
          <w:p>
            <w:pPr>
              <w:spacing w:after="0"/>
              <w:rPr>
                <w:sz w:val="18"/>
                <w:szCs w:val="18"/>
                <w:color w:val="auto"/>
              </w:rPr>
            </w:pPr>
          </w:p>
        </w:tc>
        <w:tc>
          <w:tcPr>
            <w:tcW w:w="7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37 avenue de l</w:t>
            </w:r>
            <w:r>
              <w:rPr>
                <w:rFonts w:ascii="Arial" w:cs="Arial" w:eastAsia="Arial" w:hAnsi="Arial"/>
                <w:sz w:val="18"/>
                <w:szCs w:val="18"/>
                <w:color w:val="auto"/>
              </w:rPr>
              <w:t>’</w:t>
            </w:r>
            <w:r>
              <w:rPr>
                <w:rFonts w:ascii="Times New Roman" w:cs="Times New Roman" w:eastAsia="Times New Roman" w:hAnsi="Times New Roman"/>
                <w:sz w:val="18"/>
                <w:szCs w:val="18"/>
                <w:color w:val="auto"/>
              </w:rPr>
              <w:t>Op</w:t>
            </w:r>
            <w:r>
              <w:rPr>
                <w:rFonts w:ascii="Arial" w:cs="Arial" w:eastAsia="Arial" w:hAnsi="Arial"/>
                <w:sz w:val="18"/>
                <w:szCs w:val="18"/>
                <w:color w:val="auto"/>
              </w:rPr>
              <w:t>é</w:t>
            </w:r>
            <w:r>
              <w:rPr>
                <w:rFonts w:ascii="Times New Roman" w:cs="Times New Roman" w:eastAsia="Times New Roman" w:hAnsi="Times New Roman"/>
                <w:sz w:val="18"/>
                <w:szCs w:val="18"/>
                <w:color w:val="auto"/>
              </w:rPr>
              <w:t>ra</w:t>
            </w:r>
          </w:p>
        </w:tc>
      </w:tr>
      <w:tr>
        <w:trPr>
          <w:trHeight w:val="215"/>
        </w:trPr>
        <w:tc>
          <w:tcPr>
            <w:tcW w:w="2820" w:type="dxa"/>
            <w:vAlign w:val="bottom"/>
          </w:tcPr>
          <w:p>
            <w:pPr>
              <w:spacing w:after="0"/>
              <w:rPr>
                <w:sz w:val="18"/>
                <w:szCs w:val="18"/>
                <w:color w:val="auto"/>
              </w:rPr>
            </w:pPr>
          </w:p>
        </w:tc>
        <w:tc>
          <w:tcPr>
            <w:tcW w:w="71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75002 Paris</w:t>
            </w:r>
          </w:p>
        </w:tc>
      </w:tr>
      <w:tr>
        <w:trPr>
          <w:trHeight w:val="217"/>
        </w:trPr>
        <w:tc>
          <w:tcPr>
            <w:tcW w:w="2820" w:type="dxa"/>
            <w:vAlign w:val="bottom"/>
          </w:tcPr>
          <w:p>
            <w:pPr>
              <w:spacing w:after="0"/>
              <w:rPr>
                <w:sz w:val="18"/>
                <w:szCs w:val="18"/>
                <w:color w:val="auto"/>
              </w:rPr>
            </w:pPr>
          </w:p>
        </w:tc>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Attention: CIB Legal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Global Markets, CCFR Paris</w:t>
            </w:r>
          </w:p>
        </w:tc>
      </w:tr>
      <w:tr>
        <w:trPr>
          <w:trHeight w:val="216"/>
        </w:trPr>
        <w:tc>
          <w:tcPr>
            <w:tcW w:w="2820" w:type="dxa"/>
            <w:vAlign w:val="bottom"/>
          </w:tcPr>
          <w:p>
            <w:pPr>
              <w:spacing w:after="0"/>
              <w:rPr>
                <w:sz w:val="18"/>
                <w:szCs w:val="18"/>
                <w:color w:val="auto"/>
              </w:rPr>
            </w:pPr>
          </w:p>
        </w:tc>
        <w:tc>
          <w:tcPr>
            <w:tcW w:w="7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ACI CAL06A1</w:t>
            </w:r>
          </w:p>
        </w:tc>
      </w:tr>
      <w:tr>
        <w:trPr>
          <w:trHeight w:val="216"/>
        </w:trPr>
        <w:tc>
          <w:tcPr>
            <w:tcW w:w="2820" w:type="dxa"/>
            <w:vAlign w:val="bottom"/>
          </w:tcPr>
          <w:p>
            <w:pPr>
              <w:spacing w:after="0"/>
              <w:rPr>
                <w:sz w:val="18"/>
                <w:szCs w:val="18"/>
                <w:color w:val="auto"/>
              </w:rPr>
            </w:pPr>
          </w:p>
        </w:tc>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Email: dl.legal.derivatives.ccfr.france@bnpparibas.com</w:t>
            </w:r>
          </w:p>
        </w:tc>
      </w:tr>
      <w:tr>
        <w:trPr>
          <w:trHeight w:val="234"/>
        </w:trPr>
        <w:tc>
          <w:tcPr>
            <w:tcW w:w="2820" w:type="dxa"/>
            <w:vAlign w:val="bottom"/>
          </w:tcPr>
          <w:p>
            <w:pPr>
              <w:spacing w:after="0"/>
              <w:rPr>
                <w:sz w:val="20"/>
                <w:szCs w:val="20"/>
                <w:color w:val="auto"/>
              </w:rPr>
            </w:pPr>
          </w:p>
        </w:tc>
        <w:tc>
          <w:tcPr>
            <w:tcW w:w="7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Facsimile No: +(44) 207 595 2555: +(33) (0) 1 42 98 38 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-1182370</wp:posOffset>
            </wp:positionV>
            <wp:extent cx="6292215" cy="27171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6292215" cy="2717165"/>
                    </a:xfrm>
                    <a:prstGeom prst="rect">
                      <a:avLst/>
                    </a:prstGeom>
                    <a:noFill/>
                  </pic:spPr>
                </pic:pic>
              </a:graphicData>
            </a:graphic>
          </wp:anchor>
        </w:drawing>
      </w:r>
    </w:p>
    <w:p>
      <w:pPr>
        <w:spacing w:after="0" w:line="1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Mandatory copy to:</w:t>
      </w:r>
    </w:p>
    <w:p>
      <w:pPr>
        <w:spacing w:after="0" w:line="10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BNP Paribas, London branch</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Address: BNP Paribas, London Branch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10 Harewood Avenue</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London NW1 6AA</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England</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Attention: CIB Legal - Master Agreement Team</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Phone: +(44) 207 595 2000</w:t>
      </w:r>
    </w:p>
    <w:p>
      <w:pPr>
        <w:spacing w:after="0" w:line="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Facsimile No:+(44) 207 595 2555</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Borders>
              <w:top w:val="single" w:sz="8" w:color="auto"/>
            </w:tcBorders>
          </w:tcPr>
          <w:p>
            <w:pPr>
              <w:spacing w:after="0"/>
              <w:rPr>
                <w:sz w:val="21"/>
                <w:szCs w:val="21"/>
                <w:color w:val="auto"/>
              </w:rPr>
            </w:pPr>
          </w:p>
        </w:tc>
        <w:tc>
          <w:tcPr>
            <w:tcW w:w="64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tc>
        <w:tc>
          <w:tcPr>
            <w:tcW w:w="20" w:type="dxa"/>
            <w:vAlign w:val="bottom"/>
            <w:tcBorders>
              <w:top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80" w:type="dxa"/>
            <w:vAlign w:val="bottom"/>
          </w:tcPr>
          <w:p>
            <w:pPr>
              <w:spacing w:after="0"/>
              <w:rPr>
                <w:sz w:val="16"/>
                <w:szCs w:val="16"/>
                <w:color w:val="auto"/>
              </w:rPr>
            </w:pPr>
          </w:p>
        </w:tc>
        <w:tc>
          <w:tcPr>
            <w:tcW w:w="642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1 North Wall Quay, Dublin 1</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20" w:type="dxa"/>
            <w:vAlign w:val="bottom"/>
          </w:tcPr>
          <w:p>
            <w:pPr>
              <w:spacing w:after="0"/>
              <w:rPr>
                <w:sz w:val="18"/>
                <w:szCs w:val="18"/>
                <w:color w:val="auto"/>
              </w:rPr>
            </w:pPr>
          </w:p>
        </w:tc>
        <w:tc>
          <w:tcPr>
            <w:tcW w:w="56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Country Legal Counsel</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6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Facsimile no:   +353 622 2222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w:t>
            </w:r>
          </w:p>
        </w:tc>
        <w:tc>
          <w:tcPr>
            <w:tcW w:w="1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+353 1 622 2000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2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Pr>
          <w:p>
            <w:pPr>
              <w:spacing w:after="0"/>
              <w:rPr>
                <w:sz w:val="24"/>
                <w:szCs w:val="24"/>
                <w:color w:val="auto"/>
              </w:rPr>
            </w:pPr>
          </w:p>
        </w:tc>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fiuk.irderdesksup@citi.com</w:t>
            </w:r>
          </w:p>
        </w:tc>
        <w:tc>
          <w:tcPr>
            <w:tcW w:w="3560" w:type="dxa"/>
            <w:vAlign w:val="bottom"/>
            <w:gridSpan w:val="4"/>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20" w:type="dxa"/>
            <w:vAlign w:val="bottom"/>
            <w:tcBorders>
              <w:left w:val="single" w:sz="8" w:color="auto"/>
              <w:right w:val="single" w:sz="8" w:color="auto"/>
            </w:tcBorders>
            <w:shd w:val="clear" w:color="auto" w:fill="BFBFBF"/>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fistructured.support@citi.com</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BFBFBF"/>
              <w:left w:val="single" w:sz="8" w:color="auto"/>
              <w:right w:val="single" w:sz="8" w:color="auto"/>
            </w:tcBorders>
            <w:shd w:val="clear" w:color="auto" w:fill="BFBFBF"/>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ratessales.midoff@citi.com</w:t>
            </w:r>
          </w:p>
        </w:tc>
        <w:tc>
          <w:tcPr>
            <w:tcW w:w="3460" w:type="dxa"/>
            <w:vAlign w:val="bottom"/>
            <w:gridSpan w:val="3"/>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2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 GasLog</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gridSpan w:val="2"/>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64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gridSpan w:val="11"/>
          </w:tcPr>
          <w:p>
            <w:pPr>
              <w:ind w:left="80"/>
              <w:spacing w:after="0" w:line="191" w:lineRule="exact"/>
              <w:rPr>
                <w:sz w:val="20"/>
                <w:szCs w:val="20"/>
                <w:color w:val="auto"/>
              </w:rPr>
            </w:pPr>
            <w:r>
              <w:rPr>
                <w:rFonts w:ascii="Times New Roman" w:cs="Times New Roman" w:eastAsia="Times New Roman" w:hAnsi="Times New Roman"/>
                <w:sz w:val="18"/>
                <w:szCs w:val="18"/>
                <w:color w:val="auto"/>
              </w:rPr>
              <w:t>Address: St. Alban-Graben 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40" w:type="dxa"/>
            <w:vAlign w:val="bottom"/>
            <w:tcBorders>
              <w:right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color w:val="auto"/>
              </w:rPr>
              <w:t>4051 Basel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40" w:type="dxa"/>
            <w:vAlign w:val="bottom"/>
            <w:tcBorders>
              <w:right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64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Attention: Antonios Tsoukalis / Ioannis Efstathopoulos / Marie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80" w:type="dxa"/>
            <w:vAlign w:val="bottom"/>
          </w:tcPr>
          <w:p>
            <w:pPr>
              <w:spacing w:after="0"/>
              <w:rPr>
                <w:sz w:val="18"/>
                <w:szCs w:val="18"/>
                <w:color w:val="auto"/>
              </w:rPr>
            </w:pPr>
          </w:p>
        </w:tc>
        <w:tc>
          <w:tcPr>
            <w:tcW w:w="64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Zimmermann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20" w:type="dxa"/>
            <w:vAlign w:val="bottom"/>
            <w:tcBorders>
              <w:left w:val="single" w:sz="8" w:color="auto"/>
              <w:right w:val="single" w:sz="8" w:color="auto"/>
            </w:tcBorders>
            <w:shd w:val="clear" w:color="auto" w:fill="BFBFBF"/>
          </w:tcPr>
          <w:p>
            <w:pPr>
              <w:spacing w:after="0"/>
              <w:rPr>
                <w:sz w:val="16"/>
                <w:szCs w:val="16"/>
                <w:color w:val="auto"/>
              </w:rPr>
            </w:pPr>
          </w:p>
        </w:tc>
        <w:tc>
          <w:tcPr>
            <w:tcW w:w="80" w:type="dxa"/>
            <w:vAlign w:val="bottom"/>
          </w:tcPr>
          <w:p>
            <w:pPr>
              <w:spacing w:after="0"/>
              <w:rPr>
                <w:sz w:val="16"/>
                <w:szCs w:val="16"/>
                <w:color w:val="auto"/>
              </w:rPr>
            </w:pPr>
          </w:p>
        </w:tc>
        <w:tc>
          <w:tcPr>
            <w:tcW w:w="6420" w:type="dxa"/>
            <w:vAlign w:val="bottom"/>
            <w:tcBorders>
              <w:right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Email:antonios.tsoukalis@credit-suisse.com/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4"/>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tcBorders>
              <w:left w:val="single" w:sz="8" w:color="auto"/>
              <w:bottom w:val="single" w:sz="8" w:color="BFBFBF"/>
              <w:right w:val="single" w:sz="8" w:color="auto"/>
            </w:tcBorders>
            <w:shd w:val="clear" w:color="auto" w:fill="BFBFBF"/>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ioannis.efstathopoulos@credit-suisse.com/</w:t>
            </w:r>
          </w:p>
        </w:tc>
        <w:tc>
          <w:tcPr>
            <w:tcW w:w="3320" w:type="dxa"/>
            <w:vAlign w:val="bottom"/>
            <w:tcBorders>
              <w:right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left w:val="single" w:sz="8" w:color="auto"/>
              <w:bottom w:val="single" w:sz="8" w:color="BFBFBF"/>
              <w:right w:val="single" w:sz="8" w:color="auto"/>
            </w:tcBorders>
            <w:shd w:val="clear" w:color="auto" w:fill="BFBFBF"/>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marie.zimmermann@credit-suisse.com</w:t>
            </w:r>
          </w:p>
        </w:tc>
        <w:tc>
          <w:tcPr>
            <w:tcW w:w="3580" w:type="dxa"/>
            <w:vAlign w:val="bottom"/>
            <w:tcBorders>
              <w:right w:val="single" w:sz="8" w:color="auto"/>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80" w:type="dxa"/>
            <w:vAlign w:val="bottom"/>
          </w:tcPr>
          <w:p>
            <w:pPr>
              <w:spacing w:after="0"/>
              <w:rPr>
                <w:sz w:val="23"/>
                <w:szCs w:val="23"/>
                <w:color w:val="auto"/>
              </w:rPr>
            </w:pPr>
          </w:p>
        </w:tc>
        <w:tc>
          <w:tcPr>
            <w:tcW w:w="64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Phone: +41 61 266 70 97 / +41 61 266 77 01 / +41 61 266 76 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16" w:right="979" w:bottom="1440" w:gutter="0" w:footer="0" w:header="0"/>
        </w:sectPr>
      </w:pPr>
    </w:p>
    <w:bookmarkStart w:id="375" w:name="page376"/>
    <w:bookmarkEnd w:id="375"/>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DNB Bank ASA</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0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Address: 8th Floor, The Walbrook Building</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25 Walbrook</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London EC4N 8AF</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Contacts: CMOA Department / Kay Newman</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cmoalondon@dnb.no / kay.newman@dnb.no</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+44 (0)207 621 1111 / +44 (0)7918690732</w:t>
            </w:r>
          </w:p>
        </w:tc>
      </w:tr>
      <w:tr>
        <w:trPr>
          <w:trHeight w:val="268"/>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+44 (0)207 283 5935</w:t>
            </w: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500" w:type="dxa"/>
            <w:vAlign w:val="bottom"/>
            <w:tcBorders>
              <w:right w:val="single" w:sz="8" w:color="auto"/>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ING Bank N.V.</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0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Address: Foppingadreef 7</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P.O.Box 1800</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NL-1000 BV Amsterdam</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Operations / Derivatives / TRC 00.13</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Trade.Processing.Derivatives.AMS@INGBank.com</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Phone: N/A</w:t>
            </w:r>
          </w:p>
        </w:tc>
      </w:tr>
      <w:tr>
        <w:trPr>
          <w:trHeight w:val="268"/>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Fax: +31 (0) 205013381</w:t>
            </w: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5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sales, credit and/or notices for any other matter:</w:t>
            </w:r>
          </w:p>
        </w:tc>
      </w:tr>
      <w:tr>
        <w:trPr>
          <w:trHeight w:val="270"/>
        </w:trPr>
        <w:tc>
          <w:tcPr>
            <w:tcW w:w="3420" w:type="dxa"/>
            <w:vAlign w:val="bottom"/>
            <w:tcBorders>
              <w:left w:val="single" w:sz="8" w:color="auto"/>
              <w:right w:val="single" w:sz="8" w:color="auto"/>
            </w:tcBorders>
            <w:shd w:val="clear" w:color="auto" w:fill="BFBFBF"/>
          </w:tcPr>
          <w:p>
            <w:pPr>
              <w:spacing w:after="0"/>
              <w:rPr>
                <w:sz w:val="23"/>
                <w:szCs w:val="23"/>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David Hackett</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Rosalind Hong</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5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+65 9787 1859</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+65 9787 9140</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david.x.hackett@nabasia.com</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940" w:type="dxa"/>
            <w:vAlign w:val="bottom"/>
          </w:tcPr>
          <w:p>
            <w:pPr>
              <w:spacing w:after="0"/>
              <w:rPr>
                <w:sz w:val="20"/>
                <w:szCs w:val="20"/>
                <w:color w:val="auto"/>
              </w:rPr>
            </w:pPr>
          </w:p>
        </w:tc>
        <w:tc>
          <w:tcPr>
            <w:tcW w:w="5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rosalind.hong@nabasia.com</w:t>
            </w:r>
          </w:p>
        </w:tc>
      </w:tr>
      <w:tr>
        <w:trPr>
          <w:trHeight w:val="405"/>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confirmations and related purposes:</w:t>
            </w:r>
          </w:p>
        </w:tc>
      </w:tr>
      <w:tr>
        <w:trPr>
          <w:trHeight w:val="414"/>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19, 395 Bourke Street</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Melbourne, VIC 3000</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spacing w:after="0"/>
              <w:rPr>
                <w:sz w:val="18"/>
                <w:szCs w:val="18"/>
                <w:color w:val="auto"/>
              </w:rPr>
            </w:pPr>
          </w:p>
        </w:tc>
        <w:tc>
          <w:tcPr>
            <w:tcW w:w="5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Attention:</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OTC Confirmations</w:t>
            </w:r>
          </w:p>
        </w:tc>
      </w:tr>
      <w:tr>
        <w:trPr>
          <w:trHeight w:val="268"/>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5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otc.confirmations@nab.com.au</w:t>
            </w: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5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76" w:name="page377"/>
    <w:bookmarkEnd w:id="376"/>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500" w:type="dxa"/>
            <w:vAlign w:val="bottom"/>
            <w:tcBorders>
              <w:bottom w:val="single" w:sz="8" w:color="auto"/>
              <w:right w:val="single" w:sz="8" w:color="auto"/>
            </w:tcBorders>
          </w:tcPr>
          <w:p>
            <w:pPr>
              <w:spacing w:after="0"/>
              <w:rPr>
                <w:sz w:val="7"/>
                <w:szCs w:val="7"/>
                <w:color w:val="auto"/>
              </w:rPr>
            </w:pPr>
          </w:p>
        </w:tc>
      </w:tr>
      <w:tr>
        <w:trPr>
          <w:trHeight w:val="191"/>
        </w:trPr>
        <w:tc>
          <w:tcPr>
            <w:tcW w:w="3420" w:type="dxa"/>
            <w:vAlign w:val="bottom"/>
            <w:tcBorders>
              <w:left w:val="single" w:sz="8" w:color="auto"/>
              <w:right w:val="single" w:sz="8" w:color="auto"/>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Address: Akadimias 68</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10678 Athens Greece</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Mr. Thanos Cholevas</w:t>
            </w:r>
          </w:p>
        </w:tc>
      </w:tr>
      <w:tr>
        <w:trPr>
          <w:trHeight w:val="268"/>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   cholevas.thanos@nbg.gr</w:t>
            </w: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5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2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top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Nordea Bank Abp</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notices for sales, credit and/or notices for any other matter:</w:t>
            </w:r>
          </w:p>
        </w:tc>
      </w:tr>
      <w:tr>
        <w:trPr>
          <w:trHeight w:val="391"/>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Address: c/o Nordea Danmark, Filial af Nordea Bank Abp, Finland</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7288 Derivatives Services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Postbox 850</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DK-0900 Copenhagen C</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Denmark</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Phone: +45 55 47 51 71</w:t>
            </w:r>
          </w:p>
        </w:tc>
      </w:tr>
      <w:tr>
        <w:trPr>
          <w:trHeight w:val="283"/>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E-mail: otc@nordea.com</w:t>
            </w:r>
          </w:p>
        </w:tc>
      </w:tr>
      <w:tr>
        <w:trPr>
          <w:trHeight w:val="20"/>
        </w:trPr>
        <w:tc>
          <w:tcPr>
            <w:tcW w:w="342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Borders>
              <w:right w:val="single" w:sz="8" w:color="auto"/>
            </w:tcBorders>
          </w:tcPr>
          <w:p>
            <w:pPr>
              <w:spacing w:after="0" w:line="20" w:lineRule="exact"/>
              <w:rPr>
                <w:sz w:val="1"/>
                <w:szCs w:val="1"/>
                <w:color w:val="auto"/>
              </w:rPr>
            </w:pPr>
          </w:p>
        </w:tc>
      </w:tr>
      <w:tr>
        <w:trPr>
          <w:trHeight w:val="453"/>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Attention: Derivatives Services</w:t>
            </w:r>
          </w:p>
        </w:tc>
      </w:tr>
      <w:tr>
        <w:trPr>
          <w:trHeight w:val="432"/>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confirmations and related purposes:</w:t>
            </w:r>
          </w:p>
        </w:tc>
      </w:tr>
      <w:tr>
        <w:trPr>
          <w:trHeight w:val="306"/>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Address: c/o Nordea Danmark, Filial af Nordea Bank Abp, Finland</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7288 Derivatives Services</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Postbox 850</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DK-0900 Copenhagen C</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680" w:type="dxa"/>
            <w:vAlign w:val="bottom"/>
          </w:tcPr>
          <w:p>
            <w:pPr>
              <w:spacing w:after="0"/>
              <w:rPr>
                <w:sz w:val="20"/>
                <w:szCs w:val="20"/>
                <w:color w:val="auto"/>
              </w:rPr>
            </w:pPr>
          </w:p>
        </w:tc>
        <w:tc>
          <w:tcPr>
            <w:tcW w:w="582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Denmark</w:t>
            </w:r>
          </w:p>
        </w:tc>
      </w:tr>
      <w:tr>
        <w:trPr>
          <w:trHeight w:val="427"/>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Phone: +45 55 47 51 71</w:t>
            </w:r>
          </w:p>
        </w:tc>
      </w:tr>
      <w:tr>
        <w:trPr>
          <w:trHeight w:val="194"/>
        </w:trPr>
        <w:tc>
          <w:tcPr>
            <w:tcW w:w="3420" w:type="dxa"/>
            <w:vAlign w:val="bottom"/>
            <w:tcBorders>
              <w:left w:val="single" w:sz="8" w:color="auto"/>
              <w:right w:val="single" w:sz="8" w:color="auto"/>
            </w:tcBorders>
            <w:shd w:val="clear" w:color="auto" w:fill="BFBFBF"/>
          </w:tcPr>
          <w:p>
            <w:pPr>
              <w:spacing w:after="0"/>
              <w:rPr>
                <w:sz w:val="16"/>
                <w:szCs w:val="16"/>
                <w:color w:val="auto"/>
              </w:rPr>
            </w:pPr>
          </w:p>
        </w:tc>
        <w:tc>
          <w:tcPr>
            <w:tcW w:w="6500" w:type="dxa"/>
            <w:vAlign w:val="bottom"/>
            <w:tcBorders>
              <w:right w:val="single" w:sz="8" w:color="auto"/>
            </w:tcBorders>
            <w:gridSpan w:val="6"/>
          </w:tcPr>
          <w:p>
            <w:pPr>
              <w:ind w:left="80"/>
              <w:spacing w:after="0" w:line="194" w:lineRule="exact"/>
              <w:rPr>
                <w:sz w:val="20"/>
                <w:szCs w:val="20"/>
                <w:color w:val="auto"/>
              </w:rPr>
            </w:pPr>
            <w:r>
              <w:rPr>
                <w:rFonts w:ascii="Times New Roman" w:cs="Times New Roman" w:eastAsia="Times New Roman" w:hAnsi="Times New Roman"/>
                <w:sz w:val="18"/>
                <w:szCs w:val="18"/>
                <w:color w:val="auto"/>
              </w:rPr>
              <w:t>E-mail: otc@nordea.com</w:t>
            </w:r>
          </w:p>
        </w:tc>
      </w:tr>
      <w:tr>
        <w:trPr>
          <w:trHeight w:val="20"/>
        </w:trPr>
        <w:tc>
          <w:tcPr>
            <w:tcW w:w="3420" w:type="dxa"/>
            <w:vAlign w:val="bottom"/>
            <w:tcBorders>
              <w:left w:val="single" w:sz="8" w:color="auto"/>
              <w:right w:val="single" w:sz="8" w:color="auto"/>
            </w:tcBorders>
            <w:shd w:val="clear" w:color="auto" w:fill="BFBFB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Borders>
              <w:right w:val="single" w:sz="8" w:color="auto"/>
            </w:tcBorders>
          </w:tcPr>
          <w:p>
            <w:pPr>
              <w:spacing w:after="0" w:line="20" w:lineRule="exact"/>
              <w:rPr>
                <w:sz w:val="1"/>
                <w:szCs w:val="1"/>
                <w:color w:val="auto"/>
              </w:rPr>
            </w:pPr>
          </w:p>
        </w:tc>
      </w:tr>
      <w:tr>
        <w:trPr>
          <w:trHeight w:val="291"/>
        </w:trPr>
        <w:tc>
          <w:tcPr>
            <w:tcW w:w="342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Attention: Derivatives Services</w:t>
            </w:r>
          </w:p>
        </w:tc>
      </w:tr>
      <w:tr>
        <w:trPr>
          <w:trHeight w:val="223"/>
        </w:trPr>
        <w:tc>
          <w:tcPr>
            <w:tcW w:w="3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Oversea- Chinese Banking Corporation Limited</w:t>
            </w:r>
          </w:p>
        </w:tc>
      </w:tr>
      <w:tr>
        <w:trPr>
          <w:trHeight w:val="86"/>
        </w:trPr>
        <w:tc>
          <w:tcPr>
            <w:tcW w:w="342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r>
      <w:tr>
        <w:trPr>
          <w:trHeight w:val="232"/>
        </w:trPr>
        <w:tc>
          <w:tcPr>
            <w:tcW w:w="342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Facility Office: Oversea-Chinese Banking Corporation Limited</w:t>
            </w:r>
          </w:p>
        </w:tc>
      </w:tr>
      <w:tr>
        <w:trPr>
          <w:trHeight w:val="283"/>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Address: Level 10, OCBC Centre,</w:t>
            </w:r>
          </w:p>
        </w:tc>
      </w:tr>
      <w:tr>
        <w:trPr>
          <w:trHeight w:val="216"/>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spacing w:after="0"/>
              <w:rPr>
                <w:sz w:val="18"/>
                <w:szCs w:val="18"/>
                <w:color w:val="auto"/>
              </w:rPr>
            </w:pPr>
          </w:p>
        </w:tc>
        <w:tc>
          <w:tcPr>
            <w:tcW w:w="58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65 Chulia Street,</w:t>
            </w:r>
          </w:p>
        </w:tc>
      </w:tr>
      <w:tr>
        <w:trPr>
          <w:trHeight w:val="234"/>
        </w:trPr>
        <w:tc>
          <w:tcPr>
            <w:tcW w:w="3420" w:type="dxa"/>
            <w:vAlign w:val="bottom"/>
            <w:tcBorders>
              <w:left w:val="single" w:sz="8" w:color="auto"/>
              <w:right w:val="single" w:sz="8" w:color="auto"/>
            </w:tcBorders>
            <w:shd w:val="clear" w:color="auto" w:fill="BFBFBF"/>
          </w:tcPr>
          <w:p>
            <w:pPr>
              <w:spacing w:after="0"/>
              <w:rPr>
                <w:sz w:val="20"/>
                <w:szCs w:val="20"/>
                <w:color w:val="auto"/>
              </w:rPr>
            </w:pPr>
          </w:p>
        </w:tc>
        <w:tc>
          <w:tcPr>
            <w:tcW w:w="680" w:type="dxa"/>
            <w:vAlign w:val="bottom"/>
          </w:tcPr>
          <w:p>
            <w:pPr>
              <w:spacing w:after="0"/>
              <w:rPr>
                <w:sz w:val="20"/>
                <w:szCs w:val="20"/>
                <w:color w:val="auto"/>
              </w:rPr>
            </w:pPr>
          </w:p>
        </w:tc>
        <w:tc>
          <w:tcPr>
            <w:tcW w:w="58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Singapore, 049513</w:t>
            </w:r>
          </w:p>
        </w:tc>
      </w:tr>
      <w:tr>
        <w:trPr>
          <w:trHeight w:val="432"/>
        </w:trPr>
        <w:tc>
          <w:tcPr>
            <w:tcW w:w="3420" w:type="dxa"/>
            <w:vAlign w:val="bottom"/>
            <w:tcBorders>
              <w:left w:val="single" w:sz="8" w:color="auto"/>
              <w:right w:val="single" w:sz="8" w:color="auto"/>
            </w:tcBorders>
            <w:shd w:val="clear" w:color="auto" w:fill="BFBFBF"/>
          </w:tcPr>
          <w:p>
            <w:pPr>
              <w:spacing w:after="0"/>
              <w:rPr>
                <w:sz w:val="24"/>
                <w:szCs w:val="24"/>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Contacts: Angeline Teo / Ian Thia / Li Ke</w:t>
            </w:r>
          </w:p>
        </w:tc>
      </w:tr>
      <w:tr>
        <w:trPr>
          <w:trHeight w:val="270"/>
        </w:trPr>
        <w:tc>
          <w:tcPr>
            <w:tcW w:w="3420" w:type="dxa"/>
            <w:vAlign w:val="bottom"/>
            <w:tcBorders>
              <w:left w:val="single" w:sz="8" w:color="auto"/>
              <w:right w:val="single" w:sz="8" w:color="auto"/>
            </w:tcBorders>
            <w:shd w:val="clear" w:color="auto" w:fill="BFBFBF"/>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280" w:type="dxa"/>
            <w:vAlign w:val="bottom"/>
          </w:tcPr>
          <w:p>
            <w:pPr>
              <w:spacing w:after="0"/>
              <w:rPr>
                <w:sz w:val="23"/>
                <w:szCs w:val="23"/>
                <w:color w:val="auto"/>
              </w:rPr>
            </w:pPr>
          </w:p>
        </w:tc>
        <w:tc>
          <w:tcPr>
            <w:tcW w:w="55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AngelineTeo@ocbc.com/IanThia@ocbc.com/</w:t>
            </w:r>
          </w:p>
        </w:tc>
      </w:tr>
      <w:tr>
        <w:trPr>
          <w:trHeight w:val="196"/>
        </w:trPr>
        <w:tc>
          <w:tcPr>
            <w:tcW w:w="3420" w:type="dxa"/>
            <w:vAlign w:val="bottom"/>
            <w:tcBorders>
              <w:top w:val="single" w:sz="8" w:color="BFBFBF"/>
              <w:left w:val="single" w:sz="8" w:color="auto"/>
              <w:bottom w:val="single" w:sz="8" w:color="BFBFBF"/>
              <w:right w:val="single" w:sz="8" w:color="auto"/>
            </w:tcBorders>
            <w:shd w:val="clear" w:color="auto" w:fill="BFBFBF"/>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LiKe@ocbc.com</w:t>
            </w:r>
          </w:p>
        </w:tc>
        <w:tc>
          <w:tcPr>
            <w:tcW w:w="2020" w:type="dxa"/>
            <w:vAlign w:val="bottom"/>
            <w:tcBorders>
              <w:top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r>
      <w:tr>
        <w:trPr>
          <w:trHeight w:val="218"/>
        </w:trPr>
        <w:tc>
          <w:tcPr>
            <w:tcW w:w="3420" w:type="dxa"/>
            <w:vAlign w:val="bottom"/>
            <w:tcBorders>
              <w:left w:val="single" w:sz="8" w:color="auto"/>
              <w:right w:val="single" w:sz="8" w:color="auto"/>
            </w:tcBorders>
            <w:shd w:val="clear" w:color="auto" w:fill="BFBFBF"/>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35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+65 6530 8708 / 6318 7616 / 6428 7685</w:t>
            </w:r>
          </w:p>
        </w:tc>
        <w:tc>
          <w:tcPr>
            <w:tcW w:w="2280" w:type="dxa"/>
            <w:vAlign w:val="bottom"/>
            <w:tcBorders>
              <w:right w:val="single" w:sz="8" w:color="auto"/>
            </w:tcBorders>
          </w:tcPr>
          <w:p>
            <w:pPr>
              <w:spacing w:after="0"/>
              <w:rPr>
                <w:sz w:val="18"/>
                <w:szCs w:val="18"/>
                <w:color w:val="auto"/>
              </w:rPr>
            </w:pPr>
          </w:p>
        </w:tc>
      </w:tr>
      <w:tr>
        <w:trPr>
          <w:trHeight w:val="268"/>
        </w:trPr>
        <w:tc>
          <w:tcPr>
            <w:tcW w:w="3420" w:type="dxa"/>
            <w:vAlign w:val="bottom"/>
            <w:tcBorders>
              <w:left w:val="single" w:sz="8" w:color="auto"/>
              <w:bottom w:val="single" w:sz="8" w:color="BFBFBF"/>
              <w:right w:val="single" w:sz="8" w:color="auto"/>
            </w:tcBorders>
            <w:shd w:val="clear" w:color="auto" w:fill="BFBFBF"/>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Fax:</w:t>
            </w:r>
          </w:p>
        </w:tc>
        <w:tc>
          <w:tcPr>
            <w:tcW w:w="280" w:type="dxa"/>
            <w:vAlign w:val="bottom"/>
          </w:tcPr>
          <w:p>
            <w:pPr>
              <w:spacing w:after="0"/>
              <w:rPr>
                <w:sz w:val="23"/>
                <w:szCs w:val="23"/>
                <w:color w:val="auto"/>
              </w:rPr>
            </w:pPr>
          </w:p>
        </w:tc>
        <w:tc>
          <w:tcPr>
            <w:tcW w:w="554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3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77" w:name="page378"/>
    <w:bookmarkEnd w:id="377"/>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top w:val="single" w:sz="8" w:color="auto"/>
              <w:left w:val="single" w:sz="8" w:color="auto"/>
            </w:tcBorders>
          </w:tcPr>
          <w:p>
            <w:pPr>
              <w:spacing w:after="0"/>
              <w:rPr>
                <w:sz w:val="21"/>
                <w:szCs w:val="21"/>
                <w:color w:val="auto"/>
              </w:rPr>
            </w:pPr>
          </w:p>
        </w:tc>
        <w:tc>
          <w:tcPr>
            <w:tcW w:w="644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r>
      <w:tr>
        <w:trPr>
          <w:trHeight w:val="86"/>
        </w:trPr>
        <w:tc>
          <w:tcPr>
            <w:tcW w:w="3400" w:type="dxa"/>
            <w:vAlign w:val="bottom"/>
            <w:tcBorders>
              <w:left w:val="single" w:sz="8" w:color="auto"/>
              <w:bottom w:val="single" w:sz="8" w:color="auto"/>
              <w:right w:val="single" w:sz="8" w:color="BFBFBF"/>
            </w:tcBorders>
            <w:shd w:val="clear" w:color="auto" w:fill="BFBFBF"/>
          </w:tcPr>
          <w:p>
            <w:pPr>
              <w:spacing w:after="0"/>
              <w:rPr>
                <w:sz w:val="7"/>
                <w:szCs w:val="7"/>
                <w:color w:val="auto"/>
              </w:rPr>
            </w:pPr>
          </w:p>
        </w:tc>
        <w:tc>
          <w:tcPr>
            <w:tcW w:w="100" w:type="dxa"/>
            <w:vAlign w:val="bottom"/>
            <w:tcBorders>
              <w:left w:val="single" w:sz="8" w:color="auto"/>
              <w:bottom w:val="single" w:sz="8" w:color="auto"/>
            </w:tcBorders>
          </w:tcPr>
          <w:p>
            <w:pPr>
              <w:spacing w:after="0"/>
              <w:rPr>
                <w:sz w:val="7"/>
                <w:szCs w:val="7"/>
                <w:color w:val="auto"/>
              </w:rPr>
            </w:pPr>
          </w:p>
        </w:tc>
        <w:tc>
          <w:tcPr>
            <w:tcW w:w="1040" w:type="dxa"/>
            <w:vAlign w:val="bottom"/>
            <w:tcBorders>
              <w:bottom w:val="single" w:sz="8" w:color="auto"/>
            </w:tcBorders>
            <w:gridSpan w:val="3"/>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BFBFBF"/>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100" w:type="dxa"/>
            <w:vAlign w:val="bottom"/>
            <w:tcBorders>
              <w:left w:val="single" w:sz="8" w:color="auto"/>
            </w:tcBorders>
          </w:tcPr>
          <w:p>
            <w:pPr>
              <w:spacing w:after="0"/>
              <w:rPr>
                <w:sz w:val="16"/>
                <w:szCs w:val="16"/>
                <w:color w:val="auto"/>
              </w:rPr>
            </w:pPr>
          </w:p>
        </w:tc>
        <w:tc>
          <w:tcPr>
            <w:tcW w:w="6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Kungstr</w:t>
            </w:r>
            <w:r>
              <w:rPr>
                <w:rFonts w:ascii="Arial" w:cs="Arial" w:eastAsia="Arial" w:hAnsi="Arial"/>
                <w:sz w:val="18"/>
                <w:szCs w:val="18"/>
                <w:color w:val="auto"/>
              </w:rPr>
              <w:t>ä</w:t>
            </w:r>
            <w:r>
              <w:rPr>
                <w:rFonts w:ascii="Times New Roman" w:cs="Times New Roman" w:eastAsia="Times New Roman" w:hAnsi="Times New Roman"/>
                <w:sz w:val="18"/>
                <w:szCs w:val="18"/>
                <w:color w:val="auto"/>
              </w:rPr>
              <w:t>dg</w:t>
            </w:r>
            <w:r>
              <w:rPr>
                <w:rFonts w:ascii="Arial" w:cs="Arial" w:eastAsia="Arial" w:hAnsi="Arial"/>
                <w:sz w:val="18"/>
                <w:szCs w:val="18"/>
                <w:color w:val="auto"/>
              </w:rPr>
              <w:t>å</w:t>
            </w:r>
            <w:r>
              <w:rPr>
                <w:rFonts w:ascii="Times New Roman" w:cs="Times New Roman" w:eastAsia="Times New Roman" w:hAnsi="Times New Roman"/>
                <w:sz w:val="18"/>
                <w:szCs w:val="18"/>
                <w:color w:val="auto"/>
              </w:rPr>
              <w:t>rdsgatan 8</w:t>
            </w:r>
          </w:p>
        </w:tc>
      </w:tr>
      <w:tr>
        <w:trPr>
          <w:trHeight w:val="216"/>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SE-106 40 Stockholm</w:t>
            </w:r>
          </w:p>
        </w:tc>
      </w:tr>
      <w:tr>
        <w:trPr>
          <w:trHeight w:val="216"/>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18"/>
                <w:szCs w:val="18"/>
                <w:color w:val="auto"/>
              </w:rPr>
            </w:pPr>
          </w:p>
        </w:tc>
      </w:tr>
      <w:tr>
        <w:trPr>
          <w:trHeight w:val="212"/>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Attention: Marie Rex</w:t>
            </w:r>
          </w:p>
        </w:tc>
      </w:tr>
      <w:tr>
        <w:trPr>
          <w:trHeight w:val="220"/>
        </w:trPr>
        <w:tc>
          <w:tcPr>
            <w:tcW w:w="3400" w:type="dxa"/>
            <w:vAlign w:val="bottom"/>
            <w:tcBorders>
              <w:left w:val="single" w:sz="8" w:color="auto"/>
              <w:right w:val="single" w:sz="8" w:color="BFBFBF"/>
            </w:tcBorders>
            <w:shd w:val="clear" w:color="auto" w:fill="BFBFBF"/>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Email address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marie.rex@seb.se</w:t>
            </w:r>
          </w:p>
        </w:tc>
      </w:tr>
      <w:tr>
        <w:trPr>
          <w:trHeight w:val="288"/>
        </w:trPr>
        <w:tc>
          <w:tcPr>
            <w:tcW w:w="3400" w:type="dxa"/>
            <w:vAlign w:val="bottom"/>
            <w:tcBorders>
              <w:left w:val="single" w:sz="8" w:color="auto"/>
              <w:bottom w:val="single" w:sz="8" w:color="BFBFBF"/>
              <w:right w:val="single" w:sz="8" w:color="BFBFBF"/>
            </w:tcBorders>
            <w:shd w:val="clear" w:color="auto" w:fill="BFBFBF"/>
          </w:tcPr>
          <w:p>
            <w:pPr>
              <w:spacing w:after="0"/>
              <w:rPr>
                <w:sz w:val="24"/>
                <w:szCs w:val="24"/>
                <w:color w:val="auto"/>
              </w:rPr>
            </w:pPr>
          </w:p>
        </w:tc>
        <w:tc>
          <w:tcPr>
            <w:tcW w:w="100" w:type="dxa"/>
            <w:vAlign w:val="bottom"/>
            <w:tcBorders>
              <w:left w:val="single" w:sz="8" w:color="auto"/>
            </w:tcBorders>
          </w:tcPr>
          <w:p>
            <w:pPr>
              <w:spacing w:after="0"/>
              <w:rPr>
                <w:sz w:val="24"/>
                <w:szCs w:val="24"/>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Phone: +46 8 506 231 58</w:t>
            </w:r>
          </w:p>
        </w:tc>
      </w:tr>
      <w:tr>
        <w:trPr>
          <w:trHeight w:val="223"/>
        </w:trPr>
        <w:tc>
          <w:tcPr>
            <w:tcW w:w="3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spacing w:after="0"/>
              <w:rPr>
                <w:sz w:val="19"/>
                <w:szCs w:val="19"/>
                <w:color w:val="auto"/>
              </w:rPr>
            </w:pPr>
          </w:p>
        </w:tc>
        <w:tc>
          <w:tcPr>
            <w:tcW w:w="5400" w:type="dxa"/>
            <w:vAlign w:val="bottom"/>
            <w:tcBorders>
              <w:top w:val="single" w:sz="8" w:color="auto"/>
              <w:bottom w:val="single" w:sz="8" w:color="auto"/>
            </w:tcBorders>
          </w:tcPr>
          <w:p>
            <w:pPr>
              <w:spacing w:after="0"/>
              <w:rPr>
                <w:sz w:val="19"/>
                <w:szCs w:val="19"/>
                <w:color w:val="auto"/>
              </w:rPr>
            </w:pPr>
          </w:p>
        </w:tc>
      </w:tr>
      <w:tr>
        <w:trPr>
          <w:trHeight w:val="232"/>
        </w:trPr>
        <w:tc>
          <w:tcPr>
            <w:tcW w:w="3400" w:type="dxa"/>
            <w:vAlign w:val="bottom"/>
            <w:tcBorders>
              <w:left w:val="single" w:sz="8" w:color="auto"/>
              <w:right w:val="single" w:sz="8" w:color="BFBFBF"/>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left w:val="single" w:sz="8" w:color="auto"/>
            </w:tcBorders>
          </w:tcPr>
          <w:p>
            <w:pPr>
              <w:spacing w:after="0"/>
              <w:rPr>
                <w:sz w:val="20"/>
                <w:szCs w:val="20"/>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AG</w:t>
            </w:r>
          </w:p>
        </w:tc>
      </w:tr>
      <w:tr>
        <w:trPr>
          <w:trHeight w:val="86"/>
        </w:trPr>
        <w:tc>
          <w:tcPr>
            <w:tcW w:w="3400" w:type="dxa"/>
            <w:vAlign w:val="bottom"/>
            <w:tcBorders>
              <w:left w:val="single" w:sz="8" w:color="auto"/>
              <w:bottom w:val="single" w:sz="8" w:color="auto"/>
              <w:right w:val="single" w:sz="8" w:color="BFBFBF"/>
            </w:tcBorders>
            <w:shd w:val="clear" w:color="auto" w:fill="BFBFBF"/>
          </w:tcPr>
          <w:p>
            <w:pPr>
              <w:spacing w:after="0"/>
              <w:rPr>
                <w:sz w:val="7"/>
                <w:szCs w:val="7"/>
                <w:color w:val="auto"/>
              </w:rPr>
            </w:pPr>
          </w:p>
        </w:tc>
        <w:tc>
          <w:tcPr>
            <w:tcW w:w="100" w:type="dxa"/>
            <w:vAlign w:val="bottom"/>
            <w:tcBorders>
              <w:left w:val="single" w:sz="8" w:color="auto"/>
              <w:bottom w:val="single" w:sz="8" w:color="auto"/>
            </w:tcBorders>
          </w:tcPr>
          <w:p>
            <w:pPr>
              <w:spacing w:after="0"/>
              <w:rPr>
                <w:sz w:val="7"/>
                <w:szCs w:val="7"/>
                <w:color w:val="auto"/>
              </w:rPr>
            </w:pPr>
          </w:p>
        </w:tc>
        <w:tc>
          <w:tcPr>
            <w:tcW w:w="1040" w:type="dxa"/>
            <w:vAlign w:val="bottom"/>
            <w:tcBorders>
              <w:bottom w:val="single" w:sz="8" w:color="auto"/>
            </w:tcBorders>
            <w:gridSpan w:val="3"/>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r>
      <w:tr>
        <w:trPr>
          <w:trHeight w:val="191"/>
        </w:trPr>
        <w:tc>
          <w:tcPr>
            <w:tcW w:w="3400" w:type="dxa"/>
            <w:vAlign w:val="bottom"/>
            <w:tcBorders>
              <w:left w:val="single" w:sz="8" w:color="auto"/>
              <w:right w:val="single" w:sz="8" w:color="BFBFBF"/>
            </w:tcBorders>
            <w:shd w:val="clear" w:color="auto" w:fill="BFBFB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100" w:type="dxa"/>
            <w:vAlign w:val="bottom"/>
            <w:tcBorders>
              <w:left w:val="single" w:sz="8" w:color="auto"/>
            </w:tcBorders>
          </w:tcPr>
          <w:p>
            <w:pPr>
              <w:spacing w:after="0"/>
              <w:rPr>
                <w:sz w:val="16"/>
                <w:szCs w:val="16"/>
                <w:color w:val="auto"/>
              </w:rPr>
            </w:pPr>
          </w:p>
        </w:tc>
        <w:tc>
          <w:tcPr>
            <w:tcW w:w="6440" w:type="dxa"/>
            <w:vAlign w:val="bottom"/>
            <w:tcBorders>
              <w:right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Address: Taunusanlage 16, 60325 Frankfurt am Main, Germany</w:t>
            </w:r>
          </w:p>
        </w:tc>
      </w:tr>
      <w:tr>
        <w:trPr>
          <w:trHeight w:val="216"/>
        </w:trPr>
        <w:tc>
          <w:tcPr>
            <w:tcW w:w="3400" w:type="dxa"/>
            <w:vAlign w:val="bottom"/>
            <w:tcBorders>
              <w:left w:val="single" w:sz="8" w:color="auto"/>
              <w:right w:val="single" w:sz="8" w:color="BFBFBF"/>
            </w:tcBorders>
            <w:shd w:val="clear" w:color="auto" w:fill="BFBFBF"/>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Contacts: Legal Department</w:t>
            </w:r>
          </w:p>
        </w:tc>
      </w:tr>
      <w:tr>
        <w:trPr>
          <w:trHeight w:val="234"/>
        </w:trPr>
        <w:tc>
          <w:tcPr>
            <w:tcW w:w="3400" w:type="dxa"/>
            <w:vAlign w:val="bottom"/>
            <w:tcBorders>
              <w:left w:val="single" w:sz="8" w:color="auto"/>
              <w:right w:val="single" w:sz="8" w:color="BFBFBF"/>
            </w:tcBorders>
            <w:shd w:val="clear" w:color="auto" w:fill="BFBFBF"/>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60" w:type="dxa"/>
            <w:vAlign w:val="bottom"/>
          </w:tcPr>
          <w:p>
            <w:pPr>
              <w:spacing w:after="0"/>
              <w:rPr>
                <w:sz w:val="20"/>
                <w:szCs w:val="20"/>
                <w:color w:val="auto"/>
              </w:rPr>
            </w:pPr>
          </w:p>
        </w:tc>
        <w:tc>
          <w:tcPr>
            <w:tcW w:w="57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400" w:type="dxa"/>
            <w:vAlign w:val="bottom"/>
            <w:tcBorders>
              <w:left w:val="single" w:sz="8" w:color="auto"/>
              <w:right w:val="single" w:sz="8" w:color="BFBFBF"/>
            </w:tcBorders>
            <w:shd w:val="clear" w:color="auto" w:fill="BFBFBF"/>
          </w:tcPr>
          <w:p>
            <w:pPr>
              <w:spacing w:after="0"/>
              <w:rPr>
                <w:sz w:val="21"/>
                <w:szCs w:val="21"/>
                <w:color w:val="auto"/>
              </w:rPr>
            </w:pPr>
          </w:p>
        </w:tc>
        <w:tc>
          <w:tcPr>
            <w:tcW w:w="100" w:type="dxa"/>
            <w:vAlign w:val="bottom"/>
            <w:tcBorders>
              <w:left w:val="single" w:sz="8" w:color="auto"/>
            </w:tcBorders>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Phone:</w:t>
            </w:r>
          </w:p>
        </w:tc>
        <w:tc>
          <w:tcPr>
            <w:tcW w:w="60" w:type="dxa"/>
            <w:vAlign w:val="bottom"/>
          </w:tcPr>
          <w:p>
            <w:pPr>
              <w:spacing w:after="0"/>
              <w:rPr>
                <w:sz w:val="21"/>
                <w:szCs w:val="21"/>
                <w:color w:val="auto"/>
              </w:rPr>
            </w:pPr>
          </w:p>
        </w:tc>
        <w:tc>
          <w:tcPr>
            <w:tcW w:w="57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+48 789 009 188</w:t>
            </w:r>
          </w:p>
        </w:tc>
      </w:tr>
      <w:tr>
        <w:trPr>
          <w:trHeight w:val="243"/>
        </w:trPr>
        <w:tc>
          <w:tcPr>
            <w:tcW w:w="3400" w:type="dxa"/>
            <w:vAlign w:val="bottom"/>
            <w:tcBorders>
              <w:left w:val="single" w:sz="8" w:color="auto"/>
              <w:bottom w:val="single" w:sz="8" w:color="auto"/>
              <w:right w:val="single" w:sz="8" w:color="BFBFBF"/>
            </w:tcBorders>
            <w:shd w:val="clear" w:color="auto" w:fill="BFBFBF"/>
          </w:tcPr>
          <w:p>
            <w:pPr>
              <w:spacing w:after="0"/>
              <w:rPr>
                <w:sz w:val="21"/>
                <w:szCs w:val="21"/>
                <w:color w:val="auto"/>
              </w:rPr>
            </w:pPr>
          </w:p>
        </w:tc>
        <w:tc>
          <w:tcPr>
            <w:tcW w:w="10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Fax:</w:t>
            </w:r>
          </w:p>
        </w:tc>
        <w:tc>
          <w:tcPr>
            <w:tcW w:w="57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426"/>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Account Bank</w:t>
            </w:r>
          </w:p>
        </w:tc>
      </w:tr>
      <w:tr>
        <w:trPr>
          <w:trHeight w:val="243"/>
        </w:trPr>
        <w:tc>
          <w:tcPr>
            <w:tcW w:w="3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232"/>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6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r>
      <w:tr>
        <w:trPr>
          <w:trHeight w:val="218"/>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Address: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Citigroup Centre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 Square,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Canary Wharf</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London E14 5LB</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PLEDGED.ACCOUNTS@CITI.COM</w:t>
            </w:r>
          </w:p>
        </w:tc>
      </w:tr>
      <w:tr>
        <w:trPr>
          <w:trHeight w:val="68"/>
        </w:trPr>
        <w:tc>
          <w:tcPr>
            <w:tcW w:w="3400" w:type="dxa"/>
            <w:vAlign w:val="bottom"/>
            <w:tcBorders>
              <w:left w:val="single" w:sz="8" w:color="auto"/>
              <w:bottom w:val="single" w:sz="8" w:color="auto"/>
              <w:right w:val="single" w:sz="8" w:color="auto"/>
            </w:tcBorders>
            <w:shd w:val="clear" w:color="auto" w:fill="BFBFBF"/>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3"/>
          </w:tcPr>
          <w:p>
            <w:pPr>
              <w:spacing w:after="0"/>
              <w:rPr>
                <w:sz w:val="5"/>
                <w:szCs w:val="5"/>
                <w:color w:val="auto"/>
              </w:rPr>
            </w:pPr>
          </w:p>
        </w:tc>
        <w:tc>
          <w:tcPr>
            <w:tcW w:w="5400" w:type="dxa"/>
            <w:vAlign w:val="bottom"/>
            <w:tcBorders>
              <w:bottom w:val="single" w:sz="8" w:color="auto"/>
              <w:right w:val="single" w:sz="8" w:color="auto"/>
            </w:tcBorders>
          </w:tcPr>
          <w:p>
            <w:pPr>
              <w:spacing w:after="0"/>
              <w:rPr>
                <w:sz w:val="5"/>
                <w:szCs w:val="5"/>
                <w:color w:val="auto"/>
              </w:rPr>
            </w:pPr>
          </w:p>
        </w:tc>
      </w:tr>
      <w:tr>
        <w:trPr>
          <w:trHeight w:val="493"/>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The Global Co-ordinators</w:t>
            </w:r>
          </w:p>
        </w:tc>
      </w:tr>
      <w:tr>
        <w:trPr>
          <w:trHeight w:val="351"/>
        </w:trPr>
        <w:tc>
          <w:tcPr>
            <w:tcW w:w="3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6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r>
      <w:tr>
        <w:trPr>
          <w:trHeight w:val="218"/>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0" w:type="dxa"/>
            <w:vAlign w:val="bottom"/>
          </w:tcPr>
          <w:p>
            <w:pPr>
              <w:spacing w:after="0"/>
              <w:rPr>
                <w:sz w:val="18"/>
                <w:szCs w:val="18"/>
                <w:color w:val="auto"/>
              </w:rPr>
            </w:pPr>
          </w:p>
        </w:tc>
        <w:tc>
          <w:tcPr>
            <w:tcW w:w="57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Immeuble Oc</w:t>
            </w:r>
            <w:r>
              <w:rPr>
                <w:rFonts w:ascii="Arial" w:cs="Arial" w:eastAsia="Arial" w:hAnsi="Arial"/>
                <w:sz w:val="18"/>
                <w:szCs w:val="18"/>
                <w:color w:val="auto"/>
              </w:rPr>
              <w:t>é</w:t>
            </w:r>
            <w:r>
              <w:rPr>
                <w:rFonts w:ascii="Times New Roman" w:cs="Times New Roman" w:eastAsia="Times New Roman" w:hAnsi="Times New Roman"/>
                <w:sz w:val="18"/>
                <w:szCs w:val="18"/>
                <w:color w:val="auto"/>
              </w:rPr>
              <w:t>anie</w:t>
            </w:r>
          </w:p>
        </w:tc>
      </w:tr>
      <w:tr>
        <w:trPr>
          <w:trHeight w:val="217"/>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 rue du D</w:t>
            </w:r>
            <w:r>
              <w:rPr>
                <w:rFonts w:ascii="Arial" w:cs="Arial" w:eastAsia="Arial" w:hAnsi="Arial"/>
                <w:sz w:val="18"/>
                <w:szCs w:val="18"/>
                <w:color w:val="auto"/>
              </w:rPr>
              <w:t>é</w:t>
            </w:r>
            <w:r>
              <w:rPr>
                <w:rFonts w:ascii="Times New Roman" w:cs="Times New Roman" w:eastAsia="Times New Roman" w:hAnsi="Times New Roman"/>
                <w:sz w:val="18"/>
                <w:szCs w:val="18"/>
                <w:color w:val="auto"/>
              </w:rPr>
              <w:t>barcad</w:t>
            </w:r>
            <w:r>
              <w:rPr>
                <w:rFonts w:ascii="Arial" w:cs="Arial" w:eastAsia="Arial" w:hAnsi="Arial"/>
                <w:sz w:val="18"/>
                <w:szCs w:val="18"/>
                <w:color w:val="auto"/>
              </w:rPr>
              <w:t>è</w:t>
            </w:r>
            <w:r>
              <w:rPr>
                <w:rFonts w:ascii="Times New Roman" w:cs="Times New Roman" w:eastAsia="Times New Roman" w:hAnsi="Times New Roman"/>
                <w:sz w:val="18"/>
                <w:szCs w:val="18"/>
                <w:color w:val="auto"/>
              </w:rPr>
              <w:t>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93500 Pantin</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France</w:t>
            </w:r>
          </w:p>
        </w:tc>
      </w:tr>
      <w:tr>
        <w:trPr>
          <w:trHeight w:val="252"/>
        </w:trPr>
        <w:tc>
          <w:tcPr>
            <w:tcW w:w="3400" w:type="dxa"/>
            <w:vAlign w:val="bottom"/>
            <w:tcBorders>
              <w:left w:val="single" w:sz="8" w:color="auto"/>
              <w:right w:val="single" w:sz="8" w:color="auto"/>
            </w:tcBorders>
            <w:shd w:val="clear" w:color="auto" w:fill="BFBFBF"/>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Attention:</w:t>
            </w:r>
          </w:p>
        </w:tc>
        <w:tc>
          <w:tcPr>
            <w:tcW w:w="57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CTM Transportation Team</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Email: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paris.cib.cbe.ctm.transportation@bnpparibas.com</w:t>
            </w:r>
          </w:p>
        </w:tc>
      </w:tr>
      <w:tr>
        <w:trPr>
          <w:trHeight w:val="288"/>
        </w:trPr>
        <w:tc>
          <w:tcPr>
            <w:tcW w:w="340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Phone:</w:t>
            </w:r>
          </w:p>
        </w:tc>
        <w:tc>
          <w:tcPr>
            <w:tcW w:w="60" w:type="dxa"/>
            <w:vAlign w:val="bottom"/>
          </w:tcPr>
          <w:p>
            <w:pPr>
              <w:spacing w:after="0"/>
              <w:rPr>
                <w:sz w:val="24"/>
                <w:szCs w:val="24"/>
                <w:color w:val="auto"/>
              </w:rPr>
            </w:pPr>
          </w:p>
        </w:tc>
        <w:tc>
          <w:tcPr>
            <w:tcW w:w="570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+33 1 42 98 43 74</w:t>
            </w:r>
          </w:p>
        </w:tc>
      </w:tr>
      <w:tr>
        <w:trPr>
          <w:trHeight w:val="223"/>
        </w:trPr>
        <w:tc>
          <w:tcPr>
            <w:tcW w:w="3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spacing w:after="0"/>
              <w:rPr>
                <w:sz w:val="19"/>
                <w:szCs w:val="19"/>
                <w:color w:val="auto"/>
              </w:rPr>
            </w:pPr>
          </w:p>
        </w:tc>
        <w:tc>
          <w:tcPr>
            <w:tcW w:w="5400" w:type="dxa"/>
            <w:vAlign w:val="bottom"/>
            <w:tcBorders>
              <w:top w:val="single" w:sz="8" w:color="auto"/>
              <w:bottom w:val="single" w:sz="8" w:color="auto"/>
            </w:tcBorders>
          </w:tcPr>
          <w:p>
            <w:pPr>
              <w:spacing w:after="0"/>
              <w:rPr>
                <w:sz w:val="19"/>
                <w:szCs w:val="19"/>
                <w:color w:val="auto"/>
              </w:rPr>
            </w:pPr>
          </w:p>
        </w:tc>
      </w:tr>
      <w:tr>
        <w:trPr>
          <w:trHeight w:val="232"/>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r>
      <w:tr>
        <w:trPr>
          <w:trHeight w:val="86"/>
        </w:trPr>
        <w:tc>
          <w:tcPr>
            <w:tcW w:w="34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400" w:type="dxa"/>
            <w:vAlign w:val="bottom"/>
            <w:tcBorders>
              <w:bottom w:val="single" w:sz="8" w:color="auto"/>
              <w:right w:val="single" w:sz="8" w:color="auto"/>
            </w:tcBorders>
          </w:tcPr>
          <w:p>
            <w:pPr>
              <w:spacing w:after="0"/>
              <w:rPr>
                <w:sz w:val="7"/>
                <w:szCs w:val="7"/>
                <w:color w:val="auto"/>
              </w:rPr>
            </w:pPr>
          </w:p>
        </w:tc>
      </w:tr>
      <w:tr>
        <w:trPr>
          <w:trHeight w:val="218"/>
        </w:trPr>
        <w:tc>
          <w:tcPr>
            <w:tcW w:w="340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Citigroup Centre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 Square,</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Canary Wharf</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E14 5LB</w:t>
            </w:r>
          </w:p>
        </w:tc>
      </w:tr>
      <w:tr>
        <w:trPr>
          <w:trHeight w:val="234"/>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3400" w:type="dxa"/>
            <w:vAlign w:val="bottom"/>
            <w:tcBorders>
              <w:left w:val="single" w:sz="8" w:color="auto"/>
              <w:right w:val="single" w:sz="8" w:color="auto"/>
            </w:tcBorders>
            <w:shd w:val="clear" w:color="auto" w:fill="BFBFBF"/>
          </w:tcPr>
          <w:p>
            <w:pPr>
              <w:spacing w:after="0"/>
              <w:rPr>
                <w:sz w:val="20"/>
                <w:szCs w:val="20"/>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Attention:</w:t>
            </w:r>
          </w:p>
        </w:tc>
        <w:tc>
          <w:tcPr>
            <w:tcW w:w="300" w:type="dxa"/>
            <w:vAlign w:val="bottom"/>
          </w:tcPr>
          <w:p>
            <w:pPr>
              <w:spacing w:after="0"/>
              <w:rPr>
                <w:sz w:val="20"/>
                <w:szCs w:val="20"/>
                <w:color w:val="auto"/>
              </w:rPr>
            </w:pPr>
          </w:p>
        </w:tc>
        <w:tc>
          <w:tcPr>
            <w:tcW w:w="5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Vassilios Maroulis; Andrew P. Mason</w:t>
            </w:r>
          </w:p>
        </w:tc>
      </w:tr>
      <w:tr>
        <w:trPr>
          <w:trHeight w:val="216"/>
        </w:trPr>
        <w:tc>
          <w:tcPr>
            <w:tcW w:w="3400" w:type="dxa"/>
            <w:vAlign w:val="bottom"/>
            <w:tcBorders>
              <w:left w:val="single" w:sz="8" w:color="auto"/>
              <w:right w:val="single" w:sz="8" w:color="auto"/>
            </w:tcBorders>
            <w:shd w:val="clear" w:color="auto" w:fill="BFBFBF"/>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vassilios.n.maroulis@citi.com;</w:t>
            </w:r>
          </w:p>
        </w:tc>
      </w:tr>
      <w:tr>
        <w:trPr>
          <w:trHeight w:val="194"/>
        </w:trPr>
        <w:tc>
          <w:tcPr>
            <w:tcW w:w="3400" w:type="dxa"/>
            <w:vAlign w:val="bottom"/>
            <w:tcBorders>
              <w:left w:val="single" w:sz="8" w:color="auto"/>
              <w:right w:val="single" w:sz="8" w:color="auto"/>
            </w:tcBorders>
            <w:shd w:val="clear" w:color="auto" w:fill="BFBFBF"/>
          </w:tcPr>
          <w:p>
            <w:pPr>
              <w:spacing w:after="0"/>
              <w:rPr>
                <w:sz w:val="16"/>
                <w:szCs w:val="16"/>
                <w:color w:val="auto"/>
              </w:rPr>
            </w:pPr>
          </w:p>
        </w:tc>
        <w:tc>
          <w:tcPr>
            <w:tcW w:w="7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andrew.paul.mason@citi.com</w:t>
            </w:r>
          </w:p>
        </w:tc>
      </w:tr>
      <w:tr>
        <w:trPr>
          <w:trHeight w:val="75"/>
        </w:trPr>
        <w:tc>
          <w:tcPr>
            <w:tcW w:w="3400" w:type="dxa"/>
            <w:vAlign w:val="bottom"/>
            <w:tcBorders>
              <w:top w:val="single" w:sz="8" w:color="BFBFBF"/>
              <w:left w:val="single" w:sz="8" w:color="auto"/>
              <w:bottom w:val="single" w:sz="8" w:color="auto"/>
              <w:right w:val="single" w:sz="8" w:color="auto"/>
            </w:tcBorders>
            <w:shd w:val="clear" w:color="auto" w:fill="BFBFBF"/>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540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875" w:right="979" w:bottom="1440" w:gutter="0" w:footer="0" w:header="0"/>
        </w:sectPr>
      </w:pPr>
    </w:p>
    <w:bookmarkStart w:id="378" w:name="page379"/>
    <w:bookmarkEnd w:id="378"/>
    <w:tbl>
      <w:tblPr>
        <w:tblLayout w:type="fixed"/>
        <w:tblInd w:w="1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6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The Sustainability Co-ordinator</w:t>
            </w:r>
          </w:p>
        </w:tc>
      </w:tr>
      <w:tr>
        <w:trPr>
          <w:trHeight w:val="229"/>
        </w:trPr>
        <w:tc>
          <w:tcPr>
            <w:tcW w:w="308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gridSpan w:val="2"/>
          </w:tcPr>
          <w:p>
            <w:pPr>
              <w:spacing w:after="0"/>
              <w:rPr>
                <w:sz w:val="19"/>
                <w:szCs w:val="19"/>
                <w:color w:val="auto"/>
              </w:rPr>
            </w:pPr>
          </w:p>
        </w:tc>
      </w:tr>
      <w:tr>
        <w:trPr>
          <w:trHeight w:val="210"/>
        </w:trPr>
        <w:tc>
          <w:tcPr>
            <w:tcW w:w="308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ABN AMRO Bank N.V.</w:t>
            </w:r>
          </w:p>
        </w:tc>
      </w:tr>
      <w:tr>
        <w:trPr>
          <w:trHeight w:val="232"/>
        </w:trPr>
        <w:tc>
          <w:tcPr>
            <w:tcW w:w="3080" w:type="dxa"/>
            <w:vAlign w:val="bottom"/>
            <w:tcBorders>
              <w:left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Contact details for notices</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ABN AMRO Bank N.V.</w:t>
            </w:r>
          </w:p>
        </w:tc>
      </w:tr>
      <w:tr>
        <w:trPr>
          <w:trHeight w:val="216"/>
        </w:trPr>
        <w:tc>
          <w:tcPr>
            <w:tcW w:w="3080" w:type="dxa"/>
            <w:vAlign w:val="bottom"/>
            <w:tcBorders>
              <w:left w:val="single" w:sz="8" w:color="auto"/>
              <w:right w:val="single" w:sz="8" w:color="auto"/>
            </w:tcBorders>
            <w:shd w:val="clear" w:color="auto" w:fill="BFBFBF"/>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Corporate Banking</w:t>
            </w:r>
          </w:p>
        </w:tc>
      </w:tr>
      <w:tr>
        <w:trPr>
          <w:trHeight w:val="216"/>
        </w:trPr>
        <w:tc>
          <w:tcPr>
            <w:tcW w:w="3080" w:type="dxa"/>
            <w:vAlign w:val="bottom"/>
            <w:tcBorders>
              <w:left w:val="single" w:sz="8" w:color="auto"/>
              <w:right w:val="single" w:sz="8" w:color="auto"/>
            </w:tcBorders>
            <w:shd w:val="clear" w:color="auto" w:fill="BFBFBF"/>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Financing Solutions</w:t>
            </w:r>
          </w:p>
        </w:tc>
      </w:tr>
      <w:tr>
        <w:trPr>
          <w:trHeight w:val="216"/>
        </w:trPr>
        <w:tc>
          <w:tcPr>
            <w:tcW w:w="3080" w:type="dxa"/>
            <w:vAlign w:val="bottom"/>
            <w:tcBorders>
              <w:left w:val="single" w:sz="8" w:color="auto"/>
              <w:right w:val="single" w:sz="8" w:color="auto"/>
            </w:tcBorders>
            <w:shd w:val="clear" w:color="auto" w:fill="BFBFBF"/>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Gustav Mahlerlaan 10</w:t>
            </w:r>
          </w:p>
        </w:tc>
      </w:tr>
      <w:tr>
        <w:trPr>
          <w:trHeight w:val="216"/>
        </w:trPr>
        <w:tc>
          <w:tcPr>
            <w:tcW w:w="3080" w:type="dxa"/>
            <w:vAlign w:val="bottom"/>
            <w:tcBorders>
              <w:left w:val="single" w:sz="8" w:color="auto"/>
              <w:right w:val="single" w:sz="8" w:color="auto"/>
            </w:tcBorders>
            <w:shd w:val="clear" w:color="auto" w:fill="BFBFBF"/>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 PP Amsterdam</w:t>
            </w:r>
          </w:p>
        </w:tc>
      </w:tr>
      <w:tr>
        <w:trPr>
          <w:trHeight w:val="216"/>
        </w:trPr>
        <w:tc>
          <w:tcPr>
            <w:tcW w:w="3080" w:type="dxa"/>
            <w:vAlign w:val="bottom"/>
            <w:tcBorders>
              <w:left w:val="single" w:sz="8" w:color="auto"/>
              <w:right w:val="single" w:sz="8" w:color="auto"/>
            </w:tcBorders>
            <w:shd w:val="clear" w:color="auto" w:fill="BFBFBF"/>
          </w:tcPr>
          <w:p>
            <w:pPr>
              <w:spacing w:after="0"/>
              <w:rPr>
                <w:sz w:val="18"/>
                <w:szCs w:val="18"/>
                <w:color w:val="auto"/>
              </w:rPr>
            </w:pPr>
          </w:p>
        </w:tc>
        <w:tc>
          <w:tcPr>
            <w:tcW w:w="920" w:type="dxa"/>
            <w:vAlign w:val="bottom"/>
          </w:tcPr>
          <w:p>
            <w:pPr>
              <w:spacing w:after="0"/>
              <w:rPr>
                <w:sz w:val="18"/>
                <w:szCs w:val="18"/>
                <w:color w:val="auto"/>
              </w:rPr>
            </w:pP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 PAC: HQ7206</w:t>
            </w:r>
          </w:p>
        </w:tc>
      </w:tr>
      <w:tr>
        <w:trPr>
          <w:trHeight w:val="234"/>
        </w:trPr>
        <w:tc>
          <w:tcPr>
            <w:tcW w:w="3080" w:type="dxa"/>
            <w:vAlign w:val="bottom"/>
            <w:tcBorders>
              <w:left w:val="single" w:sz="8" w:color="auto"/>
              <w:right w:val="single" w:sz="8" w:color="auto"/>
            </w:tcBorders>
            <w:shd w:val="clear" w:color="auto" w:fill="BFBFBF"/>
          </w:tcPr>
          <w:p>
            <w:pPr>
              <w:spacing w:after="0"/>
              <w:rPr>
                <w:sz w:val="20"/>
                <w:szCs w:val="2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Attention:</w:t>
            </w:r>
          </w:p>
        </w:tc>
        <w:tc>
          <w:tcPr>
            <w:tcW w:w="59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Ann-Christin Stucke</w:t>
            </w:r>
          </w:p>
        </w:tc>
      </w:tr>
      <w:tr>
        <w:trPr>
          <w:trHeight w:val="257"/>
        </w:trPr>
        <w:tc>
          <w:tcPr>
            <w:tcW w:w="3080" w:type="dxa"/>
            <w:vAlign w:val="bottom"/>
            <w:tcBorders>
              <w:left w:val="single" w:sz="8" w:color="auto"/>
              <w:right w:val="single" w:sz="8" w:color="auto"/>
            </w:tcBorders>
            <w:shd w:val="clear" w:color="auto" w:fill="BFBFBF"/>
          </w:tcPr>
          <w:p>
            <w:pPr>
              <w:spacing w:after="0"/>
              <w:rPr>
                <w:sz w:val="22"/>
                <w:szCs w:val="2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59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Ann-Christin.stucke@nl.abnamro.com</w:t>
            </w:r>
          </w:p>
        </w:tc>
      </w:tr>
      <w:tr>
        <w:trPr>
          <w:trHeight w:val="108"/>
        </w:trPr>
        <w:tc>
          <w:tcPr>
            <w:tcW w:w="308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9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79" w:name="page380"/>
    <w:bookmarkEnd w:id="379"/>
    <w:tbl>
      <w:tblPr>
        <w:tblLayout w:type="fixed"/>
        <w:tblInd w:w="10" w:type="dxa"/>
        <w:tblCellMar>
          <w:top w:w="0" w:type="dxa"/>
          <w:left w:w="0" w:type="dxa"/>
          <w:bottom w:w="0" w:type="dxa"/>
          <w:right w:w="0" w:type="dxa"/>
        </w:tblCellMar>
      </w:tblPr>
      <w:tr>
        <w:trPr>
          <w:trHeight w:val="286"/>
        </w:trPr>
        <w:tc>
          <w:tcPr>
            <w:tcW w:w="3160" w:type="dxa"/>
            <w:vAlign w:val="bottom"/>
          </w:tcPr>
          <w:p>
            <w:pPr>
              <w:spacing w:after="0"/>
              <w:rPr>
                <w:sz w:val="24"/>
                <w:szCs w:val="24"/>
                <w:color w:val="auto"/>
              </w:rPr>
            </w:pPr>
          </w:p>
        </w:tc>
        <w:tc>
          <w:tcPr>
            <w:tcW w:w="6780" w:type="dxa"/>
            <w:vAlign w:val="bottom"/>
          </w:tcPr>
          <w:p>
            <w:pPr>
              <w:jc w:val="center"/>
              <w:ind w:right="3087"/>
              <w:spacing w:after="0"/>
              <w:rPr>
                <w:sz w:val="20"/>
                <w:szCs w:val="20"/>
                <w:color w:val="auto"/>
              </w:rPr>
            </w:pPr>
            <w:r>
              <w:rPr>
                <w:rFonts w:ascii="Times New Roman" w:cs="Times New Roman" w:eastAsia="Times New Roman" w:hAnsi="Times New Roman"/>
                <w:sz w:val="22"/>
                <w:szCs w:val="22"/>
                <w:b w:val="1"/>
                <w:bCs w:val="1"/>
                <w:color w:val="auto"/>
                <w:w w:val="99"/>
              </w:rPr>
              <w:t>Schedule 2</w:t>
            </w:r>
          </w:p>
        </w:tc>
      </w:tr>
      <w:tr>
        <w:trPr>
          <w:trHeight w:val="418"/>
        </w:trPr>
        <w:tc>
          <w:tcPr>
            <w:tcW w:w="3160" w:type="dxa"/>
            <w:vAlign w:val="bottom"/>
          </w:tcPr>
          <w:p>
            <w:pPr>
              <w:spacing w:after="0"/>
              <w:rPr>
                <w:sz w:val="24"/>
                <w:szCs w:val="24"/>
                <w:color w:val="auto"/>
              </w:rPr>
            </w:pPr>
          </w:p>
        </w:tc>
        <w:tc>
          <w:tcPr>
            <w:tcW w:w="6780" w:type="dxa"/>
            <w:vAlign w:val="bottom"/>
          </w:tcPr>
          <w:p>
            <w:pPr>
              <w:jc w:val="center"/>
              <w:ind w:right="3067"/>
              <w:spacing w:after="0"/>
              <w:rPr>
                <w:sz w:val="20"/>
                <w:szCs w:val="20"/>
                <w:color w:val="auto"/>
              </w:rPr>
            </w:pPr>
            <w:r>
              <w:rPr>
                <w:rFonts w:ascii="Times New Roman" w:cs="Times New Roman" w:eastAsia="Times New Roman" w:hAnsi="Times New Roman"/>
                <w:sz w:val="22"/>
                <w:szCs w:val="22"/>
                <w:b w:val="1"/>
                <w:bCs w:val="1"/>
                <w:color w:val="auto"/>
                <w:w w:val="98"/>
              </w:rPr>
              <w:t>Ship information</w:t>
            </w:r>
          </w:p>
        </w:tc>
      </w:tr>
      <w:tr>
        <w:trPr>
          <w:trHeight w:val="406"/>
        </w:trPr>
        <w:tc>
          <w:tcPr>
            <w:tcW w:w="31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r>
        <w:trPr>
          <w:trHeight w:val="232"/>
        </w:trPr>
        <w:tc>
          <w:tcPr>
            <w:tcW w:w="31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jc w:val="center"/>
              <w:ind w:right="3067"/>
              <w:spacing w:after="0"/>
              <w:rPr>
                <w:sz w:val="20"/>
                <w:szCs w:val="20"/>
                <w:color w:val="auto"/>
              </w:rPr>
            </w:pPr>
            <w:r>
              <w:rPr>
                <w:rFonts w:ascii="Times New Roman" w:cs="Times New Roman" w:eastAsia="Times New Roman" w:hAnsi="Times New Roman"/>
                <w:sz w:val="18"/>
                <w:szCs w:val="18"/>
                <w:b w:val="1"/>
                <w:bCs w:val="1"/>
                <w:color w:val="auto"/>
                <w:w w:val="98"/>
              </w:rPr>
              <w:t>GASLOG GENOA</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GENOA</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GAS-twenty two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49075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740680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9744013</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20 April 2015 as amended to date made between the Owner and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Methane Services Limited with charter tenor up to 30 March 2027</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05"/>
        </w:trPr>
        <w:tc>
          <w:tcPr>
            <w:tcW w:w="31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w w:val="99"/>
              </w:rPr>
              <w:t xml:space="preserve">Methane Services Limited of </w:t>
            </w:r>
            <w:r>
              <w:rPr>
                <w:rFonts w:ascii="Times New Roman" w:cs="Times New Roman" w:eastAsia="Times New Roman" w:hAnsi="Times New Roman"/>
                <w:sz w:val="19"/>
                <w:szCs w:val="19"/>
                <w:color w:val="auto"/>
                <w:w w:val="99"/>
              </w:rPr>
              <w:t>100</w:t>
            </w:r>
            <w:r>
              <w:rPr>
                <w:rFonts w:ascii="Times New Roman" w:cs="Times New Roman" w:eastAsia="Times New Roman" w:hAnsi="Times New Roman"/>
                <w:sz w:val="18"/>
                <w:szCs w:val="18"/>
                <w:color w:val="auto"/>
                <w:w w:val="99"/>
              </w:rPr>
              <w:t xml:space="preserve"> Thames Valley Park Drive, Reading, Berkshire RG6 1PT,</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-1739265</wp:posOffset>
            </wp:positionV>
            <wp:extent cx="137160" cy="1371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080" w:right="979" w:bottom="1440" w:gutter="0" w:footer="0" w:header="0"/>
        </w:sectPr>
      </w:pPr>
    </w:p>
    <w:bookmarkStart w:id="380" w:name="page381"/>
    <w:bookmarkEnd w:id="380"/>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GASLOG GLADSTONE</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GLADSTONE</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GAS-twenty three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49074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740687</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9744025</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SH, CPS,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20 April 2015 as amended to date made between the Owner and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Methane Services Limited with charter tenor up to 15 January 2029</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05"/>
        </w:trPr>
        <w:tc>
          <w:tcPr>
            <w:tcW w:w="316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w w:val="99"/>
              </w:rPr>
              <w:t xml:space="preserve">Methane Services Limited of </w:t>
            </w:r>
            <w:r>
              <w:rPr>
                <w:rFonts w:ascii="Times New Roman" w:cs="Times New Roman" w:eastAsia="Times New Roman" w:hAnsi="Times New Roman"/>
                <w:sz w:val="19"/>
                <w:szCs w:val="19"/>
                <w:color w:val="auto"/>
                <w:w w:val="99"/>
              </w:rPr>
              <w:t>100</w:t>
            </w:r>
            <w:r>
              <w:rPr>
                <w:rFonts w:ascii="Times New Roman" w:cs="Times New Roman" w:eastAsia="Times New Roman" w:hAnsi="Times New Roman"/>
                <w:sz w:val="18"/>
                <w:szCs w:val="18"/>
                <w:color w:val="auto"/>
                <w:w w:val="99"/>
              </w:rPr>
              <w:t xml:space="preserve"> Thames Valley Park Drive, Reading, Berkshire RG6 1PT,</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-1739265</wp:posOffset>
            </wp:positionV>
            <wp:extent cx="13716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1" w:name="page382"/>
    <w:bookmarkEnd w:id="381"/>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GASLOG WESTMINSTER</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WESTMINSTER</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53133</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748926</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9855812</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25 May 2018 as amended to date made between the Owner and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Pioneer Shipping Limited with charter tenor up to 15 July 2027</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Pioneer Shipping Limited of </w:t>
            </w:r>
            <w:r>
              <w:rPr>
                <w:rFonts w:ascii="Times New Roman" w:cs="Times New Roman" w:eastAsia="Times New Roman" w:hAnsi="Times New Roman"/>
                <w:sz w:val="17"/>
                <w:szCs w:val="17"/>
                <w:color w:val="auto"/>
              </w:rPr>
              <w:t>Millstream Road, Windsor, Berkshire SL4 5GD, United Kingdom</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 charter guarantee dated 14 December 2018 made between the Owner and the Charter</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Guarantor</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GB Gas Holdings Ltd (registered number 03186121) of Millstream, Maidenhead Road,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Windsor, Berkshire SL4 5GD</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2" w:name="page383"/>
    <w:bookmarkEnd w:id="382"/>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GASLOG WINDSOR</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WINDSOR</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GAS-twenty eight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51888</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748923</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9819650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20 October 2016 as amended to date made between the Owner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Pioneer Shipping Limited with charter tenor up to 30 March 2027</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Pioneer Shipping Limited of Millstream Road, Windsor, Berkshire SL4 5GD, United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Kingdom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 charter guarantee dated 1 November 2016 made between the Owner and the Charter</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Guarantor</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GB Gas Holdings Ltd (registered number 03186121) of Millstream, Maidenhead Road,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Windsor, Berkshire SL4 5GD</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-1868170</wp:posOffset>
            </wp:positionV>
            <wp:extent cx="1371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3" w:name="page384"/>
    <w:bookmarkEnd w:id="383"/>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GASLOG WALES</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WALES</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one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53134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748924</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9853137</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 charter agreement dated 28 March 2019 as amended to date made between the Owner and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LNG Marine Transport Limited, with charter tenor up to 31 March 2032</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LNG Marine Transport Limited of Nihombashi Tower, 2-7-1 Nihombashi, Chuo-ku,</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Tokyo103-6013, Japan</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4" w:name="page385"/>
    <w:bookmarkEnd w:id="384"/>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GASLOG GEORGETOWN</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GEORGETOWN</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two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53135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748932</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9864916</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16 August 2018 as amended to date made between the Owner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Cheniere Marketing International LLP with charter tenor up to 16 November 2027</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Cheniere Marketing International LLP of Berkeley Square House, Berkeley Square, 5th</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Floor, London, W1J 6BY</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5" w:name="page386"/>
    <w:bookmarkEnd w:id="385"/>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GASLOG GALVESTON</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GALVESTON</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three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53625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748933</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9864928</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16 August 2018 as amended to date made between the Owner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Cheniere Marketing International LLP with charter tenor up to 4 January 2028</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Cheniere Marketing International LLP of Berkeley Square House, Berkeley Square, 5th</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Floor, London, W1J 6BY</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6" w:name="page387"/>
    <w:bookmarkEnd w:id="386"/>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GASLOG WELLINGTON</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WELLINGTON</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four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53626</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748942</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9876660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21 December 2018 as amended to date made between the Owner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Cheniere Marketing International LLP with charter tenor up to 15 June 2028</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Cheniere Marketing International LLP of Berkeley Square House, Berkeley Square, 5</w:t>
            </w:r>
            <w:r>
              <w:rPr>
                <w:rFonts w:ascii="Times New Roman" w:cs="Times New Roman" w:eastAsia="Times New Roman" w:hAnsi="Times New Roman"/>
                <w:sz w:val="11"/>
                <w:szCs w:val="11"/>
                <w:color w:val="auto"/>
              </w:rPr>
              <w:t>th</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Floor, London, W1J 6BY</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7" w:name="page388"/>
    <w:bookmarkEnd w:id="387"/>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GASLOG WINCHESTER</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WINCHESTER</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GAS-thirty five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54252</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748944</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9876737</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21 December 2018 as amended to date made between the Owner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Cheniere Marketing International LLP with charter tenor up to 24 August 2028</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Cheniere Marketing International LLP of Berkeley Square House, Berkeley Square, 5th</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Floor, London, W1J 6BY</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8" w:name="page389"/>
    <w:bookmarkEnd w:id="388"/>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GASLOG SAVANNAH</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SAVANNAH</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GAS-one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41494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737971</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9352860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-1456690</wp:posOffset>
            </wp:positionV>
            <wp:extent cx="13716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89" w:name="page390"/>
    <w:bookmarkEnd w:id="389"/>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GASLOG SINGAPORE</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SINGAPORE</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GAS-two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41495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737972</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9355604</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-1456690</wp:posOffset>
            </wp:positionV>
            <wp:extent cx="137160"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90" w:name="page391"/>
    <w:bookmarkEnd w:id="390"/>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GASLOG WARSAW</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WARSAW</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GasLog Hellas-1 Special Maritime Enterprise</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Greece</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 Akti Miaouli Piraeus, GR 185 37, Greece</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5164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Hellenic Republic</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Piraeus, Greece</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12645</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9816763</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 charter agreement dated 15 March 2019 as amended and restated by a novation agreement</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dated 13 June 2019 and as further amended to date made between the Owner and Endesa</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Energia S.A.U. with charter tenor up to 30 May 2029</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Endesa Energia S.A.U. of Ribera del Loira 60, 28042, Madrid, Spain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91" w:name="page392"/>
    <w:bookmarkEnd w:id="391"/>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GASLOG GREECE</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GREECE</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GAS-eleven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47182</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740646</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9687019</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-1456690</wp:posOffset>
            </wp:positionV>
            <wp:extent cx="137160"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92" w:name="page393"/>
    <w:bookmarkEnd w:id="392"/>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GASLOG GLASGOW</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GLASGOW</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GAS-twelve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47183</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740650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9687021</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-1456690</wp:posOffset>
            </wp:positionV>
            <wp:extent cx="13716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4" w:right="979" w:bottom="1440" w:gutter="0" w:footer="0" w:header="0"/>
        </w:sectPr>
      </w:pPr>
    </w:p>
    <w:bookmarkStart w:id="393" w:name="page394"/>
    <w:bookmarkEnd w:id="393"/>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8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GASLOG GENEVA</w:t>
            </w:r>
          </w:p>
        </w:tc>
      </w:tr>
      <w:tr>
        <w:trPr>
          <w:trHeight w:val="167"/>
        </w:trPr>
        <w:tc>
          <w:tcPr>
            <w:tcW w:w="3160" w:type="dxa"/>
            <w:vAlign w:val="bottom"/>
            <w:tcBorders>
              <w:left w:val="single" w:sz="8" w:color="auto"/>
              <w:bottom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GENEVA</w:t>
            </w:r>
            <w:r>
              <w:rPr>
                <w:rFonts w:ascii="Arial" w:cs="Arial" w:eastAsia="Arial" w:hAnsi="Arial"/>
                <w:sz w:val="18"/>
                <w:szCs w:val="18"/>
                <w:color w:val="auto"/>
              </w:rPr>
              <w:t>”</w:t>
            </w:r>
          </w:p>
        </w:tc>
      </w:tr>
      <w:tr>
        <w:trPr>
          <w:trHeight w:val="166"/>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GAS-thirteen Ltd.</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80" w:type="dxa"/>
            <w:vAlign w:val="bottom"/>
            <w:tcBorders>
              <w:right w:val="single" w:sz="8" w:color="auto"/>
            </w:tcBorders>
          </w:tcPr>
          <w:p>
            <w:pPr>
              <w:spacing w:after="0"/>
              <w:rPr>
                <w:sz w:val="20"/>
                <w:szCs w:val="20"/>
                <w:color w:val="auto"/>
              </w:rPr>
            </w:pPr>
          </w:p>
        </w:tc>
      </w:tr>
      <w:tr>
        <w:trPr>
          <w:trHeight w:val="108"/>
        </w:trPr>
        <w:tc>
          <w:tcPr>
            <w:tcW w:w="3160" w:type="dxa"/>
            <w:vAlign w:val="bottom"/>
            <w:tcBorders>
              <w:left w:val="single" w:sz="8" w:color="auto"/>
              <w:bottom w:val="single" w:sz="8" w:color="auto"/>
              <w:right w:val="single" w:sz="8" w:color="auto"/>
            </w:tcBorders>
          </w:tcPr>
          <w:p>
            <w:pPr>
              <w:spacing w:after="0"/>
              <w:rPr>
                <w:sz w:val="9"/>
                <w:szCs w:val="9"/>
                <w:color w:val="auto"/>
              </w:rPr>
            </w:pPr>
          </w:p>
        </w:tc>
        <w:tc>
          <w:tcPr>
            <w:tcW w:w="6780" w:type="dxa"/>
            <w:vAlign w:val="bottom"/>
            <w:tcBorders>
              <w:bottom w:val="single" w:sz="8" w:color="auto"/>
              <w:right w:val="single" w:sz="8" w:color="auto"/>
            </w:tcBorders>
          </w:tcPr>
          <w:p>
            <w:pPr>
              <w:spacing w:after="0"/>
              <w:rPr>
                <w:sz w:val="9"/>
                <w:szCs w:val="9"/>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226"/>
        </w:trPr>
        <w:tc>
          <w:tcPr>
            <w:tcW w:w="3160" w:type="dxa"/>
            <w:vAlign w:val="bottom"/>
            <w:tcBorders>
              <w:left w:val="single" w:sz="8" w:color="auto"/>
              <w:bottom w:val="single" w:sz="8" w:color="auto"/>
              <w:right w:val="single" w:sz="8" w:color="auto"/>
            </w:tcBorders>
          </w:tcPr>
          <w:p>
            <w:pPr>
              <w:spacing w:after="0"/>
              <w:rPr>
                <w:sz w:val="19"/>
                <w:szCs w:val="19"/>
                <w:color w:val="auto"/>
              </w:rPr>
            </w:pPr>
          </w:p>
        </w:tc>
        <w:tc>
          <w:tcPr>
            <w:tcW w:w="6780" w:type="dxa"/>
            <w:vAlign w:val="bottom"/>
            <w:tcBorders>
              <w:bottom w:val="single" w:sz="8" w:color="auto"/>
              <w:right w:val="single" w:sz="8" w:color="auto"/>
            </w:tcBorders>
          </w:tcPr>
          <w:p>
            <w:pPr>
              <w:spacing w:after="0"/>
              <w:rPr>
                <w:sz w:val="19"/>
                <w:szCs w:val="19"/>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47914</w:t>
            </w:r>
          </w:p>
        </w:tc>
      </w:tr>
      <w:tr>
        <w:trPr>
          <w:trHeight w:val="212"/>
        </w:trPr>
        <w:tc>
          <w:tcPr>
            <w:tcW w:w="3160" w:type="dxa"/>
            <w:vAlign w:val="bottom"/>
            <w:tcBorders>
              <w:left w:val="single" w:sz="8" w:color="auto"/>
              <w:bottom w:val="single" w:sz="8" w:color="auto"/>
              <w:right w:val="single" w:sz="8" w:color="auto"/>
            </w:tcBorders>
          </w:tcPr>
          <w:p>
            <w:pPr>
              <w:spacing w:after="0"/>
              <w:rPr>
                <w:sz w:val="18"/>
                <w:szCs w:val="18"/>
                <w:color w:val="auto"/>
              </w:rPr>
            </w:pPr>
          </w:p>
        </w:tc>
        <w:tc>
          <w:tcPr>
            <w:tcW w:w="6780" w:type="dxa"/>
            <w:vAlign w:val="bottom"/>
            <w:tcBorders>
              <w:bottom w:val="single" w:sz="8" w:color="auto"/>
              <w:right w:val="single" w:sz="8" w:color="auto"/>
            </w:tcBorders>
          </w:tcPr>
          <w:p>
            <w:pPr>
              <w:spacing w:after="0"/>
              <w:rPr>
                <w:sz w:val="18"/>
                <w:szCs w:val="18"/>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740661</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9707508</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8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89"/>
        </w:trPr>
        <w:tc>
          <w:tcPr>
            <w:tcW w:w="3160" w:type="dxa"/>
            <w:vAlign w:val="bottom"/>
            <w:tcBorders>
              <w:left w:val="single" w:sz="8" w:color="auto"/>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15 August 2013 as amended to date made between the Owner</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Methane Services Limited with charter tenor up to 30 September 2028 (plus a 3 year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extension, if exercised)</w:t>
            </w:r>
          </w:p>
        </w:tc>
      </w:tr>
      <w:tr>
        <w:trPr>
          <w:trHeight w:val="162"/>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Methane Services Limited of 100 Thames Valley Park Drive, Reading, Berkshire RG6 1PT,</w:t>
            </w:r>
          </w:p>
        </w:tc>
      </w:tr>
      <w:tr>
        <w:trPr>
          <w:trHeight w:val="234"/>
        </w:trPr>
        <w:tc>
          <w:tcPr>
            <w:tcW w:w="31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80" w:type="dxa"/>
            <w:vAlign w:val="bottom"/>
            <w:tcBorders>
              <w:right w:val="single" w:sz="8" w:color="auto"/>
            </w:tcBorders>
          </w:tcPr>
          <w:p>
            <w:pPr>
              <w:spacing w:after="0"/>
              <w:rPr>
                <w:sz w:val="20"/>
                <w:szCs w:val="20"/>
                <w:color w:val="auto"/>
              </w:rPr>
            </w:pPr>
          </w:p>
        </w:tc>
      </w:tr>
      <w:tr>
        <w:trPr>
          <w:trHeight w:val="189"/>
        </w:trPr>
        <w:tc>
          <w:tcPr>
            <w:tcW w:w="3160" w:type="dxa"/>
            <w:vAlign w:val="bottom"/>
            <w:tcBorders>
              <w:left w:val="single" w:sz="8" w:color="auto"/>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67"/>
        </w:trPr>
        <w:tc>
          <w:tcPr>
            <w:tcW w:w="3160" w:type="dxa"/>
            <w:vAlign w:val="bottom"/>
            <w:tcBorders>
              <w:left w:val="single" w:sz="8" w:color="auto"/>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-1773555</wp:posOffset>
            </wp:positionV>
            <wp:extent cx="13716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89" w:right="979" w:bottom="1440" w:gutter="0" w:footer="0" w:header="0"/>
        </w:sectPr>
      </w:pPr>
    </w:p>
    <w:bookmarkStart w:id="394" w:name="page395"/>
    <w:bookmarkEnd w:id="394"/>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GASLOG GIBRALTAR</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GIBRALTAR</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GAS-fourteen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47915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740662</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9707510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15 August 2013 as amended to date made between the Owner</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Methane Services Limited with charter tenor up to 31 October 2028 (plus a 3 year</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extension, if exercised)</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Methane Services Limited of 100 Thames Valley Park Drive, Reading, Berkshire RG6 1PT,</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-1868170</wp:posOffset>
            </wp:positionV>
            <wp:extent cx="13716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95" w:name="page396"/>
    <w:bookmarkEnd w:id="395"/>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GASLOG SANTIAGO</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SANTIAGO</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GAS-four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44210</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740553</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9600530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3"/>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-1456690</wp:posOffset>
            </wp:positionV>
            <wp:extent cx="137160"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96" w:name="page397"/>
    <w:bookmarkEnd w:id="396"/>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METHANE RITA ANDREA</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METHANE RITA ANDREA</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GAS-sixteen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48624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737895</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9307188</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FL 40,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-1456690</wp:posOffset>
            </wp:positionV>
            <wp:extent cx="13716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97" w:name="page398"/>
    <w:bookmarkEnd w:id="397"/>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METHANE JANE ELIZABETH</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METHANE JANE ELIZABETH</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GAS-seventeen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48625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737897</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9307190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FL 40,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-1456690</wp:posOffset>
            </wp:positionV>
            <wp:extent cx="13716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98" w:name="page399"/>
    <w:bookmarkEnd w:id="398"/>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GASLOG SEATTLE</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GASLOG SEATTLE</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GAS-seven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45254</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740578</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9634086</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CPS,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-1456690</wp:posOffset>
            </wp:positionV>
            <wp:extent cx="137160" cy="137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399" w:name="page400"/>
    <w:bookmarkEnd w:id="399"/>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SOLARIS</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SOLARIS</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GAS-eight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45255</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740587</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9634098</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Natural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APS, SH, CPS,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charter agreement dated 4 August 2023 as amended to date made between the Owner and</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 Fuel International Co., Ltd. with charter tenor up to 03 April 2030 (6,5 years from the</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 of its delivery (3/10/2023))</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 Fuel International Co., Ltd. of 3-6-16, Nakanoshima, Kita-ku, Osaka 530-8270, Japan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-1731010</wp:posOffset>
            </wp:positionV>
            <wp:extent cx="137160" cy="1371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400" w:name="page401"/>
    <w:bookmarkEnd w:id="400"/>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METHANE ALISON VICTORIA</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METHANE ALISON VICTORIA</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GAS-nineteen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48943</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737921</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9321768</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FL 40,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-1456690</wp:posOffset>
            </wp:positionV>
            <wp:extent cx="13716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401" w:name="page402"/>
    <w:bookmarkEnd w:id="401"/>
    <w:tbl>
      <w:tblPr>
        <w:tblLayout w:type="fixed"/>
        <w:tblInd w:w="10" w:type="dxa"/>
        <w:tblCellMar>
          <w:top w:w="0" w:type="dxa"/>
          <w:left w:w="0" w:type="dxa"/>
          <w:bottom w:w="0" w:type="dxa"/>
          <w:right w:w="0" w:type="dxa"/>
        </w:tblCellMar>
      </w:tblPr>
      <w:tr>
        <w:trPr>
          <w:trHeight w:val="252"/>
        </w:trPr>
        <w:tc>
          <w:tcPr>
            <w:tcW w:w="3160" w:type="dxa"/>
            <w:vAlign w:val="bottom"/>
            <w:tcBorders>
              <w:top w:val="single" w:sz="8" w:color="auto"/>
              <w:left w:val="single" w:sz="8" w:color="auto"/>
            </w:tcBorders>
          </w:tcPr>
          <w:p>
            <w:pPr>
              <w:spacing w:after="0"/>
              <w:rPr>
                <w:sz w:val="21"/>
                <w:szCs w:val="21"/>
                <w:color w:val="auto"/>
              </w:rPr>
            </w:pPr>
          </w:p>
        </w:tc>
        <w:tc>
          <w:tcPr>
            <w:tcW w:w="676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METHANE BECKI ANNE</w:t>
            </w:r>
          </w:p>
        </w:tc>
      </w:tr>
      <w:tr>
        <w:trPr>
          <w:trHeight w:val="153"/>
        </w:trPr>
        <w:tc>
          <w:tcPr>
            <w:tcW w:w="316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Ship:</w:t>
            </w: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METHANE BECKI ANNE</w:t>
            </w:r>
            <w:r>
              <w:rPr>
                <w:rFonts w:ascii="Arial" w:cs="Arial" w:eastAsia="Arial" w:hAnsi="Arial"/>
                <w:sz w:val="18"/>
                <w:szCs w:val="18"/>
                <w:color w:val="auto"/>
              </w:rPr>
              <w:t>”</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GAS-twenty seven Ltd.</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where Owner of Ship is</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6760" w:type="dxa"/>
            <w:vAlign w:val="bottom"/>
            <w:tcBorders>
              <w:right w:val="single" w:sz="8" w:color="auto"/>
            </w:tcBorders>
          </w:tcPr>
          <w:p>
            <w:pPr>
              <w:spacing w:after="0"/>
              <w:rPr>
                <w:sz w:val="20"/>
                <w:szCs w:val="20"/>
                <w:color w:val="auto"/>
              </w:rPr>
            </w:pPr>
          </w:p>
        </w:tc>
      </w:tr>
      <w:tr>
        <w:trPr>
          <w:trHeight w:val="176"/>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office: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40"/>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Owner of Ship</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 registered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49900</w:t>
            </w:r>
          </w:p>
        </w:tc>
      </w:tr>
      <w:tr>
        <w:trPr>
          <w:trHeight w:val="145"/>
        </w:trPr>
        <w:tc>
          <w:tcPr>
            <w:tcW w:w="3160" w:type="dxa"/>
            <w:vAlign w:val="bottom"/>
            <w:tcBorders>
              <w:left w:val="single" w:sz="8" w:color="auto"/>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spacing w:after="0"/>
              <w:rPr>
                <w:sz w:val="12"/>
                <w:szCs w:val="12"/>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Flag State:</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Port of Registry: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Hamilton</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Official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740514</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IMO Number: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9516129</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Major Casualty Amount:</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Society:</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Bureau of Shipping</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264"/>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760" w:type="dxa"/>
            <w:vAlign w:val="bottom"/>
            <w:tcBorders>
              <w:right w:val="single" w:sz="8" w:color="auto"/>
            </w:tcBorders>
          </w:tcPr>
          <w:p>
            <w:pPr>
              <w:ind w:left="100"/>
              <w:spacing w:after="0"/>
              <w:rPr>
                <w:sz w:val="20"/>
                <w:szCs w:val="20"/>
                <w:color w:val="auto"/>
              </w:rPr>
            </w:pPr>
            <w:r>
              <w:rPr>
                <w:rFonts w:ascii="Wingdings" w:cs="Wingdings" w:eastAsia="Wingdings" w:hAnsi="Wingdings"/>
                <w:sz w:val="22"/>
                <w:szCs w:val="22"/>
                <w:b w:val="1"/>
                <w:bCs w:val="1"/>
                <w:color w:val="auto"/>
              </w:rPr>
              <w:t>X</w:t>
            </w:r>
            <w:r>
              <w:rPr>
                <w:rFonts w:ascii="Times New Roman" w:cs="Times New Roman" w:eastAsia="Times New Roman" w:hAnsi="Times New Roman"/>
                <w:sz w:val="17"/>
                <w:szCs w:val="17"/>
                <w:color w:val="auto"/>
              </w:rPr>
              <w:t>A1, Liquefied Gas Carrier,   ,</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AMS,</w:t>
            </w:r>
            <w:r>
              <w:rPr>
                <w:rFonts w:ascii="Wingdings" w:cs="Wingdings" w:eastAsia="Wingdings" w:hAnsi="Wingdings"/>
                <w:sz w:val="22"/>
                <w:szCs w:val="22"/>
                <w:b w:val="1"/>
                <w:bCs w:val="1"/>
                <w:color w:val="auto"/>
              </w:rPr>
              <w:t xml:space="preserve"> X</w:t>
            </w:r>
            <w:r>
              <w:rPr>
                <w:rFonts w:ascii="Times New Roman" w:cs="Times New Roman" w:eastAsia="Times New Roman" w:hAnsi="Times New Roman"/>
                <w:sz w:val="17"/>
                <w:szCs w:val="17"/>
                <w:color w:val="auto"/>
              </w:rPr>
              <w:t>ACCU, FL 40, SH, SHCM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Initial Charter date and description:</w:t>
            </w:r>
          </w:p>
        </w:tc>
        <w:tc>
          <w:tcPr>
            <w:tcW w:w="67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 charter agreement dated 25 March 2015 as amended to date made between the Owner and</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Methane Services Limited with charter tenor up to 31 March 2029</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91"/>
        </w:trPr>
        <w:tc>
          <w:tcPr>
            <w:tcW w:w="3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Charterer:</w:t>
            </w:r>
          </w:p>
        </w:tc>
        <w:tc>
          <w:tcPr>
            <w:tcW w:w="67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Methane Services Limited of 100 Thames Valley Park Drive, Reading, Berkshire RG6 1PT,</w:t>
            </w:r>
          </w:p>
        </w:tc>
      </w:tr>
      <w:tr>
        <w:trPr>
          <w:trHeight w:val="234"/>
        </w:trPr>
        <w:tc>
          <w:tcPr>
            <w:tcW w:w="316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187"/>
        </w:trPr>
        <w:tc>
          <w:tcPr>
            <w:tcW w:w="31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Charter Guarantee date and</w:t>
            </w:r>
          </w:p>
        </w:tc>
        <w:tc>
          <w:tcPr>
            <w:tcW w:w="67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N/A</w:t>
            </w:r>
          </w:p>
        </w:tc>
      </w:tr>
      <w:tr>
        <w:trPr>
          <w:trHeight w:val="238"/>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760" w:type="dxa"/>
            <w:vAlign w:val="bottom"/>
            <w:tcBorders>
              <w:right w:val="single" w:sz="8" w:color="auto"/>
            </w:tcBorders>
          </w:tcPr>
          <w:p>
            <w:pPr>
              <w:spacing w:after="0"/>
              <w:rPr>
                <w:sz w:val="20"/>
                <w:szCs w:val="20"/>
                <w:color w:val="auto"/>
              </w:rPr>
            </w:pPr>
          </w:p>
        </w:tc>
      </w:tr>
      <w:tr>
        <w:trPr>
          <w:trHeight w:val="175"/>
        </w:trPr>
        <w:tc>
          <w:tcPr>
            <w:tcW w:w="3160" w:type="dxa"/>
            <w:vAlign w:val="bottom"/>
            <w:tcBorders>
              <w:left w:val="single" w:sz="8" w:color="auto"/>
              <w:bottom w:val="single" w:sz="8" w:color="auto"/>
              <w:right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spacing w:after="0"/>
              <w:rPr>
                <w:sz w:val="15"/>
                <w:szCs w:val="15"/>
                <w:color w:val="auto"/>
              </w:rPr>
            </w:pPr>
          </w:p>
        </w:tc>
      </w:tr>
      <w:tr>
        <w:trPr>
          <w:trHeight w:val="232"/>
        </w:trPr>
        <w:tc>
          <w:tcPr>
            <w:tcW w:w="3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Charter Guarantor:</w:t>
            </w:r>
          </w:p>
        </w:tc>
        <w:tc>
          <w:tcPr>
            <w:tcW w:w="6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r>
      <w:tr>
        <w:trPr>
          <w:trHeight w:val="153"/>
        </w:trPr>
        <w:tc>
          <w:tcPr>
            <w:tcW w:w="3160" w:type="dxa"/>
            <w:vAlign w:val="bottom"/>
            <w:tcBorders>
              <w:left w:val="single" w:sz="8" w:color="auto"/>
              <w:bottom w:val="single" w:sz="8" w:color="auto"/>
              <w:right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-1731010</wp:posOffset>
            </wp:positionV>
            <wp:extent cx="13716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402" w:name="page403"/>
    <w:bookmarkEnd w:id="40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Conditions precedent to the first Utilisation</w:t>
      </w:r>
    </w:p>
    <w:p>
      <w:pPr>
        <w:spacing w:after="0" w:line="239" w:lineRule="exact"/>
        <w:rPr>
          <w:sz w:val="20"/>
          <w:szCs w:val="20"/>
          <w:color w:val="auto"/>
        </w:rPr>
      </w:pPr>
    </w:p>
    <w:p>
      <w:pPr>
        <w:ind w:left="652" w:hanging="652"/>
        <w:spacing w:after="0"/>
        <w:tabs>
          <w:tab w:leader="none" w:pos="652" w:val="left"/>
        </w:tabs>
        <w:numPr>
          <w:ilvl w:val="0"/>
          <w:numId w:val="6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Obligors' corporate documents</w:t>
      </w:r>
    </w:p>
    <w:p>
      <w:pPr>
        <w:spacing w:after="0" w:line="229"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each Obligor.</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each Obligor (or, if applicable, any committee of such board empowered to approve and authorise the following matters):</w:t>
      </w:r>
    </w:p>
    <w:p>
      <w:pPr>
        <w:spacing w:after="0" w:line="161"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approving the terms of, and the transactions contemplated by, the Finance Documents to which it is a party (its </w:t>
      </w:r>
      <w:r>
        <w:rPr>
          <w:rFonts w:ascii="Times New Roman" w:cs="Times New Roman" w:eastAsia="Times New Roman" w:hAnsi="Times New Roman"/>
          <w:sz w:val="18"/>
          <w:szCs w:val="18"/>
          <w:b w:val="1"/>
          <w:bCs w:val="1"/>
          <w:color w:val="auto"/>
        </w:rPr>
        <w:t>Relevant Documents</w:t>
      </w:r>
      <w:r>
        <w:rPr>
          <w:rFonts w:ascii="Times New Roman" w:cs="Times New Roman" w:eastAsia="Times New Roman" w:hAnsi="Times New Roman"/>
          <w:sz w:val="18"/>
          <w:szCs w:val="18"/>
          <w:color w:val="auto"/>
        </w:rPr>
        <w:t>) and resolving that it execute, deliver and perform the Relevant Documents to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party;</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its Relevant Documents on its behalf; and</w:t>
      </w:r>
    </w:p>
    <w:p>
      <w:pPr>
        <w:spacing w:after="0" w:line="225"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its Relevant Documents.</w:t>
      </w:r>
    </w:p>
    <w:p>
      <w:pPr>
        <w:spacing w:after="0" w:line="17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(b) above in relation to its Relevant Documents and related documents.</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requirement under the Constitutional Documents of each Obligor or under Bermudian law), a copy of a resolution signed by all the holders of the issued shares in each Obligor, approving the terms of, and the transactions contemplated by, its Relevant Documents to which such Obligor is a party.</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requirement under the Constitutional Documents of each Obligor or under Bermudian law), a copy of a resolution of the board of directors of each corporate shareholder of each relevant Obligor approving the terms of the resolution referred to in paragraph (d) above.</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Borrower (signed by a director) confirming that borrowing or guaranteeing or securing, as appropriate, the Total Commitments would not cause any borrowing, guarantee, security or similar limit binding on any Obligor to be exceeded.</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power of attorney under which any person is appointed by any Obligor to execute any of its Relevant Documents on its behalf.</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each Obligor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76" w:lineRule="exact"/>
        <w:rPr>
          <w:sz w:val="20"/>
          <w:szCs w:val="20"/>
          <w:color w:val="auto"/>
        </w:rPr>
      </w:pPr>
    </w:p>
    <w:p>
      <w:pPr>
        <w:ind w:left="652" w:hanging="652"/>
        <w:spacing w:after="0"/>
        <w:tabs>
          <w:tab w:leader="none" w:pos="652"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opinions</w:t>
      </w:r>
    </w:p>
    <w:p>
      <w:pPr>
        <w:spacing w:after="0" w:line="229" w:lineRule="exact"/>
        <w:rPr>
          <w:rFonts w:ascii="Times New Roman" w:cs="Times New Roman" w:eastAsia="Times New Roman" w:hAnsi="Times New Roman"/>
          <w:sz w:val="18"/>
          <w:szCs w:val="18"/>
          <w:b w:val="1"/>
          <w:bCs w:val="1"/>
          <w:color w:val="auto"/>
        </w:rPr>
      </w:pPr>
    </w:p>
    <w:p>
      <w:pPr>
        <w:ind w:left="65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legal opinions, each addressed to the Agent, the Security Agent and the Original Lenders and capable of being relied upon by any persons who become Lenders pursuant to the primary syndication of the Facility:</w:t>
      </w:r>
    </w:p>
    <w:p>
      <w:pPr>
        <w:spacing w:after="0" w:line="161" w:lineRule="exact"/>
        <w:rPr>
          <w:rFonts w:ascii="Times New Roman" w:cs="Times New Roman" w:eastAsia="Times New Roman" w:hAnsi="Times New Roman"/>
          <w:sz w:val="18"/>
          <w:szCs w:val="18"/>
          <w:b w:val="1"/>
          <w:bCs w:val="1"/>
          <w:color w:val="auto"/>
        </w:rPr>
      </w:pPr>
    </w:p>
    <w:p>
      <w:pPr>
        <w:ind w:left="1292" w:right="20" w:hanging="644"/>
        <w:spacing w:after="0" w:line="282" w:lineRule="auto"/>
        <w:tabs>
          <w:tab w:leader="none" w:pos="1292"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Norton Rose Fulbright on matters of English law substantially in the form distributed to the Original Lenders and approved by the Agent prior to signing this Agreement.</w:t>
      </w:r>
    </w:p>
    <w:p>
      <w:pPr>
        <w:sectPr>
          <w:pgSz w:w="11900" w:h="16838" w:orient="portrait"/>
          <w:cols w:equalWidth="0" w:num="1">
            <w:col w:w="9912"/>
          </w:cols>
          <w:pgMar w:left="988" w:top="86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864" w:right="999" w:bottom="1440" w:gutter="0" w:footer="0" w:header="0"/>
          <w:type w:val="continuous"/>
        </w:sectPr>
      </w:pPr>
    </w:p>
    <w:bookmarkStart w:id="403" w:name="page404"/>
    <w:bookmarkEnd w:id="403"/>
    <w:p>
      <w:pPr>
        <w:jc w:val="both"/>
        <w:ind w:left="1292" w:hanging="644"/>
        <w:spacing w:after="0" w:line="261" w:lineRule="auto"/>
        <w:tabs>
          <w:tab w:leader="none" w:pos="1292"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legal advisers to the Arrangers and the Agent in each jurisdiction (other than England and Wales) in which an Obligor is incorporated and/or which is or is to be the Flag State of a Mortgaged Ship or in which an Account opened at the relevant time is established, substantially in the form distributed to the Original Lenders and approved by the Agent prior to signing this Agreement.</w:t>
      </w:r>
    </w:p>
    <w:p>
      <w:pPr>
        <w:spacing w:after="0" w:line="176" w:lineRule="exact"/>
        <w:rPr>
          <w:sz w:val="20"/>
          <w:szCs w:val="20"/>
          <w:color w:val="auto"/>
        </w:rPr>
      </w:pPr>
    </w:p>
    <w:p>
      <w:pPr>
        <w:ind w:left="652" w:hanging="652"/>
        <w:spacing w:after="0"/>
        <w:tabs>
          <w:tab w:leader="none" w:pos="652"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 and evidence</w:t>
      </w:r>
    </w:p>
    <w:p>
      <w:pPr>
        <w:spacing w:after="0" w:line="227" w:lineRule="exact"/>
        <w:rPr>
          <w:rFonts w:ascii="Times New Roman" w:cs="Times New Roman" w:eastAsia="Times New Roman" w:hAnsi="Times New Roman"/>
          <w:sz w:val="18"/>
          <w:szCs w:val="18"/>
          <w:b w:val="1"/>
          <w:bCs w:val="1"/>
          <w:color w:val="auto"/>
        </w:rPr>
      </w:pPr>
    </w:p>
    <w:p>
      <w:pPr>
        <w:ind w:left="1292" w:right="20" w:hanging="644"/>
        <w:spacing w:after="0" w:line="284" w:lineRule="auto"/>
        <w:tabs>
          <w:tab w:leader="none" w:pos="1292"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any process agent referred to in clause 51.2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or any equivalent provision of any other Finance Document entered into on or before the first Utilisation Date, if not an Obligor, has accepted its appointment.</w:t>
      </w:r>
    </w:p>
    <w:p>
      <w:pPr>
        <w:spacing w:after="0" w:line="160"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Financial Statements together with a Compliance Certificate in respect of the Borrower for the period covered by the Original Financial Statements.</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 Letters duly executed and evidence that the fees, commissions, costs and expenses then due from the Borrower pursuant to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and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xml:space="preserve"> have been paid or will be paid by the first Utilisation Date.</w:t>
      </w:r>
    </w:p>
    <w:p>
      <w:pPr>
        <w:spacing w:after="0" w:line="172" w:lineRule="exact"/>
        <w:rPr>
          <w:sz w:val="20"/>
          <w:szCs w:val="20"/>
          <w:color w:val="auto"/>
        </w:rPr>
      </w:pPr>
    </w:p>
    <w:p>
      <w:pPr>
        <w:ind w:left="652" w:hanging="652"/>
        <w:spacing w:after="0"/>
        <w:tabs>
          <w:tab w:leader="none" w:pos="652"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Accounts</w:t>
      </w:r>
    </w:p>
    <w:p>
      <w:pPr>
        <w:spacing w:after="0" w:line="227" w:lineRule="exact"/>
        <w:rPr>
          <w:rFonts w:ascii="Times New Roman" w:cs="Times New Roman" w:eastAsia="Times New Roman" w:hAnsi="Times New Roman"/>
          <w:sz w:val="18"/>
          <w:szCs w:val="18"/>
          <w:b w:val="1"/>
          <w:bCs w:val="1"/>
          <w:color w:val="auto"/>
        </w:rPr>
      </w:pPr>
    </w:p>
    <w:p>
      <w:pPr>
        <w:jc w:val="both"/>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Evidence that any Account required to be established under clause 27 </w:t>
      </w:r>
      <w:r>
        <w:rPr>
          <w:rFonts w:ascii="Times New Roman" w:cs="Times New Roman" w:eastAsia="Times New Roman" w:hAnsi="Times New Roman"/>
          <w:sz w:val="18"/>
          <w:szCs w:val="18"/>
          <w:i w:val="1"/>
          <w:iCs w:val="1"/>
          <w:color w:val="auto"/>
        </w:rPr>
        <w:t>(Bank accounts)</w:t>
      </w:r>
      <w:r>
        <w:rPr>
          <w:rFonts w:ascii="Times New Roman" w:cs="Times New Roman" w:eastAsia="Times New Roman" w:hAnsi="Times New Roman"/>
          <w:sz w:val="18"/>
          <w:szCs w:val="18"/>
          <w:color w:val="auto"/>
        </w:rPr>
        <w:t xml:space="preserve"> has been opened and established with the Account Bank, that any Account Security in respect of each such Account has been executed and delivered by the relevant Account Holder(s) and that any notice required to be given to an Account Bank under that Account Security has been given to it and acknowledged by it in the manner required by that Account Security and that an amount has been credited to it.</w:t>
      </w:r>
    </w:p>
    <w:p>
      <w:pPr>
        <w:spacing w:after="0" w:line="178" w:lineRule="exact"/>
        <w:rPr>
          <w:sz w:val="20"/>
          <w:szCs w:val="20"/>
          <w:color w:val="auto"/>
        </w:rPr>
      </w:pPr>
    </w:p>
    <w:p>
      <w:pPr>
        <w:ind w:left="652" w:hanging="652"/>
        <w:spacing w:after="0"/>
        <w:tabs>
          <w:tab w:leader="none" w:pos="652"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Valuations</w:t>
      </w:r>
    </w:p>
    <w:p>
      <w:pPr>
        <w:spacing w:after="0" w:line="227" w:lineRule="exact"/>
        <w:rPr>
          <w:sz w:val="20"/>
          <w:szCs w:val="20"/>
          <w:color w:val="auto"/>
        </w:rPr>
      </w:pPr>
    </w:p>
    <w:p>
      <w:pPr>
        <w:ind w:left="652" w:right="20"/>
        <w:spacing w:after="0" w:line="284" w:lineRule="auto"/>
        <w:rPr>
          <w:sz w:val="20"/>
          <w:szCs w:val="20"/>
          <w:color w:val="auto"/>
        </w:rPr>
      </w:pPr>
      <w:r>
        <w:rPr>
          <w:rFonts w:ascii="Times New Roman" w:cs="Times New Roman" w:eastAsia="Times New Roman" w:hAnsi="Times New Roman"/>
          <w:sz w:val="18"/>
          <w:szCs w:val="18"/>
          <w:color w:val="auto"/>
        </w:rPr>
        <w:t xml:space="preserve">Valuations (not more than 30 days old) obtained in accordance with clause 25 </w:t>
      </w:r>
      <w:r>
        <w:rPr>
          <w:rFonts w:ascii="Times New Roman" w:cs="Times New Roman" w:eastAsia="Times New Roman" w:hAnsi="Times New Roman"/>
          <w:sz w:val="18"/>
          <w:szCs w:val="18"/>
          <w:i w:val="1"/>
          <w:iCs w:val="1"/>
          <w:color w:val="auto"/>
        </w:rPr>
        <w:t>(Minimum security value)</w:t>
      </w:r>
      <w:r>
        <w:rPr>
          <w:rFonts w:ascii="Times New Roman" w:cs="Times New Roman" w:eastAsia="Times New Roman" w:hAnsi="Times New Roman"/>
          <w:sz w:val="18"/>
          <w:szCs w:val="18"/>
          <w:color w:val="auto"/>
        </w:rPr>
        <w:t xml:space="preserve"> showing the market value of the Ships.</w:t>
      </w:r>
    </w:p>
    <w:p>
      <w:pPr>
        <w:spacing w:after="0" w:line="156" w:lineRule="exact"/>
        <w:rPr>
          <w:sz w:val="20"/>
          <w:szCs w:val="20"/>
          <w:color w:val="auto"/>
        </w:rPr>
      </w:pPr>
    </w:p>
    <w:p>
      <w:pPr>
        <w:ind w:left="652" w:hanging="652"/>
        <w:spacing w:after="0"/>
        <w:tabs>
          <w:tab w:leader="none" w:pos="652"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"Know your customer" information</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04" w:name="page405"/>
    <w:bookmarkEnd w:id="40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Ship and security conditions precedent</w:t>
      </w:r>
    </w:p>
    <w:p>
      <w:pPr>
        <w:spacing w:after="0" w:line="225" w:lineRule="exact"/>
        <w:rPr>
          <w:sz w:val="20"/>
          <w:szCs w:val="20"/>
          <w:color w:val="auto"/>
        </w:rPr>
      </w:pPr>
    </w:p>
    <w:p>
      <w:pPr>
        <w:ind w:left="652" w:hanging="652"/>
        <w:spacing w:after="0"/>
        <w:tabs>
          <w:tab w:leader="none" w:pos="652" w:val="left"/>
        </w:tabs>
        <w:numPr>
          <w:ilvl w:val="0"/>
          <w:numId w:val="6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229" w:lineRule="exact"/>
        <w:rPr>
          <w:rFonts w:ascii="Times New Roman" w:cs="Times New Roman" w:eastAsia="Times New Roman" w:hAnsi="Times New Roman"/>
          <w:sz w:val="18"/>
          <w:szCs w:val="18"/>
          <w:b w:val="1"/>
          <w:bCs w:val="1"/>
          <w:color w:val="auto"/>
        </w:rPr>
      </w:pPr>
    </w:p>
    <w:p>
      <w:pPr>
        <w:jc w:val="both"/>
        <w:ind w:left="1292" w:right="20" w:hanging="644"/>
        <w:spacing w:after="0" w:line="266" w:lineRule="auto"/>
        <w:tabs>
          <w:tab w:leader="none" w:pos="129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and (where the relevant Mortgage is in preferred form) the General Assignment or (where the relevant Mortgage is in account current form) the Deed of Covenant in respect of each Ship, each duly executed by the relevant Owner.</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Undertaking from the Manager of each Ship duly executed by the relevant Manager.</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notices of assignment and acknowledgements of those notices as required by any of the above Security Documents.</w:t>
      </w:r>
    </w:p>
    <w:p>
      <w:pPr>
        <w:spacing w:after="0" w:line="158" w:lineRule="exact"/>
        <w:rPr>
          <w:sz w:val="20"/>
          <w:szCs w:val="20"/>
          <w:color w:val="auto"/>
        </w:rPr>
      </w:pPr>
    </w:p>
    <w:p>
      <w:pPr>
        <w:ind w:left="652" w:hanging="652"/>
        <w:spacing w:after="0"/>
        <w:tabs>
          <w:tab w:leader="none" w:pos="652" w:val="left"/>
        </w:tabs>
        <w:numPr>
          <w:ilvl w:val="0"/>
          <w:numId w:val="6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 and related security</w:t>
      </w:r>
    </w:p>
    <w:p>
      <w:pPr>
        <w:spacing w:after="0" w:line="229" w:lineRule="exact"/>
        <w:rPr>
          <w:rFonts w:ascii="Times New Roman" w:cs="Times New Roman" w:eastAsia="Times New Roman" w:hAnsi="Times New Roman"/>
          <w:sz w:val="18"/>
          <w:szCs w:val="18"/>
          <w:b w:val="1"/>
          <w:bCs w:val="1"/>
          <w:color w:val="auto"/>
        </w:rPr>
      </w:pPr>
    </w:p>
    <w:p>
      <w:pPr>
        <w:ind w:left="1292" w:right="20" w:hanging="644"/>
        <w:spacing w:after="0" w:line="282" w:lineRule="auto"/>
        <w:tabs>
          <w:tab w:leader="none" w:pos="1292"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Charters, any other Charters and any relevant Charter Guarantees for each of the Ships, duly executed, on terms approved by the Majority Lenders.</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Assignment in respect of each Initial Charter and any other Charter (if available) of each Ship duly executed by the relevant Owner.</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notices of assignment of the Charter Documents referred to above in respect of each Ship and acknowledgements of those notices as required by any of the Security Documents (except where an acknowledgement may be delivered after the first Utilisation Date in accordance with the terms of clause 26.6 (</w:t>
      </w:r>
      <w:r>
        <w:rPr>
          <w:rFonts w:ascii="Times New Roman" w:cs="Times New Roman" w:eastAsia="Times New Roman" w:hAnsi="Times New Roman"/>
          <w:sz w:val="18"/>
          <w:szCs w:val="18"/>
          <w:i w:val="1"/>
          <w:iCs w:val="1"/>
          <w:color w:val="auto"/>
        </w:rPr>
        <w:t>Notice of assignment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Charter 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quiet enjoyment agreement is required from the Security Agent or any other Finance Party by the relevant charterer of a Ship under the terms of a charter commitment which is not a Charter, then (i) an assignment in respect of such charter commitment duly executed by the relevant Owner in a form similar to a Charter Assignment together with duly executed notice and acknowledgment in respect of the same in accordance with the terms of paragraph (c) above (except where an acknowledgment may be delivered after the first Utilisation Date in accordance with the terms of clause 26.6 (</w:t>
      </w:r>
      <w:r>
        <w:rPr>
          <w:rFonts w:ascii="Times New Roman" w:cs="Times New Roman" w:eastAsia="Times New Roman" w:hAnsi="Times New Roman"/>
          <w:sz w:val="18"/>
          <w:szCs w:val="18"/>
          <w:i w:val="1"/>
          <w:iCs w:val="1"/>
          <w:color w:val="auto"/>
        </w:rPr>
        <w:t>Notice of assignment of Charter Documents</w:t>
      </w:r>
      <w:r>
        <w:rPr>
          <w:rFonts w:ascii="Times New Roman" w:cs="Times New Roman" w:eastAsia="Times New Roman" w:hAnsi="Times New Roman"/>
          <w:sz w:val="18"/>
          <w:szCs w:val="18"/>
          <w:color w:val="auto"/>
        </w:rPr>
        <w:t>) and (ii) a duly executed Quiet Enjoyment Agreement in relation to each such Ship (except where such Quiet Enjoyment Agreement may be delivered after the first Utilisation Date in accordance with the terms of clause 26.6 (</w:t>
      </w:r>
      <w:r>
        <w:rPr>
          <w:rFonts w:ascii="Times New Roman" w:cs="Times New Roman" w:eastAsia="Times New Roman" w:hAnsi="Times New Roman"/>
          <w:sz w:val="18"/>
          <w:szCs w:val="18"/>
          <w:i w:val="1"/>
          <w:iCs w:val="1"/>
          <w:color w:val="auto"/>
        </w:rPr>
        <w:t>Notice of assignment of Charter Documents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52" w:right="6740" w:hanging="652"/>
        <w:spacing w:after="0" w:line="532" w:lineRule="auto"/>
        <w:tabs>
          <w:tab w:leader="none" w:pos="652" w:val="left"/>
        </w:tabs>
        <w:numPr>
          <w:ilvl w:val="0"/>
          <w:numId w:val="6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Delivery and registration of Ship </w:t>
      </w:r>
      <w:r>
        <w:rPr>
          <w:rFonts w:ascii="Times New Roman" w:cs="Times New Roman" w:eastAsia="Times New Roman" w:hAnsi="Times New Roman"/>
          <w:sz w:val="17"/>
          <w:szCs w:val="17"/>
          <w:color w:val="auto"/>
        </w:rPr>
        <w:t>Evidence that each of the Ships:</w:t>
      </w:r>
    </w:p>
    <w:p>
      <w:pPr>
        <w:spacing w:after="0" w:line="1" w:lineRule="exact"/>
        <w:rPr>
          <w:rFonts w:ascii="Times New Roman" w:cs="Times New Roman" w:eastAsia="Times New Roman" w:hAnsi="Times New Roman"/>
          <w:sz w:val="17"/>
          <w:szCs w:val="17"/>
          <w:b w:val="1"/>
          <w:bCs w:val="1"/>
          <w:color w:val="auto"/>
        </w:rPr>
      </w:pPr>
    </w:p>
    <w:p>
      <w:pPr>
        <w:jc w:val="both"/>
        <w:ind w:left="1292" w:right="20" w:hanging="644"/>
        <w:spacing w:after="0" w:line="266" w:lineRule="auto"/>
        <w:tabs>
          <w:tab w:leader="none" w:pos="129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legally and beneficially owned by the relevant Owner and registered in the name of the relevant Owner free of any Security Interests (except Permitted Security Interests) through the relevant Registry as a ship under the laws and flag of the relevant Flag State;</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classed with the relevant Classification free of all overdue requirements and overdue recommendations of the relevant Classification Society;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insured in the manner required by the Finance Documents;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delivered, and accepted for service, under its Initial Charter; and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free of any other charter commitment which would require approval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405" w:name="page406"/>
    <w:bookmarkEnd w:id="405"/>
    <w:p>
      <w:pPr>
        <w:ind w:left="652" w:hanging="652"/>
        <w:spacing w:after="0"/>
        <w:tabs>
          <w:tab w:leader="none" w:pos="652" w:val="left"/>
        </w:tabs>
        <w:numPr>
          <w:ilvl w:val="0"/>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registration</w:t>
      </w:r>
    </w:p>
    <w:p>
      <w:pPr>
        <w:spacing w:after="0" w:line="22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Evidence that the Mortgage in respect of each of the Ships has been registered against each of the Ships through the relevant Registry under the laws and flag of the relevant Flag State.</w:t>
      </w:r>
    </w:p>
    <w:p>
      <w:pPr>
        <w:spacing w:after="0" w:line="158" w:lineRule="exact"/>
        <w:rPr>
          <w:sz w:val="20"/>
          <w:szCs w:val="20"/>
          <w:color w:val="auto"/>
        </w:rPr>
      </w:pPr>
    </w:p>
    <w:p>
      <w:pPr>
        <w:ind w:left="652" w:hanging="652"/>
        <w:spacing w:after="0"/>
        <w:tabs>
          <w:tab w:leader="none" w:pos="652" w:val="left"/>
        </w:tabs>
        <w:numPr>
          <w:ilvl w:val="0"/>
          <w:numId w:val="6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further legal opinions, each addressed to the Agent, the Security Agent and the Original Lenders and capable of being relied upon by any persons who become Lenders pursuant to the primary syndication of the Facility:</w:t>
      </w:r>
    </w:p>
    <w:p>
      <w:pPr>
        <w:spacing w:after="0" w:line="161" w:lineRule="exact"/>
        <w:rPr>
          <w:rFonts w:ascii="Times New Roman" w:cs="Times New Roman" w:eastAsia="Times New Roman" w:hAnsi="Times New Roman"/>
          <w:sz w:val="18"/>
          <w:szCs w:val="18"/>
          <w:b w:val="1"/>
          <w:bCs w:val="1"/>
          <w:color w:val="auto"/>
        </w:rPr>
      </w:pPr>
    </w:p>
    <w:p>
      <w:pPr>
        <w:ind w:left="1292" w:hanging="644"/>
        <w:spacing w:after="0" w:line="282" w:lineRule="auto"/>
        <w:tabs>
          <w:tab w:leader="none" w:pos="1292"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Norton Rose Fulbright, on matters of English law substantially in the form distributed to the Original Lenders and approved by the Agent prior to signing this Agreement in relation to Security Documents.</w:t>
      </w:r>
    </w:p>
    <w:p>
      <w:pPr>
        <w:spacing w:after="0" w:line="161" w:lineRule="exact"/>
        <w:rPr>
          <w:rFonts w:ascii="Times New Roman" w:cs="Times New Roman" w:eastAsia="Times New Roman" w:hAnsi="Times New Roman"/>
          <w:sz w:val="18"/>
          <w:szCs w:val="18"/>
          <w:color w:val="auto"/>
        </w:rPr>
      </w:pPr>
    </w:p>
    <w:p>
      <w:pPr>
        <w:jc w:val="both"/>
        <w:ind w:left="1292" w:right="20" w:hanging="644"/>
        <w:spacing w:after="0" w:line="261" w:lineRule="auto"/>
        <w:tabs>
          <w:tab w:leader="none" w:pos="1292"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legal advisers to the Security Agent and the Agent in each jurisdiction in which an Obligor is incorporated and/or which is or is to be the Flag State of each of the Ships, or in which an Account opened at the relevant time is established substantially in the form distributed to the Original Lenders and approved by the Agent prior to signing this Agreement.</w:t>
      </w:r>
    </w:p>
    <w:p>
      <w:pPr>
        <w:spacing w:after="0" w:line="176" w:lineRule="exact"/>
        <w:rPr>
          <w:sz w:val="20"/>
          <w:szCs w:val="20"/>
          <w:color w:val="auto"/>
        </w:rPr>
      </w:pPr>
    </w:p>
    <w:p>
      <w:pPr>
        <w:ind w:left="652" w:hanging="652"/>
        <w:spacing w:after="0"/>
        <w:tabs>
          <w:tab w:leader="none" w:pos="652"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228"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each of the Ships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Insurances:</w:t>
      </w:r>
    </w:p>
    <w:p>
      <w:pPr>
        <w:spacing w:after="0" w:line="224"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insurance consultants appointed by the Agent on such Insurances;</w:t>
      </w:r>
    </w:p>
    <w:p>
      <w:pPr>
        <w:spacing w:after="0" w:line="22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such Insurances have been placed in accordance with clause 24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approved brokers, insurers and/or associations have issued or will issue letters of undertaking in favour of the Security Agent in an approved form in relation to the Insurances.</w:t>
      </w:r>
    </w:p>
    <w:p>
      <w:pPr>
        <w:spacing w:after="0" w:line="158" w:lineRule="exact"/>
        <w:rPr>
          <w:sz w:val="20"/>
          <w:szCs w:val="20"/>
          <w:color w:val="auto"/>
        </w:rPr>
      </w:pPr>
    </w:p>
    <w:p>
      <w:pPr>
        <w:ind w:left="652" w:right="7720" w:hanging="652"/>
        <w:spacing w:after="0" w:line="503" w:lineRule="auto"/>
        <w:tabs>
          <w:tab w:leader="none" w:pos="652" w:val="left"/>
        </w:tabs>
        <w:numPr>
          <w:ilvl w:val="0"/>
          <w:numId w:val="6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ISM and ISPS Code </w:t>
      </w:r>
      <w:r>
        <w:rPr>
          <w:rFonts w:ascii="Times New Roman" w:cs="Times New Roman" w:eastAsia="Times New Roman" w:hAnsi="Times New Roman"/>
          <w:sz w:val="18"/>
          <w:szCs w:val="18"/>
          <w:color w:val="auto"/>
        </w:rPr>
        <w:t>Copies of:</w:t>
      </w:r>
    </w:p>
    <w:p>
      <w:pPr>
        <w:ind w:left="1292" w:hanging="644"/>
        <w:spacing w:after="0"/>
        <w:tabs>
          <w:tab w:leader="none" w:pos="1292"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management certificate in respect of each of the Ships issued in accordance with the ISM Code;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ship security certificate in respect of each of the Ships issued under the ISPS Code;</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 of compliance issued in accordance with the ISM Code to the person who is the operator of each of the Ships for the purposes of that code; and</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requested by the Agent, any other certificates issued under any applicable code required to be observed by each of the Ships or in relation to its operation under any applicable law.</w:t>
      </w:r>
    </w:p>
    <w:p>
      <w:pPr>
        <w:spacing w:after="0" w:line="158" w:lineRule="exact"/>
        <w:rPr>
          <w:sz w:val="20"/>
          <w:szCs w:val="20"/>
          <w:color w:val="auto"/>
        </w:rPr>
      </w:pPr>
    </w:p>
    <w:p>
      <w:pPr>
        <w:ind w:left="652" w:hanging="652"/>
        <w:spacing w:after="0"/>
        <w:tabs>
          <w:tab w:leader="none" w:pos="652" w:val="left"/>
        </w:tabs>
        <w:numPr>
          <w:ilvl w:val="0"/>
          <w:numId w:val="6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227" w:lineRule="exact"/>
        <w:rPr>
          <w:rFonts w:ascii="Times New Roman" w:cs="Times New Roman" w:eastAsia="Times New Roman" w:hAnsi="Times New Roman"/>
          <w:sz w:val="18"/>
          <w:szCs w:val="18"/>
          <w:b w:val="1"/>
          <w:bCs w:val="1"/>
          <w:color w:val="auto"/>
        </w:rPr>
      </w:pPr>
    </w:p>
    <w:p>
      <w:pPr>
        <w:ind w:left="652"/>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Evidence that the fees, commissions, costs and expenses then due from the Borrower pursuant to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and clause 16 </w:t>
      </w:r>
      <w:r>
        <w:rPr>
          <w:rFonts w:ascii="Times New Roman" w:cs="Times New Roman" w:eastAsia="Times New Roman" w:hAnsi="Times New Roman"/>
          <w:sz w:val="18"/>
          <w:szCs w:val="18"/>
          <w:i w:val="1"/>
          <w:iCs w:val="1"/>
          <w:color w:val="auto"/>
        </w:rPr>
        <w:t xml:space="preserve">(Costs and expenses) </w:t>
      </w:r>
      <w:r>
        <w:rPr>
          <w:rFonts w:ascii="Times New Roman" w:cs="Times New Roman" w:eastAsia="Times New Roman" w:hAnsi="Times New Roman"/>
          <w:sz w:val="18"/>
          <w:szCs w:val="18"/>
          <w:color w:val="auto"/>
        </w:rPr>
        <w:t>have been paid or will be paid by the relevant Utilisation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406" w:name="page407"/>
    <w:bookmarkEnd w:id="406"/>
    <w:p>
      <w:pPr>
        <w:ind w:left="652" w:hanging="652"/>
        <w:spacing w:after="0"/>
        <w:tabs>
          <w:tab w:leader="none" w:pos="652" w:val="left"/>
        </w:tabs>
        <w:numPr>
          <w:ilvl w:val="0"/>
          <w:numId w:val="6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228"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If applicable, copies of each of the Ships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171" w:lineRule="exact"/>
        <w:rPr>
          <w:sz w:val="20"/>
          <w:szCs w:val="20"/>
          <w:color w:val="auto"/>
        </w:rPr>
      </w:pPr>
    </w:p>
    <w:p>
      <w:pPr>
        <w:ind w:left="652" w:hanging="652"/>
        <w:spacing w:after="0"/>
        <w:tabs>
          <w:tab w:leader="none" w:pos="652"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 of Hazardous Materials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Inventory of Hazardous Materials in respect if each Ship.</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w:t>
      </w:r>
    </w:p>
    <w:p>
      <w:pPr>
        <w:spacing w:after="0" w:line="227" w:lineRule="exact"/>
        <w:rPr>
          <w:rFonts w:ascii="Times New Roman" w:cs="Times New Roman" w:eastAsia="Times New Roman" w:hAnsi="Times New Roman"/>
          <w:sz w:val="18"/>
          <w:szCs w:val="18"/>
          <w:b w:val="1"/>
          <w:bCs w:val="1"/>
          <w:color w:val="auto"/>
        </w:rPr>
      </w:pPr>
    </w:p>
    <w:p>
      <w:pPr>
        <w:jc w:val="both"/>
        <w:ind w:left="652"/>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Where a manager of each of the Ships has been approved in accordance with clause 22.4 </w:t>
      </w: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 a copy, certified by an approved person to be a true and complete copy, of the management agreement between the relevant Owner and the manager relating to the appointment of the manager.</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Process agent</w:t>
      </w:r>
    </w:p>
    <w:p>
      <w:pPr>
        <w:spacing w:after="0" w:line="229" w:lineRule="exact"/>
        <w:rPr>
          <w:rFonts w:ascii="Times New Roman" w:cs="Times New Roman" w:eastAsia="Times New Roman" w:hAnsi="Times New Roman"/>
          <w:sz w:val="18"/>
          <w:szCs w:val="18"/>
          <w:b w:val="1"/>
          <w:bCs w:val="1"/>
          <w:color w:val="auto"/>
        </w:rPr>
      </w:pPr>
    </w:p>
    <w:p>
      <w:pPr>
        <w:ind w:left="65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Evidence that any process agent of any Obligor referred to in any provision of any Finance Document to be entered into under this Part 2, if not an Obligor, has accepted its appointment.</w:t>
      </w:r>
    </w:p>
    <w:p>
      <w:pPr>
        <w:spacing w:after="0" w:line="157" w:lineRule="exact"/>
        <w:rPr>
          <w:rFonts w:ascii="Times New Roman" w:cs="Times New Roman" w:eastAsia="Times New Roman" w:hAnsi="Times New Roman"/>
          <w:sz w:val="18"/>
          <w:szCs w:val="18"/>
          <w:b w:val="1"/>
          <w:bCs w:val="1"/>
          <w:color w:val="auto"/>
        </w:rPr>
      </w:pPr>
    </w:p>
    <w:p>
      <w:pPr>
        <w:ind w:left="652" w:right="7580" w:hanging="652"/>
        <w:spacing w:after="0" w:line="532" w:lineRule="auto"/>
        <w:tabs>
          <w:tab w:leader="none" w:pos="652" w:val="left"/>
        </w:tabs>
        <w:numPr>
          <w:ilvl w:val="0"/>
          <w:numId w:val="6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Existing Indebtedness </w:t>
      </w:r>
      <w:r>
        <w:rPr>
          <w:rFonts w:ascii="Times New Roman" w:cs="Times New Roman" w:eastAsia="Times New Roman" w:hAnsi="Times New Roman"/>
          <w:sz w:val="17"/>
          <w:szCs w:val="17"/>
          <w:color w:val="auto"/>
        </w:rPr>
        <w:t>Evidence:</w:t>
      </w:r>
    </w:p>
    <w:p>
      <w:pPr>
        <w:spacing w:after="0" w:line="1" w:lineRule="exact"/>
        <w:rPr>
          <w:rFonts w:ascii="Times New Roman" w:cs="Times New Roman" w:eastAsia="Times New Roman" w:hAnsi="Times New Roman"/>
          <w:sz w:val="17"/>
          <w:szCs w:val="17"/>
          <w:b w:val="1"/>
          <w:bCs w:val="1"/>
          <w:color w:val="auto"/>
        </w:rPr>
      </w:pPr>
    </w:p>
    <w:p>
      <w:pPr>
        <w:ind w:left="1292" w:right="20" w:hanging="644"/>
        <w:spacing w:after="0" w:line="282" w:lineRule="auto"/>
        <w:tabs>
          <w:tab w:leader="none" w:pos="1292"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respects satisfactory to the Agent that all of the Existing Indebtedness has been, or will be immediately following the first Utilisation, repaid in full; and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Obligors have been fully released and that all Security Interests created by the Obligors in respect of the Existing Indebtedness have been duly discharged and/or, as the case may be, re-assigned.</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documents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document, authorisation, opinion or assurance required by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407" w:name="page408"/>
    <w:bookmarkEnd w:id="407"/>
    <w:p>
      <w:pPr>
        <w:jc w:val="center"/>
        <w:spacing w:after="0"/>
        <w:rPr>
          <w:sz w:val="20"/>
          <w:szCs w:val="20"/>
          <w:color w:val="auto"/>
        </w:rPr>
      </w:pPr>
      <w:r>
        <w:rPr>
          <w:rFonts w:ascii="Times New Roman" w:cs="Times New Roman" w:eastAsia="Times New Roman" w:hAnsi="Times New Roman"/>
          <w:sz w:val="22"/>
          <w:szCs w:val="22"/>
          <w:b w:val="1"/>
          <w:bCs w:val="1"/>
          <w:color w:val="auto"/>
        </w:rPr>
        <w:t>Schedule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Reference Rate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funds as a fallback: Cost of funds will not apply as fallback</w:t>
      </w:r>
    </w:p>
    <w:p>
      <w:pPr>
        <w:spacing w:after="0" w:line="225" w:lineRule="exact"/>
        <w:rPr>
          <w:sz w:val="20"/>
          <w:szCs w:val="20"/>
          <w:color w:val="auto"/>
        </w:rPr>
      </w:pPr>
    </w:p>
    <w:p>
      <w:pPr>
        <w:ind w:left="660" w:hanging="652"/>
        <w:spacing w:after="0"/>
        <w:tabs>
          <w:tab w:leader="none" w:pos="660"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60" w:right="5240"/>
        <w:spacing w:after="0" w:line="5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Business Day </w:t>
      </w:r>
      <w:r>
        <w:rPr>
          <w:rFonts w:ascii="Times New Roman" w:cs="Times New Roman" w:eastAsia="Times New Roman" w:hAnsi="Times New Roman"/>
          <w:sz w:val="18"/>
          <w:szCs w:val="18"/>
          <w:color w:val="auto"/>
        </w:rPr>
        <w:t>means an RFR Banking Day.</w:t>
      </w:r>
      <w:r>
        <w:rPr>
          <w:rFonts w:ascii="Times New Roman" w:cs="Times New Roman" w:eastAsia="Times New Roman" w:hAnsi="Times New Roman"/>
          <w:sz w:val="18"/>
          <w:szCs w:val="18"/>
          <w:b w:val="1"/>
          <w:bCs w:val="1"/>
          <w:color w:val="auto"/>
        </w:rPr>
        <w:t xml:space="preserve"> Central Bank Rate </w:t>
      </w:r>
      <w:r>
        <w:rPr>
          <w:rFonts w:ascii="Times New Roman" w:cs="Times New Roman" w:eastAsia="Times New Roman" w:hAnsi="Times New Roman"/>
          <w:sz w:val="18"/>
          <w:szCs w:val="18"/>
          <w:color w:val="auto"/>
        </w:rPr>
        <w:t>means:</w:t>
      </w:r>
    </w:p>
    <w:p>
      <w:pPr>
        <w:ind w:left="1300" w:hanging="644"/>
        <w:spacing w:after="0" w:line="282" w:lineRule="auto"/>
        <w:tabs>
          <w:tab w:leader="none" w:pos="1300"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interest rate target set by the US Federal Open Market Committee as published by the Federal Reserve Bank of New York from time to time;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target is not a single figure, the arithmetic mean of: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upper bound of the short-term interest rate target range set by the US Federal Open Market Committee and published by the Federal Reserve Bank of New York;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bound of that target range.</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Central Bank Rate Adjustment </w:t>
      </w:r>
      <w:r>
        <w:rPr>
          <w:rFonts w:ascii="Times New Roman" w:cs="Times New Roman" w:eastAsia="Times New Roman" w:hAnsi="Times New Roman"/>
          <w:sz w:val="18"/>
          <w:szCs w:val="18"/>
          <w:color w:val="auto"/>
        </w:rPr>
        <w:t>means, in relation to the Central Bank Rate prevailing at close of business on any RFR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Day, the 20 per cent. trimmed arithmetic mean (calculated by the Agent) of the Central Bank Rate Spreads for the five most immediately preceding RFR Banking Days for which the RFR is available.</w:t>
      </w:r>
    </w:p>
    <w:p>
      <w:pPr>
        <w:spacing w:after="0" w:line="171"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Central Bank Rate Spread </w:t>
      </w:r>
      <w:r>
        <w:rPr>
          <w:rFonts w:ascii="Times New Roman" w:cs="Times New Roman" w:eastAsia="Times New Roman" w:hAnsi="Times New Roman"/>
          <w:sz w:val="18"/>
          <w:szCs w:val="18"/>
          <w:color w:val="auto"/>
        </w:rPr>
        <w:t>means, in relation to any RFR Banking Day, the difference (expressed as a percentage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calculated by the Agent between:</w:t>
      </w:r>
    </w:p>
    <w:p>
      <w:pPr>
        <w:spacing w:after="0" w:line="159" w:lineRule="exact"/>
        <w:rPr>
          <w:sz w:val="20"/>
          <w:szCs w:val="20"/>
          <w:color w:val="auto"/>
        </w:rPr>
      </w:pPr>
    </w:p>
    <w:p>
      <w:pPr>
        <w:ind w:left="1300" w:hanging="644"/>
        <w:spacing w:after="0"/>
        <w:tabs>
          <w:tab w:leader="none" w:pos="130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Rate prevailing at close of business on that RFR Banking Day;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Daily Rate.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Daily Rate </w:t>
      </w:r>
      <w:r>
        <w:rPr>
          <w:rFonts w:ascii="Times New Roman" w:cs="Times New Roman" w:eastAsia="Times New Roman" w:hAnsi="Times New Roman"/>
          <w:sz w:val="18"/>
          <w:szCs w:val="18"/>
          <w:color w:val="auto"/>
        </w:rPr>
        <w:t>means, in relation to any RFR Banking Day:</w:t>
      </w:r>
    </w:p>
    <w:p>
      <w:pPr>
        <w:spacing w:after="0" w:line="229" w:lineRule="exact"/>
        <w:rPr>
          <w:sz w:val="20"/>
          <w:szCs w:val="20"/>
          <w:color w:val="auto"/>
        </w:rPr>
      </w:pPr>
    </w:p>
    <w:p>
      <w:pPr>
        <w:ind w:left="1300" w:hanging="644"/>
        <w:spacing w:after="0"/>
        <w:tabs>
          <w:tab w:leader="none" w:pos="13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RFR for that RFR Banking Day;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RFR is not available for that RFR Banking Day, the percentage rate per annum which is the aggregate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Rate for that RFR Banking Day;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Central Bank Rate Adjustment;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paragraph (b) above applies but the Central Bank Rate for that RFR Banking Day is not available, the percentage rate per annum which is the aggregate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Central Bank Rate;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Central Bank Rate Adjustment,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rounded, in any case, to five decimal places and if, in any case, that rate is less than zero, the Daily Rate shall be deemed to be zero.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five RFR Banking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08" w:name="page409"/>
    <w:bookmarkEnd w:id="408"/>
    <w:p>
      <w:pPr>
        <w:ind w:left="652"/>
        <w:spacing w:after="0"/>
        <w:rPr>
          <w:sz w:val="20"/>
          <w:szCs w:val="20"/>
          <w:color w:val="auto"/>
        </w:rPr>
      </w:pPr>
      <w:r>
        <w:rPr>
          <w:rFonts w:ascii="Times New Roman" w:cs="Times New Roman" w:eastAsia="Times New Roman" w:hAnsi="Times New Roman"/>
          <w:sz w:val="18"/>
          <w:szCs w:val="18"/>
          <w:b w:val="1"/>
          <w:bCs w:val="1"/>
          <w:color w:val="auto"/>
        </w:rPr>
        <w:t xml:space="preserve">Relevant Market </w:t>
      </w:r>
      <w:r>
        <w:rPr>
          <w:rFonts w:ascii="Times New Roman" w:cs="Times New Roman" w:eastAsia="Times New Roman" w:hAnsi="Times New Roman"/>
          <w:sz w:val="18"/>
          <w:szCs w:val="18"/>
          <w:color w:val="auto"/>
        </w:rPr>
        <w:t>means the market for overnight cash borrowing collateralised by US Government securities.</w:t>
      </w:r>
    </w:p>
    <w:p>
      <w:pPr>
        <w:spacing w:after="0" w:line="22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RFR </w:t>
      </w:r>
      <w:r>
        <w:rPr>
          <w:rFonts w:ascii="Times New Roman" w:cs="Times New Roman" w:eastAsia="Times New Roman" w:hAnsi="Times New Roman"/>
          <w:sz w:val="18"/>
          <w:szCs w:val="18"/>
          <w:color w:val="auto"/>
        </w:rPr>
        <w:t>means the secured overnight financing rate (SOFR) administered by the Federal Reserve Bank of New York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which takes over the administration of that rate) published by the Federal Reserve Bank of New York (or any other person which takes over the publication of that rate).</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 xml:space="preserve">RFR Banking Day </w:t>
      </w:r>
      <w:r>
        <w:rPr>
          <w:rFonts w:ascii="Times New Roman" w:cs="Times New Roman" w:eastAsia="Times New Roman" w:hAnsi="Times New Roman"/>
          <w:sz w:val="18"/>
          <w:szCs w:val="18"/>
          <w:color w:val="auto"/>
        </w:rPr>
        <w:t>means any day other than:</w:t>
      </w:r>
    </w:p>
    <w:p>
      <w:pPr>
        <w:spacing w:after="0" w:line="229" w:lineRule="exact"/>
        <w:rPr>
          <w:sz w:val="20"/>
          <w:szCs w:val="20"/>
          <w:color w:val="auto"/>
        </w:rPr>
      </w:pPr>
    </w:p>
    <w:p>
      <w:pPr>
        <w:ind w:left="1292" w:hanging="644"/>
        <w:spacing w:after="0"/>
        <w:tabs>
          <w:tab w:leader="none" w:pos="1292"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or Sunday; and</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7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 xml:space="preserve">RFR Contingency Period </w:t>
      </w:r>
      <w:r>
        <w:rPr>
          <w:rFonts w:ascii="Times New Roman" w:cs="Times New Roman" w:eastAsia="Times New Roman" w:hAnsi="Times New Roman"/>
          <w:sz w:val="18"/>
          <w:szCs w:val="18"/>
          <w:color w:val="auto"/>
        </w:rPr>
        <w:t>means ten (10) days.</w:t>
      </w:r>
    </w:p>
    <w:p>
      <w:pPr>
        <w:spacing w:after="0" w:line="225" w:lineRule="exact"/>
        <w:rPr>
          <w:sz w:val="20"/>
          <w:szCs w:val="20"/>
          <w:color w:val="auto"/>
        </w:rPr>
      </w:pPr>
    </w:p>
    <w:p>
      <w:pPr>
        <w:ind w:left="652" w:hanging="652"/>
        <w:spacing w:after="0"/>
        <w:tabs>
          <w:tab w:leader="none" w:pos="652" w:val="left"/>
        </w:tabs>
        <w:numPr>
          <w:ilvl w:val="0"/>
          <w:numId w:val="6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Day Conventions</w:t>
      </w:r>
    </w:p>
    <w:p>
      <w:pPr>
        <w:spacing w:after="0" w:line="229" w:lineRule="exact"/>
        <w:rPr>
          <w:rFonts w:ascii="Times New Roman" w:cs="Times New Roman" w:eastAsia="Times New Roman" w:hAnsi="Times New Roman"/>
          <w:sz w:val="18"/>
          <w:szCs w:val="18"/>
          <w:b w:val="1"/>
          <w:bCs w:val="1"/>
          <w:color w:val="auto"/>
        </w:rPr>
      </w:pPr>
    </w:p>
    <w:p>
      <w:pPr>
        <w:ind w:left="1292" w:right="20" w:hanging="644"/>
        <w:spacing w:after="0" w:line="282" w:lineRule="auto"/>
        <w:tabs>
          <w:tab w:leader="none" w:pos="1292"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period is expressed to accrue by reference to a month or any number of months then, in respect of the last month of that period:</w:t>
      </w:r>
    </w:p>
    <w:p>
      <w:pPr>
        <w:spacing w:after="0" w:line="161"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2"/>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75"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2"/>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 and</w:t>
      </w:r>
    </w:p>
    <w:p>
      <w:pPr>
        <w:spacing w:after="0" w:line="161"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2"/>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begins on the last Business Day of a calendar month, that Interest Period shall end on the last Business Day in the calendar month in which that Interest Period is to end.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58" w:lineRule="exact"/>
        <w:rPr>
          <w:sz w:val="20"/>
          <w:szCs w:val="20"/>
          <w:color w:val="auto"/>
        </w:rPr>
      </w:pPr>
    </w:p>
    <w:p>
      <w:pPr>
        <w:ind w:left="652" w:hanging="652"/>
        <w:spacing w:after="0"/>
        <w:tabs>
          <w:tab w:leader="none" w:pos="652"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 options and default selections</w:t>
      </w:r>
    </w:p>
    <w:p>
      <w:pPr>
        <w:spacing w:after="0" w:line="227" w:lineRule="exact"/>
        <w:rPr>
          <w:rFonts w:ascii="Times New Roman" w:cs="Times New Roman" w:eastAsia="Times New Roman" w:hAnsi="Times New Roman"/>
          <w:sz w:val="18"/>
          <w:szCs w:val="18"/>
          <w:b w:val="1"/>
          <w:bCs w:val="1"/>
          <w:color w:val="auto"/>
        </w:rPr>
      </w:pPr>
    </w:p>
    <w:p>
      <w:pPr>
        <w:ind w:left="1292" w:right="20" w:hanging="644"/>
        <w:spacing w:after="0" w:line="284" w:lineRule="auto"/>
        <w:tabs>
          <w:tab w:leader="none" w:pos="1292"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an Interest Period for a Loan which will apply under clause 10.1(c) will, subject to clause 10.2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Periods overrunning Reduction Dates</w:t>
      </w:r>
      <w:r>
        <w:rPr>
          <w:rFonts w:ascii="Times New Roman" w:cs="Times New Roman" w:eastAsia="Times New Roman" w:hAnsi="Times New Roman"/>
          <w:sz w:val="18"/>
          <w:szCs w:val="18"/>
          <w:color w:val="auto"/>
        </w:rPr>
        <w:t>), be three months.</w:t>
      </w:r>
    </w:p>
    <w:p>
      <w:pPr>
        <w:spacing w:after="0" w:line="160"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capable of selection as Interest Periods referred to in clause 10.1(b) are one month, three months and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89" w:right="999"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22"/>
          <w:szCs w:val="22"/>
          <w:b w:val="1"/>
          <w:bCs w:val="1"/>
          <w:color w:val="auto"/>
        </w:rPr>
        <w:t>Schedule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Daily Non-Cumulative Compounded RFR Rate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Daily Non-Cumulative Compounded RFR Rate</w:t>
      </w:r>
      <w:r>
        <w:rPr>
          <w:rFonts w:ascii="Times New Roman" w:cs="Times New Roman" w:eastAsia="Times New Roman" w:hAnsi="Times New Roman"/>
          <w:sz w:val="18"/>
          <w:szCs w:val="18"/>
          <w:color w:val="auto"/>
        </w:rPr>
        <w:t xml:space="preserve"> for any RFR Banking Day "i" during an Interest Period is the percentage rate per annum (without rounding, to the extent reasonably practicable for the Finance Party performing the calculation, taking into account the capabilities of any software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122555</wp:posOffset>
            </wp:positionV>
            <wp:extent cx="2005965" cy="3943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20059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652"/>
        <w:spacing w:after="0"/>
        <w:tabs>
          <w:tab w:leader="none" w:pos="66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UCCDR</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Unannualised Cumulative Compounded Daily Rate for that RFR Banking Day "i";</w:t>
      </w:r>
    </w:p>
    <w:p>
      <w:pPr>
        <w:spacing w:after="0" w:line="225"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UCCDR</w:t>
      </w:r>
      <w:r>
        <w:rPr>
          <w:rFonts w:ascii="Times New Roman" w:cs="Times New Roman" w:eastAsia="Times New Roman" w:hAnsi="Times New Roman"/>
          <w:sz w:val="11"/>
          <w:szCs w:val="11"/>
          <w:b w:val="1"/>
          <w:bCs w:val="1"/>
          <w:color w:val="auto"/>
        </w:rPr>
        <w:t>i-1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 relation to that RFR Banking Day "i", the Unannualised Cumulative Compounded Daily Rate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RFR Banking Day (if any) during that Interest Period;</w:t>
      </w:r>
    </w:p>
    <w:p>
      <w:pPr>
        <w:spacing w:after="0" w:line="158"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dcc means 360 or, in any case where market practice in the Relevant Market is to use a different number for quoting the number of days in a year, that number;</w:t>
      </w:r>
    </w:p>
    <w:p>
      <w:pPr>
        <w:spacing w:after="0" w:line="157"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number of calendar days from, and including, that RFR Banking Day "i" up to, but excluding, the following RFR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Day; and</w:t>
      </w:r>
    </w:p>
    <w:p>
      <w:pPr>
        <w:spacing w:after="0" w:line="154"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Unannualised Cumulative Compounded Daily Rate</w:t>
      </w:r>
      <w:r>
        <w:rPr>
          <w:rFonts w:ascii="Times New Roman" w:cs="Times New Roman" w:eastAsia="Times New Roman" w:hAnsi="Times New Roman"/>
          <w:sz w:val="18"/>
          <w:szCs w:val="18"/>
          <w:color w:val="auto"/>
        </w:rPr>
        <w:t xml:space="preserve"> for any RFR Banking Day (the </w:t>
      </w:r>
      <w:r>
        <w:rPr>
          <w:rFonts w:ascii="Times New Roman" w:cs="Times New Roman" w:eastAsia="Times New Roman" w:hAnsi="Times New Roman"/>
          <w:sz w:val="18"/>
          <w:szCs w:val="18"/>
          <w:b w:val="1"/>
          <w:bCs w:val="1"/>
          <w:color w:val="auto"/>
        </w:rPr>
        <w:t>Cumulated RFR Banking Day</w:t>
      </w:r>
      <w:r>
        <w:rPr>
          <w:rFonts w:ascii="Times New Roman" w:cs="Times New Roman" w:eastAsia="Times New Roman" w:hAnsi="Times New Roman"/>
          <w:sz w:val="18"/>
          <w:szCs w:val="18"/>
          <w:color w:val="auto"/>
        </w:rPr>
        <w:t>) during that Interest Period is the result of the below calculation (without rounding, to the extent reasonably practicable for the Finance Party performing the calculation, taking into account the capabilities of any software used for that purpose):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ACCDR means the Annualised Cumulative Compounded Daily Rate for that Cumulated RFR Banking Day;</w:t>
      </w:r>
    </w:p>
    <w:p>
      <w:pPr>
        <w:spacing w:after="0" w:line="221"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tn</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number of calendar days from, and including, the first day of the Cumulation Period to, but excluding, the RFR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Day which immediately follows the last day of the Cumulation Period;</w:t>
      </w:r>
    </w:p>
    <w:p>
      <w:pPr>
        <w:spacing w:after="0" w:line="158"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Cumulation Period means the period from, and including, the first RFR Banking Day of that Interest Period to, and including, that Cumulated RFR Banking Day;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dcc has the meaning given to that term above; and</w:t>
      </w:r>
    </w:p>
    <w:p>
      <w:pPr>
        <w:spacing w:after="0" w:line="221"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Annualised Cumulative Compounded Daily Rate</w:t>
      </w:r>
      <w:r>
        <w:rPr>
          <w:rFonts w:ascii="Times New Roman" w:cs="Times New Roman" w:eastAsia="Times New Roman" w:hAnsi="Times New Roman"/>
          <w:sz w:val="18"/>
          <w:szCs w:val="18"/>
          <w:color w:val="auto"/>
        </w:rPr>
        <w:t xml:space="preserve"> for that Cumulated RFR Banking Day is the percentage rate per annum (rounded to five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-2355850</wp:posOffset>
            </wp:positionV>
            <wp:extent cx="1028700" cy="4114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1028700" cy="41148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112395</wp:posOffset>
            </wp:positionV>
            <wp:extent cx="3086100" cy="8572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30861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10" w:name="page411"/>
    <w:bookmarkEnd w:id="410"/>
    <w:p>
      <w:pPr>
        <w:ind w:left="652" w:hanging="652"/>
        <w:spacing w:after="0"/>
        <w:tabs>
          <w:tab w:leader="none" w:pos="652"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w:t>
      </w:r>
    </w:p>
    <w:p>
      <w:pPr>
        <w:spacing w:after="0" w:line="221" w:lineRule="exact"/>
        <w:rPr>
          <w:rFonts w:ascii="Times New Roman" w:cs="Times New Roman" w:eastAsia="Times New Roman" w:hAnsi="Times New Roman"/>
          <w:sz w:val="18"/>
          <w:szCs w:val="18"/>
          <w:color w:val="auto"/>
        </w:rPr>
      </w:pPr>
    </w:p>
    <w:p>
      <w:pPr>
        <w:ind w:left="652" w:right="42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0"/>
          <w:szCs w:val="10"/>
          <w:b w:val="1"/>
          <w:bCs w:val="1"/>
          <w:color w:val="auto"/>
        </w:rPr>
        <w:t>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number of RFR Banking Days in the Cumulation Period;</w:t>
      </w:r>
      <w:r>
        <w:rPr>
          <w:rFonts w:ascii="Times New Roman" w:cs="Times New Roman" w:eastAsia="Times New Roman" w:hAnsi="Times New Roman"/>
          <w:sz w:val="17"/>
          <w:szCs w:val="17"/>
          <w:b w:val="1"/>
          <w:bCs w:val="1"/>
          <w:color w:val="auto"/>
        </w:rPr>
        <w:t xml:space="preserve"> Cumulation Period </w:t>
      </w:r>
      <w:r>
        <w:rPr>
          <w:rFonts w:ascii="Times New Roman" w:cs="Times New Roman" w:eastAsia="Times New Roman" w:hAnsi="Times New Roman"/>
          <w:sz w:val="17"/>
          <w:szCs w:val="17"/>
          <w:color w:val="auto"/>
        </w:rPr>
        <w:t>has the meaning given to that term above;</w:t>
      </w:r>
    </w:p>
    <w:p>
      <w:pPr>
        <w:spacing w:after="0" w:line="1" w:lineRule="exact"/>
        <w:rPr>
          <w:sz w:val="20"/>
          <w:szCs w:val="20"/>
          <w:color w:val="auto"/>
        </w:rPr>
      </w:pPr>
    </w:p>
    <w:p>
      <w:pPr>
        <w:ind w:left="65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means a series of whole numbers from one to d0, each representing the relevant RFR Banking Day in chronological order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Cumulation Period;</w:t>
      </w:r>
    </w:p>
    <w:p>
      <w:pPr>
        <w:spacing w:after="0" w:line="155" w:lineRule="exact"/>
        <w:rPr>
          <w:sz w:val="20"/>
          <w:szCs w:val="20"/>
          <w:color w:val="auto"/>
        </w:rPr>
      </w:pPr>
    </w:p>
    <w:p>
      <w:pPr>
        <w:ind w:left="652" w:right="20"/>
        <w:spacing w:after="0" w:line="286" w:lineRule="auto"/>
        <w:rPr>
          <w:sz w:val="20"/>
          <w:szCs w:val="20"/>
          <w:color w:val="auto"/>
        </w:rPr>
      </w:pPr>
      <w:r>
        <w:rPr>
          <w:rFonts w:ascii="Times New Roman" w:cs="Times New Roman" w:eastAsia="Times New Roman" w:hAnsi="Times New Roman"/>
          <w:sz w:val="18"/>
          <w:szCs w:val="18"/>
          <w:b w:val="1"/>
          <w:bCs w:val="1"/>
          <w:color w:val="auto"/>
        </w:rPr>
        <w:t>DailyRate</w:t>
      </w:r>
      <w:r>
        <w:rPr>
          <w:rFonts w:ascii="Times New Roman" w:cs="Times New Roman" w:eastAsia="Times New Roman" w:hAnsi="Times New Roman"/>
          <w:sz w:val="11"/>
          <w:szCs w:val="11"/>
          <w:b w:val="1"/>
          <w:bCs w:val="1"/>
          <w:color w:val="auto"/>
        </w:rPr>
        <w:t>i-LP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any RFR Banking Day "i" in the Cumulation Period, the Daily Rate for the RFR Banking Day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Lookback Period prior to that RFR Banking Day "i";</w:t>
      </w:r>
    </w:p>
    <w:p>
      <w:pPr>
        <w:spacing w:after="0" w:line="155" w:lineRule="exact"/>
        <w:rPr>
          <w:sz w:val="20"/>
          <w:szCs w:val="20"/>
          <w:color w:val="auto"/>
        </w:rPr>
      </w:pPr>
    </w:p>
    <w:p>
      <w:pPr>
        <w:ind w:left="652"/>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any RFR Banking Day "i" in the Cumulation Period, the number of calendar days from, and including, that RFR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Day "i" up to, but excluding, the following RFR Banking Day;</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 xml:space="preserve">dcc </w:t>
      </w:r>
      <w:r>
        <w:rPr>
          <w:rFonts w:ascii="Times New Roman" w:cs="Times New Roman" w:eastAsia="Times New Roman" w:hAnsi="Times New Roman"/>
          <w:sz w:val="18"/>
          <w:szCs w:val="18"/>
          <w:color w:val="auto"/>
        </w:rPr>
        <w:t>has the meaning given to that term above; and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tn</w:t>
      </w:r>
      <w:r>
        <w:rPr>
          <w:rFonts w:ascii="Times New Roman" w:cs="Times New Roman" w:eastAsia="Times New Roman" w:hAnsi="Times New Roman"/>
          <w:sz w:val="11"/>
          <w:szCs w:val="11"/>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given to that term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2" w:hanging="652"/>
        <w:spacing w:after="0"/>
        <w:tabs>
          <w:tab w:leader="none" w:pos="652" w:val="left"/>
        </w:tabs>
        <w:numPr>
          <w:ilvl w:val="0"/>
          <w:numId w:val="6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Schedule 11 :</w:t>
      </w:r>
    </w:p>
    <w:p>
      <w:pPr>
        <w:spacing w:after="0" w:line="221" w:lineRule="exact"/>
        <w:rPr>
          <w:rFonts w:ascii="Times New Roman" w:cs="Times New Roman" w:eastAsia="Times New Roman" w:hAnsi="Times New Roman"/>
          <w:sz w:val="18"/>
          <w:szCs w:val="18"/>
          <w:b w:val="1"/>
          <w:bCs w:val="1"/>
          <w:color w:val="auto"/>
        </w:rPr>
      </w:pPr>
    </w:p>
    <w:p>
      <w:pPr>
        <w:ind w:left="652"/>
        <w:spacing w:after="0" w:line="5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Annex VI: Cadetship Program: CII:</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1"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Fleet: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Fleet Average CII: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52" w:right="200"/>
        <w:spacing w:after="0" w:line="286" w:lineRule="auto"/>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55" w:lineRule="exact"/>
        <w:rPr>
          <w:sz w:val="20"/>
          <w:szCs w:val="20"/>
          <w:color w:val="auto"/>
        </w:rPr>
      </w:pPr>
    </w:p>
    <w:p>
      <w:pPr>
        <w:ind w:left="652" w:right="200"/>
        <w:spacing w:after="0" w:line="286" w:lineRule="auto"/>
        <w:rPr>
          <w:sz w:val="20"/>
          <w:szCs w:val="20"/>
          <w:color w:val="auto"/>
        </w:rPr>
      </w:pPr>
      <w:r>
        <w:rPr>
          <w:rFonts w:ascii="Times New Roman" w:cs="Times New Roman" w:eastAsia="Times New Roman" w:hAnsi="Times New Roman"/>
          <w:sz w:val="18"/>
          <w:szCs w:val="18"/>
          <w:b w:val="1"/>
          <w:bCs w:val="1"/>
          <w:color w:val="auto"/>
        </w:rPr>
        <w:t>Key Performance Indicator 1:</w:t>
      </w:r>
    </w:p>
    <w:p>
      <w:pPr>
        <w:spacing w:after="0" w:line="155" w:lineRule="exact"/>
        <w:rPr>
          <w:sz w:val="20"/>
          <w:szCs w:val="20"/>
          <w:color w:val="auto"/>
        </w:rPr>
      </w:pPr>
    </w:p>
    <w:p>
      <w:pPr>
        <w:ind w:left="652" w:right="200"/>
        <w:spacing w:after="0" w:line="286" w:lineRule="auto"/>
        <w:rPr>
          <w:sz w:val="20"/>
          <w:szCs w:val="20"/>
          <w:color w:val="auto"/>
        </w:rPr>
      </w:pPr>
      <w:r>
        <w:rPr>
          <w:rFonts w:ascii="Times New Roman" w:cs="Times New Roman" w:eastAsia="Times New Roman" w:hAnsi="Times New Roman"/>
          <w:sz w:val="18"/>
          <w:szCs w:val="18"/>
          <w:b w:val="1"/>
          <w:bCs w:val="1"/>
          <w:color w:val="auto"/>
        </w:rPr>
        <w:t>Key Performance Indicator 2:</w:t>
      </w:r>
    </w:p>
    <w:p>
      <w:pPr>
        <w:spacing w:after="0" w:line="15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Recognized</w:t>
      </w:r>
    </w:p>
    <w:p>
      <w:pPr>
        <w:spacing w:after="0" w:line="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00" w:lineRule="exact"/>
        <w:rPr>
          <w:sz w:val="20"/>
          <w:szCs w:val="20"/>
          <w:color w:val="auto"/>
        </w:rPr>
      </w:pPr>
    </w:p>
    <w:p>
      <w:pPr>
        <w:spacing w:after="0" w:line="21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Targets:</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22"/>
          <w:szCs w:val="22"/>
          <w:b w:val="1"/>
          <w:bCs w:val="1"/>
          <w:color w:val="auto"/>
        </w:rPr>
        <w:t>Schedule 11</w:t>
      </w:r>
    </w:p>
    <w:p>
      <w:pPr>
        <w:spacing w:after="0" w:line="206"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22"/>
          <w:szCs w:val="22"/>
          <w:b w:val="1"/>
          <w:bCs w:val="1"/>
          <w:color w:val="auto"/>
        </w:rPr>
        <w:t>Sustainability Margin Adjustment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given to it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Means, the annual training programme of candidates from maritime colleges on board the Fleet.</w: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Means Carbon Intensity Indicator, as provided in the regulations contained in Chapters 1, 2 and 4 of Revised Annex VI which relate to </w:t>
      </w:r>
      <w:r>
        <w:rPr>
          <w:rFonts w:ascii="Arial" w:cs="Arial" w:eastAsia="Arial" w:hAnsi="Arial"/>
          <w:sz w:val="18"/>
          <w:szCs w:val="18"/>
          <w:color w:val="auto"/>
        </w:rPr>
        <w:t>“</w:t>
      </w:r>
      <w:r>
        <w:rPr>
          <w:rFonts w:ascii="Times New Roman" w:cs="Times New Roman" w:eastAsia="Times New Roman" w:hAnsi="Times New Roman"/>
          <w:sz w:val="18"/>
          <w:szCs w:val="18"/>
          <w:color w:val="auto"/>
        </w:rPr>
        <w:t>Regulations on the Carbon Intensity of International Shipping</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Resolution MEPC.328(76) implementing the CII and any associated guidelines and/or subsequent amendments.</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Means all vessels that are owned directly or indirectly and/ or bareboat chartered by the Borrower or other Group Members and it includes m.v.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for as long as it is managed by GasLog LNG Services Ltd..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average CII of the Fleet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154305</wp:posOffset>
            </wp:positionV>
            <wp:extent cx="1945640" cy="4629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19456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Where CII</w:t>
      </w:r>
      <w:r>
        <w:rPr>
          <w:rFonts w:ascii="Times New Roman" w:cs="Times New Roman" w:eastAsia="Times New Roman" w:hAnsi="Times New Roman"/>
          <w:sz w:val="11"/>
          <w:szCs w:val="11"/>
          <w:color w:val="auto"/>
        </w:rPr>
        <w:t>i</w:t>
      </w:r>
      <w:r>
        <w:rPr>
          <w:rFonts w:ascii="Times New Roman" w:cs="Times New Roman" w:eastAsia="Times New Roman" w:hAnsi="Times New Roman"/>
          <w:sz w:val="18"/>
          <w:szCs w:val="18"/>
          <w:color w:val="auto"/>
        </w:rPr>
        <w:t xml:space="preserve"> is the verified CII for vessel i, and Di is the number of days that vessel i is accounted for emission data reporting under IMO DCS requirements, as detailed in Annex VI</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any of Key Performance Indicator 1 or Key Performance Indicator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Fleet Average CII expressed in CO2 per DWT mile.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female representation in the annual Cadetship Program (% of new employments per year).</w:t>
      </w:r>
    </w:p>
    <w:p>
      <w:pPr>
        <w:spacing w:after="0" w:line="200" w:lineRule="exact"/>
        <w:rPr>
          <w:sz w:val="20"/>
          <w:szCs w:val="20"/>
          <w:color w:val="auto"/>
        </w:rPr>
      </w:pPr>
    </w:p>
    <w:p>
      <w:pPr>
        <w:spacing w:after="0" w:line="241" w:lineRule="exact"/>
        <w:rPr>
          <w:sz w:val="20"/>
          <w:szCs w:val="20"/>
          <w:color w:val="auto"/>
        </w:rPr>
      </w:pPr>
    </w:p>
    <w:p>
      <w:pPr>
        <w:jc w:val="both"/>
        <w:ind w:right="800"/>
        <w:spacing w:after="0" w:line="267" w:lineRule="auto"/>
        <w:rPr>
          <w:sz w:val="20"/>
          <w:szCs w:val="20"/>
          <w:color w:val="auto"/>
        </w:rPr>
      </w:pPr>
      <w:r>
        <w:rPr>
          <w:rFonts w:ascii="Times New Roman" w:cs="Times New Roman" w:eastAsia="Times New Roman" w:hAnsi="Times New Roman"/>
          <w:sz w:val="18"/>
          <w:szCs w:val="18"/>
          <w:color w:val="auto"/>
        </w:rPr>
        <w:t xml:space="preserve">Means an authorized organization that performs statutory requirements on behalf of a flag administration, in accordance with IMO resolution MEPC.237(65) </w:t>
      </w:r>
      <w:r>
        <w:rPr>
          <w:rFonts w:ascii="Arial" w:cs="Arial" w:eastAsia="Arial" w:hAnsi="Arial"/>
          <w:sz w:val="18"/>
          <w:szCs w:val="18"/>
          <w:color w:val="auto"/>
        </w:rPr>
        <w:t>“</w:t>
      </w:r>
      <w:r>
        <w:rPr>
          <w:rFonts w:ascii="Times New Roman" w:cs="Times New Roman" w:eastAsia="Times New Roman" w:hAnsi="Times New Roman"/>
          <w:sz w:val="18"/>
          <w:szCs w:val="18"/>
          <w:color w:val="auto"/>
        </w:rPr>
        <w:t>Code for Recognized Organizations</w:t>
      </w:r>
      <w:r>
        <w:rPr>
          <w:rFonts w:ascii="Arial" w:cs="Arial" w:eastAsia="Arial" w:hAnsi="Arial"/>
          <w:sz w:val="18"/>
          <w:szCs w:val="18"/>
          <w:color w:val="auto"/>
        </w:rPr>
        <w:t>”</w:t>
      </w:r>
    </w:p>
    <w:p>
      <w:pPr>
        <w:spacing w:after="0" w:line="3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Means a certificate signed by the Chief Financial Officer of the Borrower, substantially in the form set out in Schedule 12 (</w:t>
      </w:r>
      <w:r>
        <w:rPr>
          <w:rFonts w:ascii="Times New Roman" w:cs="Times New Roman" w:eastAsia="Times New Roman" w:hAnsi="Times New Roman"/>
          <w:sz w:val="18"/>
          <w:szCs w:val="18"/>
          <w:i w:val="1"/>
          <w:iCs w:val="1"/>
          <w:color w:val="auto"/>
        </w:rPr>
        <w:t>Form of the Sustainability Certificate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with respect to any calendar year and in relation to any Key Performance Indicator, the target, value or percentage set out opposite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360045</wp:posOffset>
            </wp:positionV>
            <wp:extent cx="629221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2212" w:space="380"/>
            <w:col w:w="7280"/>
          </w:cols>
          <w:pgMar w:left="988" w:top="864" w:right="1039" w:bottom="1440" w:gutter="0" w:footer="0" w:header="0"/>
        </w:sectPr>
      </w:pPr>
    </w:p>
    <w:bookmarkStart w:id="412" w:name="page413"/>
    <w:bookmarkEnd w:id="412"/>
    <w:p>
      <w:pPr>
        <w:ind w:left="2600"/>
        <w:spacing w:after="0"/>
        <w:rPr>
          <w:sz w:val="20"/>
          <w:szCs w:val="20"/>
          <w:color w:val="auto"/>
        </w:rPr>
      </w:pPr>
      <w:r>
        <w:rPr>
          <w:rFonts w:ascii="Times New Roman" w:cs="Times New Roman" w:eastAsia="Times New Roman" w:hAnsi="Times New Roman"/>
          <w:sz w:val="18"/>
          <w:szCs w:val="18"/>
          <w:color w:val="auto"/>
        </w:rPr>
        <w:t>Key Performance Indicator under paragraph 2 (</w:t>
      </w:r>
      <w:r>
        <w:rPr>
          <w:rFonts w:ascii="Times New Roman" w:cs="Times New Roman" w:eastAsia="Times New Roman" w:hAnsi="Times New Roman"/>
          <w:sz w:val="18"/>
          <w:szCs w:val="18"/>
          <w:i w:val="1"/>
          <w:iCs w:val="1"/>
          <w:color w:val="auto"/>
        </w:rPr>
        <w:t>Sustainability Performance Targets</w:t>
      </w:r>
      <w:r>
        <w:rPr>
          <w:rFonts w:ascii="Times New Roman" w:cs="Times New Roman" w:eastAsia="Times New Roman" w:hAnsi="Times New Roman"/>
          <w:sz w:val="18"/>
          <w:szCs w:val="18"/>
          <w:color w:val="auto"/>
        </w:rPr>
        <w:t>) of this [•].</w:t>
      </w:r>
    </w:p>
    <w:p>
      <w:pPr>
        <w:spacing w:after="0" w:line="227" w:lineRule="exact"/>
        <w:rPr>
          <w:sz w:val="20"/>
          <w:szCs w:val="20"/>
          <w:color w:val="auto"/>
        </w:rPr>
      </w:pPr>
    </w:p>
    <w:p>
      <w:pPr>
        <w:ind w:left="660" w:hanging="652"/>
        <w:spacing w:after="0"/>
        <w:tabs>
          <w:tab w:leader="none" w:pos="660" w:val="left"/>
        </w:tabs>
        <w:numPr>
          <w:ilvl w:val="0"/>
          <w:numId w:val="6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Sustainability Performance Targets: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5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2028</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2029</w:t>
            </w:r>
          </w:p>
        </w:tc>
        <w:tc>
          <w:tcPr>
            <w:tcW w:w="2500" w:type="dxa"/>
            <w:vAlign w:val="bottom"/>
          </w:tcPr>
          <w:p>
            <w:pPr>
              <w:spacing w:after="0"/>
              <w:rPr>
                <w:sz w:val="21"/>
                <w:szCs w:val="21"/>
                <w:color w:val="auto"/>
              </w:rPr>
            </w:pPr>
          </w:p>
        </w:tc>
      </w:tr>
      <w:tr>
        <w:trPr>
          <w:trHeight w:val="221"/>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500" w:type="dxa"/>
            <w:vAlign w:val="bottom"/>
          </w:tcPr>
          <w:p>
            <w:pPr>
              <w:spacing w:after="0"/>
              <w:rPr>
                <w:sz w:val="19"/>
                <w:szCs w:val="19"/>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Key Performance Indicator 1</w:t>
            </w:r>
          </w:p>
        </w:tc>
        <w:tc>
          <w:tcPr>
            <w:tcW w:w="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8.57</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8.31</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6"/>
                <w:szCs w:val="16"/>
                <w:color w:val="auto"/>
              </w:rPr>
            </w:pPr>
          </w:p>
        </w:tc>
        <w:tc>
          <w:tcPr>
            <w:tcW w:w="680" w:type="dxa"/>
            <w:vAlign w:val="bottom"/>
            <w:tcBorders>
              <w:right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7.76</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7.45</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7.19</w:t>
            </w:r>
          </w:p>
        </w:tc>
        <w:tc>
          <w:tcPr>
            <w:tcW w:w="2500" w:type="dxa"/>
            <w:vAlign w:val="bottom"/>
          </w:tcPr>
          <w:p>
            <w:pPr>
              <w:spacing w:after="0"/>
              <w:rPr>
                <w:sz w:val="16"/>
                <w:szCs w:val="16"/>
                <w:color w:val="auto"/>
              </w:rPr>
            </w:pPr>
          </w:p>
        </w:tc>
      </w:tr>
      <w:tr>
        <w:trPr>
          <w:trHeight w:val="239"/>
        </w:trPr>
        <w:tc>
          <w:tcPr>
            <w:tcW w:w="2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Maximum Value</w:t>
            </w:r>
          </w:p>
        </w:tc>
        <w:tc>
          <w:tcPr>
            <w:tcW w:w="8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500" w:type="dxa"/>
            <w:vAlign w:val="bottom"/>
          </w:tcPr>
          <w:p>
            <w:pPr>
              <w:spacing w:after="0"/>
              <w:rPr>
                <w:sz w:val="20"/>
                <w:szCs w:val="20"/>
                <w:color w:val="auto"/>
              </w:rPr>
            </w:pPr>
          </w:p>
        </w:tc>
      </w:tr>
      <w:tr>
        <w:trPr>
          <w:trHeight w:val="90"/>
        </w:trPr>
        <w:tc>
          <w:tcPr>
            <w:tcW w:w="2560" w:type="dxa"/>
            <w:vAlign w:val="bottom"/>
            <w:tcBorders>
              <w:left w:val="single" w:sz="8" w:color="auto"/>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500" w:type="dxa"/>
            <w:vAlign w:val="bottom"/>
          </w:tcPr>
          <w:p>
            <w:pPr>
              <w:spacing w:after="0"/>
              <w:rPr>
                <w:sz w:val="7"/>
                <w:szCs w:val="7"/>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Key Performance Indicator 2</w:t>
            </w:r>
          </w:p>
        </w:tc>
        <w:tc>
          <w:tcPr>
            <w:tcW w:w="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21%</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16"/>
                <w:szCs w:val="16"/>
                <w:color w:val="auto"/>
              </w:rPr>
            </w:pPr>
          </w:p>
        </w:tc>
        <w:tc>
          <w:tcPr>
            <w:tcW w:w="680" w:type="dxa"/>
            <w:vAlign w:val="bottom"/>
            <w:tcBorders>
              <w:right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6"/>
              </w:rPr>
              <w:t>24%</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26%</w:t>
            </w:r>
          </w:p>
        </w:tc>
        <w:tc>
          <w:tcPr>
            <w:tcW w:w="2500" w:type="dxa"/>
            <w:vAlign w:val="bottom"/>
          </w:tcPr>
          <w:p>
            <w:pPr>
              <w:spacing w:after="0"/>
              <w:rPr>
                <w:sz w:val="16"/>
                <w:szCs w:val="16"/>
                <w:color w:val="auto"/>
              </w:rPr>
            </w:pPr>
          </w:p>
        </w:tc>
      </w:tr>
      <w:tr>
        <w:trPr>
          <w:trHeight w:val="239"/>
        </w:trPr>
        <w:tc>
          <w:tcPr>
            <w:tcW w:w="2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Minimum Value</w:t>
            </w:r>
          </w:p>
        </w:tc>
        <w:tc>
          <w:tcPr>
            <w:tcW w:w="8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500" w:type="dxa"/>
            <w:vAlign w:val="bottom"/>
          </w:tcPr>
          <w:p>
            <w:pPr>
              <w:spacing w:after="0"/>
              <w:rPr>
                <w:sz w:val="20"/>
                <w:szCs w:val="20"/>
                <w:color w:val="auto"/>
              </w:rPr>
            </w:pPr>
          </w:p>
        </w:tc>
      </w:tr>
      <w:tr>
        <w:trPr>
          <w:trHeight w:val="90"/>
        </w:trPr>
        <w:tc>
          <w:tcPr>
            <w:tcW w:w="2560" w:type="dxa"/>
            <w:vAlign w:val="bottom"/>
            <w:tcBorders>
              <w:left w:val="single" w:sz="8" w:color="auto"/>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500" w:type="dxa"/>
            <w:vAlign w:val="bottom"/>
          </w:tcPr>
          <w:p>
            <w:pPr>
              <w:spacing w:after="0"/>
              <w:rPr>
                <w:sz w:val="7"/>
                <w:szCs w:val="7"/>
                <w:color w:val="auto"/>
              </w:rPr>
            </w:pPr>
          </w:p>
        </w:tc>
      </w:tr>
      <w:tr>
        <w:trPr>
          <w:trHeight w:val="871"/>
        </w:trPr>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60"/>
        </w:trPr>
        <w:tc>
          <w:tcPr>
            <w:tcW w:w="2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5" w:right="999" w:bottom="1440" w:gutter="0" w:footer="0" w:header="0"/>
        </w:sectPr>
      </w:pPr>
    </w:p>
    <w:bookmarkStart w:id="413" w:name="page414"/>
    <w:bookmarkEnd w:id="4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36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4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BORROWERS</w:t>
            </w: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GASLOG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GUARANTORS</w:t>
            </w: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GAS-TWENTY TWO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GAS-TWENTY THREE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GAS-TWENTY EIGHT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ONE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TWO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FOUR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THREE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FOUR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GAS-THIRTY FIVE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GAS-ONE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GAS-TWO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GASLOG HELLAS-1 SPECIAL MARITIME ENTERPRISE</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6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GAS-ELEVEN LTD.</w:t>
            </w:r>
          </w:p>
        </w:tc>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647"/>
        </w:trPr>
        <w:tc>
          <w:tcPr>
            <w:tcW w:w="5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14" w:name="page415"/>
    <w:bookmarkEnd w:id="4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GAS-TWELVE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GAS-THIRTEEN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GAS-FOURTEEN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GAS-FOUR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GAS-SIXTEEN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GAS-SEVENTEEN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GAS-SEVEN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GAS-EIGHT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GAS-NINETEEN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GAS-TWENTY SEVEN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GASLOG CARRIERS LTD.</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GASLOG PARTNERS HOLDINGS LLC</w:t>
            </w:r>
          </w:p>
        </w:tc>
        <w:tc>
          <w:tcPr>
            <w:tcW w:w="5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11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2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ARRANGERS</w:t>
            </w: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870"/>
        </w:trPr>
        <w:tc>
          <w:tcPr>
            <w:tcW w:w="4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91" w:right="99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GAS-TWELVE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GAS-THIRTEEN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GAS-FOURTEEN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GAS-FOUR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GAS-SIXTEEN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GAS-SEVENTEEN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GAS-SEVEN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GAS-EIGHT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GAS-NINETEEN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GAS-TWENTY SEVEN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CARRIERS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ARRANGERS</w:t>
      </w:r>
    </w:p>
    <w:p>
      <w:pPr>
        <w:spacing w:after="0" w:line="225" w:lineRule="exact"/>
        <w:rPr>
          <w:sz w:val="20"/>
          <w:szCs w:val="20"/>
          <w:color w:val="auto"/>
        </w:rPr>
      </w:pPr>
    </w:p>
    <w:p>
      <w:pPr>
        <w:ind w:right="259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ALPHA BANK S.A. </w:t>
      </w:r>
      <w:r>
        <w:rPr>
          <w:rFonts w:ascii="Times New Roman" w:cs="Times New Roman" w:eastAsia="Times New Roman" w:hAnsi="Times New Roman"/>
          <w:sz w:val="18"/>
          <w:szCs w:val="18"/>
          <w:color w:val="auto"/>
        </w:rPr>
        <w:t>/s/ Rebecca Daniels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7620</wp:posOffset>
            </wp:positionV>
            <wp:extent cx="28289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1051560</wp:posOffset>
            </wp:positionV>
            <wp:extent cx="629221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ind w:right="18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CITIBANK, N.A., LONDON BRANCH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 Thea Messina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ind w:right="19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ING BANK N.V., LONDON BRANCH </w:t>
      </w:r>
      <w:r>
        <w:rPr>
          <w:rFonts w:ascii="Times New Roman" w:cs="Times New Roman" w:eastAsia="Times New Roman" w:hAnsi="Times New Roman"/>
          <w:sz w:val="18"/>
          <w:szCs w:val="18"/>
          <w:color w:val="auto"/>
        </w:rPr>
        <w:t>By: Rebecca Daniels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ind w:right="1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NATIONAL AUSTRALIA BANK LIMITED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ind w:right="16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NORDEA BANK ABP, FILIAL I NORGE </w:t>
      </w:r>
      <w:r>
        <w:rPr>
          <w:rFonts w:ascii="Times New Roman" w:cs="Times New Roman" w:eastAsia="Times New Roman" w:hAnsi="Times New Roman"/>
          <w:sz w:val="18"/>
          <w:szCs w:val="18"/>
          <w:color w:val="auto"/>
        </w:rPr>
        <w:t>By: Rebecca Daniels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OVERSEA-CHINESE BANKING CORPORATION LIMITED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1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(SINGAPORE) LIMITED </w:t>
      </w:r>
      <w:r>
        <w:rPr>
          <w:rFonts w:ascii="Times New Roman" w:cs="Times New Roman" w:eastAsia="Times New Roman" w:hAnsi="Times New Roman"/>
          <w:sz w:val="18"/>
          <w:szCs w:val="18"/>
          <w:color w:val="auto"/>
        </w:rPr>
        <w:t>By: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12" w:lineRule="exact"/>
        <w:rPr>
          <w:sz w:val="20"/>
          <w:szCs w:val="20"/>
          <w:color w:val="auto"/>
        </w:rPr>
      </w:pPr>
    </w:p>
    <w:p>
      <w:pPr>
        <w:ind w:right="18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DNB BANK ASA, LONDON BRANCH </w:t>
      </w:r>
      <w:r>
        <w:rPr>
          <w:rFonts w:ascii="Times New Roman" w:cs="Times New Roman" w:eastAsia="Times New Roman" w:hAnsi="Times New Roman"/>
          <w:sz w:val="18"/>
          <w:szCs w:val="18"/>
          <w:color w:val="auto"/>
        </w:rPr>
        <w:t>By: Rebecca Daniels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1051560</wp:posOffset>
            </wp:positionV>
            <wp:extent cx="629221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 Thea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ectPr>
          <w:pgSz w:w="11900" w:h="16838" w:orient="portrait"/>
          <w:cols w:equalWidth="0" w:num="2">
            <w:col w:w="4900" w:space="560"/>
            <w:col w:w="4019"/>
          </w:cols>
          <w:pgMar w:left="980" w:top="887" w:right="1440"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 Akshay Jashnani</w:t>
            </w: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Akshay Jashnani</w:t>
            </w:r>
          </w:p>
        </w:tc>
        <w:tc>
          <w:tcPr>
            <w:tcW w:w="280" w:type="dxa"/>
            <w:vAlign w:val="bottom"/>
          </w:tcPr>
          <w:p>
            <w:pPr>
              <w:spacing w:after="0"/>
              <w:rPr>
                <w:sz w:val="16"/>
                <w:szCs w:val="16"/>
                <w:color w:val="auto"/>
              </w:rPr>
            </w:pPr>
          </w:p>
        </w:tc>
        <w:tc>
          <w:tcPr>
            <w:tcW w:w="4460" w:type="dxa"/>
            <w:vAlign w:val="bottom"/>
            <w:tcBorders>
              <w:top w:val="single" w:sz="8" w:color="auto"/>
            </w:tcBorders>
          </w:tcPr>
          <w:p>
            <w:pPr>
              <w:spacing w:after="0"/>
              <w:rPr>
                <w:sz w:val="16"/>
                <w:szCs w:val="16"/>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(UK)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SANK ASP, FILIAL I NORGE</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 KEN AB (PUBL)</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54"/>
        </w:trPr>
        <w:tc>
          <w:tcPr>
            <w:tcW w:w="5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7" w:right="99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 David S Hackett</w:t>
            </w: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David S Hackett</w:t>
            </w:r>
          </w:p>
        </w:tc>
        <w:tc>
          <w:tcPr>
            <w:tcW w:w="280" w:type="dxa"/>
            <w:vAlign w:val="bottom"/>
          </w:tcPr>
          <w:p>
            <w:pPr>
              <w:spacing w:after="0"/>
              <w:rPr>
                <w:sz w:val="16"/>
                <w:szCs w:val="16"/>
                <w:color w:val="auto"/>
              </w:rPr>
            </w:pPr>
          </w:p>
        </w:tc>
        <w:tc>
          <w:tcPr>
            <w:tcW w:w="4460" w:type="dxa"/>
            <w:vAlign w:val="bottom"/>
            <w:tcBorders>
              <w:top w:val="single" w:sz="8" w:color="auto"/>
            </w:tcBorders>
          </w:tcPr>
          <w:p>
            <w:pPr>
              <w:spacing w:after="0"/>
              <w:rPr>
                <w:sz w:val="16"/>
                <w:szCs w:val="16"/>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Asset Finance &amp; Leasing</w:t>
            </w:r>
          </w:p>
        </w:tc>
        <w:tc>
          <w:tcPr>
            <w:tcW w:w="2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Institutional Banking</w:t>
            </w:r>
          </w:p>
        </w:tc>
        <w:tc>
          <w:tcPr>
            <w:tcW w:w="2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National Australia Bank Limited</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54"/>
        </w:trPr>
        <w:tc>
          <w:tcPr>
            <w:tcW w:w="5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7" w:right="99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 Lisa Fung</w:t>
            </w: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Lisa Fung</w:t>
            </w:r>
          </w:p>
        </w:tc>
        <w:tc>
          <w:tcPr>
            <w:tcW w:w="280" w:type="dxa"/>
            <w:vAlign w:val="bottom"/>
          </w:tcPr>
          <w:p>
            <w:pPr>
              <w:spacing w:after="0"/>
              <w:rPr>
                <w:sz w:val="16"/>
                <w:szCs w:val="16"/>
                <w:color w:val="auto"/>
              </w:rPr>
            </w:pPr>
          </w:p>
        </w:tc>
        <w:tc>
          <w:tcPr>
            <w:tcW w:w="4460" w:type="dxa"/>
            <w:vAlign w:val="bottom"/>
            <w:tcBorders>
              <w:top w:val="single" w:sz="8" w:color="auto"/>
            </w:tcBorders>
          </w:tcPr>
          <w:p>
            <w:pPr>
              <w:spacing w:after="0"/>
              <w:rPr>
                <w:sz w:val="16"/>
                <w:szCs w:val="16"/>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OCBC Bank</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54"/>
        </w:trPr>
        <w:tc>
          <w:tcPr>
            <w:tcW w:w="5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color w:val="auto"/>
        </w:rPr>
        <w:t>ABN AMRO RANK N 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BANKER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 Pandey Abhishek</w:t>
            </w:r>
          </w:p>
        </w:tc>
      </w:tr>
      <w:tr>
        <w:trPr>
          <w:trHeight w:val="191"/>
        </w:trPr>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Pandey Abhishek, MD.</w:t>
            </w:r>
          </w:p>
        </w:tc>
        <w:tc>
          <w:tcPr>
            <w:tcW w:w="320" w:type="dxa"/>
            <w:vAlign w:val="bottom"/>
          </w:tcPr>
          <w:p>
            <w:pPr>
              <w:spacing w:after="0"/>
              <w:rPr>
                <w:sz w:val="16"/>
                <w:szCs w:val="16"/>
                <w:color w:val="auto"/>
              </w:rPr>
            </w:pPr>
          </w:p>
        </w:tc>
        <w:tc>
          <w:tcPr>
            <w:tcW w:w="4460" w:type="dxa"/>
            <w:vAlign w:val="bottom"/>
            <w:tcBorders>
              <w:top w:val="single" w:sz="8" w:color="auto"/>
            </w:tcBorders>
          </w:tcPr>
          <w:p>
            <w:pPr>
              <w:spacing w:after="0"/>
              <w:rPr>
                <w:sz w:val="16"/>
                <w:szCs w:val="16"/>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Global Head</w:t>
            </w:r>
          </w:p>
        </w:tc>
        <w:tc>
          <w:tcPr>
            <w:tcW w:w="32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Shipping Finance</w:t>
            </w: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3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3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54"/>
        </w:trPr>
        <w:tc>
          <w:tcPr>
            <w:tcW w:w="5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7" w:right="99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color w:val="auto"/>
        </w:rPr>
        <w:t>THE SECURITY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LENDERS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ind w:right="1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CITIBANK, N.A., JERSEY BRANCH </w:t>
      </w:r>
      <w:r>
        <w:rPr>
          <w:rFonts w:ascii="Times New Roman" w:cs="Times New Roman" w:eastAsia="Times New Roman" w:hAnsi="Times New Roman"/>
          <w:sz w:val="18"/>
          <w:szCs w:val="18"/>
          <w:color w:val="auto"/>
        </w:rPr>
        <w:t>By: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 Thea Messina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ind w:right="1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NATIONAL AUSTRALIA BANK LIMITED </w:t>
      </w:r>
      <w:r>
        <w:rPr>
          <w:rFonts w:ascii="Times New Roman" w:cs="Times New Roman" w:eastAsia="Times New Roman" w:hAnsi="Times New Roman"/>
          <w:sz w:val="18"/>
          <w:szCs w:val="18"/>
          <w:color w:val="auto"/>
        </w:rPr>
        <w:t>By: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OVERSEA-CHINESE BANKING CORPORATION LIMITED </w:t>
      </w:r>
      <w:r>
        <w:rPr>
          <w:rFonts w:ascii="Times New Roman" w:cs="Times New Roman" w:eastAsia="Times New Roman" w:hAnsi="Times New Roman"/>
          <w:sz w:val="18"/>
          <w:szCs w:val="18"/>
          <w:color w:val="auto"/>
        </w:rPr>
        <w:t>By: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1051560</wp:posOffset>
            </wp:positionV>
            <wp:extent cx="629221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 /s/ Thea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289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ectPr>
          <w:pgSz w:w="11900" w:h="16838" w:orient="portrait"/>
          <w:cols w:equalWidth="0" w:num="2">
            <w:col w:w="4900" w:space="560"/>
            <w:col w:w="4019"/>
          </w:cols>
          <w:pgMar w:left="980" w:top="887" w:right="1440"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SECURITY AGENT</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LENDERS</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N.A., JERSEY BRANCH</w:t>
            </w: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 Peter Lemoucheux</w:t>
            </w: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 Peter Lemoucheux</w:t>
            </w:r>
          </w:p>
        </w:tc>
        <w:tc>
          <w:tcPr>
            <w:tcW w:w="28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r>
      <w:tr>
        <w:trPr>
          <w:trHeight w:val="409"/>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(UK)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 LIMITED</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54"/>
        </w:trPr>
        <w:tc>
          <w:tcPr>
            <w:tcW w:w="5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23" w:name="page424"/>
    <w:bookmarkEnd w:id="4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SECURITY AGENT</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DNS BANK ASA, LONDON BRANCH</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LENDERS</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N.A., JERSEY BRANCH</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(UK) LIMITED</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5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 David S Hackett</w:t>
            </w:r>
          </w:p>
        </w:tc>
      </w:tr>
      <w:tr>
        <w:trPr>
          <w:trHeight w:val="191"/>
        </w:trPr>
        <w:tc>
          <w:tcPr>
            <w:tcW w:w="4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David S Hackett</w:t>
            </w:r>
          </w:p>
        </w:tc>
        <w:tc>
          <w:tcPr>
            <w:tcW w:w="40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 Finance &amp; Leasing</w:t>
            </w:r>
          </w:p>
        </w:tc>
        <w:tc>
          <w:tcPr>
            <w:tcW w:w="4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Institutional Banking</w:t>
            </w:r>
          </w:p>
        </w:tc>
        <w:tc>
          <w:tcPr>
            <w:tcW w:w="4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National Australia Bank Limited</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OVERSEA-CHINESE BANKING CORPORATION</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1856"/>
        </w:trPr>
        <w:tc>
          <w:tcPr>
            <w:tcW w:w="4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color w:val="auto"/>
        </w:rPr>
        <w:t>THE SECURITY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JERSEY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SHIP FINANCE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NATIONAL AUSTRALIA BANK LIMITED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 FILIAL I NORGE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9479"/>
          </w:cols>
          <w:pgMar w:left="980" w:top="1103" w:right="1440"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OVERSEA-CHINESE BANKING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Lisa Fung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Lisa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0861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OCBC Bank</w:t>
      </w:r>
    </w:p>
    <w:p>
      <w:pPr>
        <w:spacing w:after="0" w:line="200" w:lineRule="exact"/>
        <w:rPr>
          <w:sz w:val="20"/>
          <w:szCs w:val="20"/>
          <w:color w:val="auto"/>
        </w:rPr>
      </w:pPr>
    </w:p>
    <w:p>
      <w:pPr>
        <w:sectPr>
          <w:pgSz w:w="11900" w:h="16838" w:orient="portrait"/>
          <w:cols w:equalWidth="0" w:num="2">
            <w:col w:w="4340" w:space="720"/>
            <w:col w:w="4419"/>
          </w:cols>
          <w:pgMar w:left="980" w:top="1103"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SKANDINAV1SKA ENSKILDA BANKEN AB (PUBL)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1171575</wp:posOffset>
            </wp:positionV>
            <wp:extent cx="629221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3" w:right="1440" w:bottom="1440" w:gutter="0" w:footer="0" w:header="0"/>
          <w:type w:val="continuous"/>
        </w:sectPr>
      </w:pPr>
    </w:p>
    <w:bookmarkStart w:id="425" w:name="page426"/>
    <w:bookmarkEnd w:id="425"/>
    <w:p>
      <w:pPr>
        <w:ind w:right="29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(SINGAPORE) LIMITED </w:t>
      </w:r>
      <w:r>
        <w:rPr>
          <w:rFonts w:ascii="Times New Roman" w:cs="Times New Roman" w:eastAsia="Times New Roman" w:hAnsi="Times New Roman"/>
          <w:sz w:val="18"/>
          <w:szCs w:val="18"/>
          <w:color w:val="auto"/>
        </w:rPr>
        <w:t>/s/ Pandey Abhishek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Pandey Abhishek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-144780</wp:posOffset>
            </wp:positionV>
            <wp:extent cx="30861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Global Head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Finance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 CHINESE BANKING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1171575</wp:posOffset>
            </wp:positionV>
            <wp:extent cx="629221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3" w:right="1440"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64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 Rebecca Daniels</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Rebecca Daniels</w:t>
            </w:r>
          </w:p>
        </w:tc>
        <w:tc>
          <w:tcPr>
            <w:tcW w:w="156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5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64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 Rebecca Daniels</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Rebecca Daniels</w:t>
            </w:r>
          </w:p>
        </w:tc>
        <w:tc>
          <w:tcPr>
            <w:tcW w:w="156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56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194" w:lineRule="exact"/>
        <w:rPr>
          <w:sz w:val="20"/>
          <w:szCs w:val="20"/>
          <w:color w:val="auto"/>
        </w:rPr>
      </w:pPr>
    </w:p>
    <w:p>
      <w:pPr>
        <w:sectPr>
          <w:pgSz w:w="11900" w:h="16838" w:orient="portrait"/>
          <w:cols w:equalWidth="0" w:num="1">
            <w:col w:w="9920"/>
          </w:cols>
          <w:pgMar w:left="980" w:top="1008" w:right="9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 Thea Messina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NATIONAL AUSTRALIA BANK LIMITED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b w:val="1"/>
          <w:bCs w:val="1"/>
          <w:color w:val="auto"/>
        </w:rPr>
        <w:t>OVERSEA- CHINESE BANKING CORPORATION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SKANDINAVISKA ENSKILDA BANKER AB (PUBL)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Rebecca Daniels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AG </w:t>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Rebecca Daniels, /s/ Thea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0861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Rebecca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1611630</wp:posOffset>
            </wp:positionV>
            <wp:extent cx="629221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wp:posOffset>
            </wp:positionV>
            <wp:extent cx="30861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ectPr>
          <w:pgSz w:w="11900" w:h="16838" w:orient="portrait"/>
          <w:cols w:equalWidth="0" w:num="2">
            <w:col w:w="4340" w:space="720"/>
            <w:col w:w="4860"/>
          </w:cols>
          <w:pgMar w:left="980" w:top="1008" w:right="999" w:bottom="1440" w:gutter="0" w:footer="0" w:header="0"/>
          <w:type w:val="continuous"/>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tc>
        <w:tc>
          <w:tcPr>
            <w:tcW w:w="5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 Jamie Wortley</w:t>
            </w:r>
          </w:p>
        </w:tc>
      </w:tr>
      <w:tr>
        <w:trPr>
          <w:trHeight w:val="191"/>
        </w:trPr>
        <w:tc>
          <w:tcPr>
            <w:tcW w:w="4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Jamie Wortley</w:t>
            </w:r>
          </w:p>
        </w:tc>
        <w:tc>
          <w:tcPr>
            <w:tcW w:w="40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Delegated Signatory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 BANK N.V.</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BANK ABP</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 CHINESE BANKING CORPORATION</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AG</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1856"/>
        </w:trPr>
        <w:tc>
          <w:tcPr>
            <w:tcW w:w="4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3" w:right="99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color w:val="auto"/>
        </w:rPr>
        <w:t>STANDARD CHARTERED BANK (SINGAPORE)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 BANK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DNB BANK ASA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 BANK N.V.</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5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 David S Hackett</w:t>
            </w:r>
          </w:p>
        </w:tc>
      </w:tr>
      <w:tr>
        <w:trPr>
          <w:trHeight w:val="191"/>
        </w:trPr>
        <w:tc>
          <w:tcPr>
            <w:tcW w:w="4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David S Hackett</w:t>
            </w:r>
          </w:p>
        </w:tc>
        <w:tc>
          <w:tcPr>
            <w:tcW w:w="40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 Finance &amp; Leasing</w:t>
            </w:r>
          </w:p>
        </w:tc>
        <w:tc>
          <w:tcPr>
            <w:tcW w:w="4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Institutional Banking</w:t>
            </w:r>
          </w:p>
        </w:tc>
        <w:tc>
          <w:tcPr>
            <w:tcW w:w="4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National Australia Bank Limited</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NORDEA BANK ABP</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 CHINESE BANKING CORPORATION</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CHARTERED BANK AG</w:t>
            </w:r>
          </w:p>
        </w:tc>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1856"/>
        </w:trPr>
        <w:tc>
          <w:tcPr>
            <w:tcW w:w="4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429" w:name="page430"/>
    <w:bookmarkEnd w:id="429"/>
    <w:p>
      <w:pPr>
        <w:ind w:right="4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(SINGAPORE) LIMITED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 CHINESE BANKING CORPORATION</w:t>
      </w:r>
    </w:p>
    <w:p>
      <w:pPr>
        <w:spacing w:after="0" w:line="31" w:lineRule="exact"/>
        <w:rPr>
          <w:sz w:val="20"/>
          <w:szCs w:val="20"/>
          <w:color w:val="auto"/>
        </w:rPr>
      </w:pPr>
    </w:p>
    <w:p>
      <w:pPr>
        <w:ind w:right="3479"/>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LIMITED </w:t>
      </w:r>
      <w:r>
        <w:rPr>
          <w:rFonts w:ascii="Times New Roman" w:cs="Times New Roman" w:eastAsia="Times New Roman" w:hAnsi="Times New Roman"/>
          <w:sz w:val="18"/>
          <w:szCs w:val="18"/>
          <w:color w:val="auto"/>
        </w:rPr>
        <w:t>/s/ Lisa Fung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Lisa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-3810</wp:posOffset>
            </wp:positionV>
            <wp:extent cx="30861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OCBC Bank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CHARTERED BANK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1171575</wp:posOffset>
            </wp:positionV>
            <wp:extent cx="629221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03" w:right="1440" w:bottom="1440" w:gutter="0" w:footer="0" w:header="0"/>
        </w:sectPr>
      </w:pPr>
    </w:p>
    <w:bookmarkStart w:id="430" w:name="page431"/>
    <w:bookmarkEnd w:id="430"/>
    <w:p>
      <w:pPr>
        <w:ind w:right="4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(SINGAPORE) LIMITED </w:t>
      </w:r>
      <w:r>
        <w:rPr>
          <w:rFonts w:ascii="Times New Roman" w:cs="Times New Roman" w:eastAsia="Times New Roman" w:hAnsi="Times New Roman"/>
          <w:sz w:val="18"/>
          <w:szCs w:val="18"/>
          <w:color w:val="auto"/>
        </w:rPr>
        <w:t>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BANK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ABN AMRO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EUROPE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DNB BANK ASA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 BANK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AUSTRALIA BANK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BANK OF GREECE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NORDEA BANK ABP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 CHINESE BANKING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BANKER AB (PUBL)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9479"/>
          </w:cols>
          <w:pgMar w:left="980" w:top="1103" w:right="1440" w:bottom="1440" w:gutter="0" w:footer="0" w:header="0"/>
        </w:sectPr>
      </w:pPr>
    </w:p>
    <w:p>
      <w:pPr>
        <w:spacing w:after="0" w:line="203" w:lineRule="exact"/>
        <w:rPr>
          <w:sz w:val="20"/>
          <w:szCs w:val="20"/>
          <w:color w:val="auto"/>
        </w:rPr>
      </w:pPr>
    </w:p>
    <w:p>
      <w:pPr>
        <w:ind w:right="128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STANDARD CHARTERED BANK AG </w:t>
      </w:r>
      <w:r>
        <w:rPr>
          <w:rFonts w:ascii="Times New Roman" w:cs="Times New Roman" w:eastAsia="Times New Roman" w:hAnsi="Times New Roman"/>
          <w:sz w:val="18"/>
          <w:szCs w:val="18"/>
          <w:color w:val="auto"/>
        </w:rPr>
        <w:t>By: Jean-Baptiste Chamband, MD. Head Corporate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Jean-Baptiste Chamband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1473200</wp:posOffset>
            </wp:positionV>
            <wp:extent cx="629221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24765</wp:posOffset>
            </wp:positionV>
            <wp:extent cx="30861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ectPr>
          <w:pgSz w:w="11900" w:h="16838" w:orient="portrait"/>
          <w:cols w:equalWidth="0" w:num="2">
            <w:col w:w="4340" w:space="720"/>
            <w:col w:w="4419"/>
          </w:cols>
          <w:pgMar w:left="980" w:top="1103" w:right="1440" w:bottom="1440" w:gutter="0" w:footer="0" w:header="0"/>
          <w:type w:val="continuous"/>
        </w:sectPr>
      </w:pPr>
    </w:p>
    <w:bookmarkStart w:id="431" w:name="page432"/>
    <w:bookmarkEnd w:id="431"/>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GLOBAL CO-ORDINATORS</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5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 Rebecca Daniels</w:t>
            </w:r>
          </w:p>
        </w:tc>
      </w:tr>
      <w:tr>
        <w:trPr>
          <w:trHeight w:val="191"/>
        </w:trPr>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Rebecca Daniels</w:t>
            </w:r>
          </w:p>
        </w:tc>
        <w:tc>
          <w:tcPr>
            <w:tcW w:w="82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c>
          <w:tcPr>
            <w:tcW w:w="8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SUSTAINABILITY CO-ORDINATOR</w:t>
            </w:r>
          </w:p>
        </w:tc>
        <w:tc>
          <w:tcPr>
            <w:tcW w:w="8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5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 Rebecca Daniels</w:t>
            </w:r>
          </w:p>
        </w:tc>
      </w:tr>
      <w:tr>
        <w:trPr>
          <w:trHeight w:val="191"/>
        </w:trPr>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Rebecca Daniels</w:t>
            </w:r>
          </w:p>
        </w:tc>
        <w:tc>
          <w:tcPr>
            <w:tcW w:w="82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1856"/>
        </w:trPr>
        <w:tc>
          <w:tcPr>
            <w:tcW w:w="4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432" w:name="page433"/>
    <w:bookmarkEnd w:id="4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GLOBAL CO-ORDINATORS</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8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tc>
        <w:tc>
          <w:tcPr>
            <w:tcW w:w="5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 Akshay Jashnani</w:t>
            </w:r>
          </w:p>
        </w:tc>
      </w:tr>
      <w:tr>
        <w:trPr>
          <w:trHeight w:val="191"/>
        </w:trPr>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Akshay Jashnani</w:t>
            </w:r>
          </w:p>
        </w:tc>
        <w:tc>
          <w:tcPr>
            <w:tcW w:w="82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SUSTAINABILITY CO-ORDINATOR</w:t>
            </w:r>
          </w:p>
        </w:tc>
        <w:tc>
          <w:tcPr>
            <w:tcW w:w="8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ABN AMRO BANK N.V.</w:t>
            </w:r>
          </w:p>
        </w:tc>
        <w:tc>
          <w:tcPr>
            <w:tcW w:w="8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1640"/>
        </w:trPr>
        <w:tc>
          <w:tcPr>
            <w:tcW w:w="4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433" w:name="page434"/>
    <w:bookmarkEnd w:id="4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8.1</w:t>
            </w:r>
          </w:p>
        </w:tc>
      </w:tr>
      <w:tr>
        <w:trPr>
          <w:trHeight w:val="432"/>
        </w:trPr>
        <w:tc>
          <w:tcPr>
            <w:tcW w:w="20" w:type="dxa"/>
            <w:vAlign w:val="bottom"/>
          </w:tcPr>
          <w:p>
            <w:pPr>
              <w:spacing w:after="0"/>
              <w:rPr>
                <w:sz w:val="24"/>
                <w:szCs w:val="24"/>
                <w:color w:val="auto"/>
              </w:rPr>
            </w:pPr>
          </w:p>
        </w:tc>
        <w:tc>
          <w:tcPr>
            <w:tcW w:w="700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SUBSIDIARIES OF GASLOG LTD.</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following companies are subsidiaries of GasLog Ltd.</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91"/>
        </w:trPr>
        <w:tc>
          <w:tcPr>
            <w:tcW w:w="20" w:type="dxa"/>
            <w:vAlign w:val="bottom"/>
          </w:tcPr>
          <w:p>
            <w:pPr>
              <w:spacing w:after="0"/>
              <w:rPr>
                <w:sz w:val="16"/>
                <w:szCs w:val="16"/>
                <w:color w:val="auto"/>
              </w:rPr>
            </w:pPr>
          </w:p>
        </w:tc>
        <w:tc>
          <w:tcPr>
            <w:tcW w:w="6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Gaslog Investments Ltd.</w:t>
            </w:r>
          </w:p>
        </w:tc>
        <w:tc>
          <w:tcPr>
            <w:tcW w:w="180" w:type="dxa"/>
            <w:vAlign w:val="bottom"/>
          </w:tcPr>
          <w:p>
            <w:pPr>
              <w:spacing w:after="0"/>
              <w:rPr>
                <w:sz w:val="16"/>
                <w:szCs w:val="16"/>
                <w:color w:val="auto"/>
              </w:rPr>
            </w:pPr>
          </w:p>
        </w:tc>
        <w:tc>
          <w:tcPr>
            <w:tcW w:w="1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BVI</w:t>
            </w:r>
          </w:p>
        </w:tc>
        <w:tc>
          <w:tcPr>
            <w:tcW w:w="1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Investment Holdings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LNG Services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Carriers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Shipping Company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Services UK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Asia Pte.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Cyprus Investments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Cyprus</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GAS-one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GAS-two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GAS-six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GAS-nine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GAS-fifteen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GAS-eighteen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two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three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four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five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six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GAS-twenty eight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one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two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three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four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five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eight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GAS-thirty nine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GAS-forty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GAS-forty one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GAS-FFA Trading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GAS-FFA Partnership Trading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Hellas-1 SME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Greece</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Hellas-2 SME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Greece</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GasLog-one Malta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Malta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Partners GP LLC</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Marshall Islands</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Partners LP</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Marshall Islands</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Partners Holdings LLC</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Marshall Islands</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GasLog-two Malta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Malta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GAS-three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GAS-four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GAS-five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GAS-seven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GAS-eight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GAS-eleven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GAS-twelve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GAS-thirteen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GAS-fourteen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GAS-sixteen Ltd.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993"/>
        </w:trPr>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34" w:name="page435"/>
    <w:bookmarkEnd w:id="4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GAS-seventeen Ltd.</w:t>
            </w:r>
          </w:p>
        </w:tc>
        <w:tc>
          <w:tcPr>
            <w:tcW w:w="4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Bermuda</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GAS-nineteen Ltd.</w:t>
            </w:r>
          </w:p>
        </w:tc>
        <w:tc>
          <w:tcPr>
            <w:tcW w:w="4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Bermuda</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GAS-twenty Ltd.</w:t>
            </w:r>
          </w:p>
        </w:tc>
        <w:tc>
          <w:tcPr>
            <w:tcW w:w="4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Bermuda</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GAS-twenty one Ltd.</w:t>
            </w:r>
          </w:p>
        </w:tc>
        <w:tc>
          <w:tcPr>
            <w:tcW w:w="4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Bermuda</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GAS-twenty seven Ltd.</w:t>
            </w:r>
          </w:p>
        </w:tc>
        <w:tc>
          <w:tcPr>
            <w:tcW w:w="4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Bermuda</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46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Paolo Enoizi, certify that:</w:t>
      </w:r>
    </w:p>
    <w:p>
      <w:pPr>
        <w:spacing w:after="0" w:line="229" w:lineRule="exact"/>
        <w:rPr>
          <w:sz w:val="20"/>
          <w:szCs w:val="20"/>
          <w:color w:val="auto"/>
        </w:rPr>
      </w:pPr>
    </w:p>
    <w:p>
      <w:pPr>
        <w:ind w:left="340" w:hanging="332"/>
        <w:spacing w:after="0"/>
        <w:tabs>
          <w:tab w:leader="none" w:pos="3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Ltd. (the “Company”);</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292290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229" w:lineRule="exact"/>
        <w:rPr>
          <w:sz w:val="20"/>
          <w:szCs w:val="20"/>
          <w:color w:val="auto"/>
        </w:rPr>
      </w:pPr>
    </w:p>
    <w:p>
      <w:pPr>
        <w:ind w:left="340" w:hanging="332"/>
        <w:spacing w:after="0"/>
        <w:tabs>
          <w:tab w:leader="none" w:pos="3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Ltd. (the “Company”);</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292290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Ltd., a Bermuda exempted company (the “Company”), for the period ending December 31, 2023, as filed with the Securities and Exchange Commission on the date hereof (the “Report”), the undersigned officer of the Company certifies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29229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Ltd., a Bermuda exempted company (the “Company”), for the period ending December 31, 2023, as filed with the Securities and Exchange Commission on the date hereof (the “Report”), the undersigned officer of the Company certifies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29489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554355</wp:posOffset>
            </wp:positionV>
            <wp:extent cx="6398895" cy="46329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6398895" cy="463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80" w:right="620"/>
        <w:spacing w:after="0" w:line="281" w:lineRule="auto"/>
        <w:rPr>
          <w:sz w:val="20"/>
          <w:szCs w:val="20"/>
          <w:color w:val="auto"/>
        </w:rPr>
      </w:pPr>
      <w:r>
        <w:rPr>
          <w:rFonts w:ascii="Times New Roman" w:cs="Times New Roman" w:eastAsia="Times New Roman" w:hAnsi="Times New Roman"/>
          <w:sz w:val="43"/>
          <w:szCs w:val="43"/>
          <w:b w:val="1"/>
          <w:bCs w:val="1"/>
          <w:color w:val="auto"/>
        </w:rPr>
        <w:t>INCENTIVE COMPENSATION RECOVERY POLICY</w:t>
      </w:r>
    </w:p>
    <w:p>
      <w:pPr>
        <w:spacing w:after="0" w:line="200" w:lineRule="exact"/>
        <w:rPr>
          <w:sz w:val="20"/>
          <w:szCs w:val="20"/>
          <w:color w:val="auto"/>
        </w:rPr>
      </w:pPr>
    </w:p>
    <w:p>
      <w:pPr>
        <w:spacing w:after="0" w:line="3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5"/>
          <w:szCs w:val="25"/>
          <w:b w:val="1"/>
          <w:bCs w:val="1"/>
          <w:color w:val="auto"/>
        </w:rPr>
        <w:t>Effective: 1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633095</wp:posOffset>
            </wp:positionV>
            <wp:extent cx="6377940"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440" w:name="page441"/>
    <w:bookmarkEnd w:id="440"/>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30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6381750" cy="19304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920"/>
          </w:cols>
          <w:pgMar w:left="980" w:top="1440" w:right="999" w:bottom="1440" w:gutter="0" w:footer="0" w:header="0"/>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6040" w:type="dxa"/>
            <w:vAlign w:val="bottom"/>
            <w:gridSpan w:val="5"/>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0000EE"/>
                <w:w w:val="93"/>
              </w:rPr>
              <w:t>1.</w:t>
            </w:r>
          </w:p>
        </w:tc>
        <w:tc>
          <w:tcPr>
            <w:tcW w:w="7440" w:type="dxa"/>
            <w:vAlign w:val="bottom"/>
            <w:gridSpan w:val="8"/>
          </w:tcPr>
          <w:p>
            <w:pPr>
              <w:ind w:left="100"/>
              <w:spacing w:after="0"/>
              <w:rPr>
                <w:sz w:val="20"/>
                <w:szCs w:val="20"/>
                <w:color w:val="auto"/>
              </w:rPr>
            </w:pPr>
            <w:r>
              <w:rPr>
                <w:rFonts w:ascii="Times New Roman" w:cs="Times New Roman" w:eastAsia="Times New Roman" w:hAnsi="Times New Roman"/>
                <w:sz w:val="20"/>
                <w:szCs w:val="20"/>
                <w:b w:val="1"/>
                <w:bCs w:val="1"/>
                <w:color w:val="0000EE"/>
              </w:rPr>
              <w:t>PURPOSE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2.</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ADMINISTRATION</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3.</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COVERED INDIVIDUAL</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4.</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RECOVERY OF EXCESS INCENTICE COMPENSATION</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5.</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GOVERNING LAW</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6.</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MISCELLANEOUS PROVISIONS</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0000EE"/>
                <w:w w:val="93"/>
              </w:rPr>
              <w:t>7.</w:t>
            </w:r>
          </w:p>
        </w:tc>
        <w:tc>
          <w:tcPr>
            <w:tcW w:w="74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0000EE"/>
              </w:rPr>
              <w:t>DEFINITIONS</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441" w:name="page442"/>
    <w:bookmarkEnd w:id="441"/>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30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6381750" cy="19304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68" w:lineRule="exact"/>
        <w:rPr>
          <w:sz w:val="20"/>
          <w:szCs w:val="20"/>
          <w:color w:val="auto"/>
        </w:rPr>
      </w:pPr>
    </w:p>
    <w:p>
      <w:pPr>
        <w:ind w:left="600" w:hanging="485"/>
        <w:spacing w:after="0"/>
        <w:tabs>
          <w:tab w:leader="none" w:pos="600" w:val="left"/>
        </w:tabs>
        <w:numPr>
          <w:ilvl w:val="0"/>
          <w:numId w:val="6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17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 xml:space="preserve">This Incentive Compensation Recovery Policy (this </w:t>
      </w:r>
      <w:r>
        <w:rPr>
          <w:rFonts w:ascii="Arial" w:cs="Arial" w:eastAsia="Arial" w:hAnsi="Arial"/>
          <w:sz w:val="20"/>
          <w:szCs w:val="20"/>
          <w:color w:val="auto"/>
        </w:rPr>
        <w:t>“</w:t>
      </w:r>
      <w:r>
        <w:rPr>
          <w:rFonts w:ascii="Times New Roman" w:cs="Times New Roman" w:eastAsia="Times New Roman" w:hAnsi="Times New Roman"/>
          <w:sz w:val="20"/>
          <w:szCs w:val="20"/>
          <w:color w:val="auto"/>
        </w:rPr>
        <w:t>Recovery Policy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is adopted by each of GasLog Ltd., a Bermuda exempted company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GasLog Partners LP, a Marshall Islands limited partnership (together with the Company, the </w:t>
      </w:r>
      <w:r>
        <w:rPr>
          <w:rFonts w:ascii="Arial" w:cs="Arial" w:eastAsia="Arial" w:hAnsi="Arial"/>
          <w:sz w:val="20"/>
          <w:szCs w:val="20"/>
          <w:color w:val="auto"/>
        </w:rPr>
        <w:t>“</w:t>
      </w:r>
      <w:r>
        <w:rPr>
          <w:rFonts w:ascii="Times New Roman" w:cs="Times New Roman" w:eastAsia="Times New Roman" w:hAnsi="Times New Roman"/>
          <w:sz w:val="20"/>
          <w:szCs w:val="20"/>
          <w:color w:val="auto"/>
        </w:rPr>
        <w:t>Adoptees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as of 1 December 2023 as required by Section 10D of the Securities Exchange Act of 1934, as amended (the </w:t>
      </w:r>
      <w:r>
        <w:rPr>
          <w:rFonts w:ascii="Arial" w:cs="Arial" w:eastAsia="Arial" w:hAnsi="Arial"/>
          <w:sz w:val="20"/>
          <w:szCs w:val="20"/>
          <w:color w:val="auto"/>
        </w:rPr>
        <w:t>“</w:t>
      </w:r>
      <w:r>
        <w:rPr>
          <w:rFonts w:ascii="Times New Roman" w:cs="Times New Roman" w:eastAsia="Times New Roman" w:hAnsi="Times New Roman"/>
          <w:sz w:val="20"/>
          <w:szCs w:val="20"/>
          <w:color w:val="auto"/>
        </w:rPr>
        <w:t>Exchange Act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Rule 10D-1 under the Exchange Act and the applicable New York Stock Exchange Listing Standards (collectively, the </w:t>
      </w:r>
      <w:r>
        <w:rPr>
          <w:rFonts w:ascii="Arial" w:cs="Arial" w:eastAsia="Arial" w:hAnsi="Arial"/>
          <w:sz w:val="20"/>
          <w:szCs w:val="20"/>
          <w:color w:val="auto"/>
        </w:rPr>
        <w:t>“</w:t>
      </w:r>
      <w:r>
        <w:rPr>
          <w:rFonts w:ascii="Times New Roman" w:cs="Times New Roman" w:eastAsia="Times New Roman" w:hAnsi="Times New Roman"/>
          <w:sz w:val="20"/>
          <w:szCs w:val="20"/>
          <w:color w:val="auto"/>
        </w:rPr>
        <w:t>Recovery Rules</w:t>
      </w:r>
      <w:r>
        <w:rPr>
          <w:rFonts w:ascii="Arial" w:cs="Arial" w:eastAsia="Arial" w:hAnsi="Arial"/>
          <w:sz w:val="20"/>
          <w:szCs w:val="20"/>
          <w:color w:val="auto"/>
        </w:rPr>
        <w:t>”</w:t>
      </w:r>
      <w:r>
        <w:rPr>
          <w:rFonts w:ascii="Times New Roman" w:cs="Times New Roman" w:eastAsia="Times New Roman" w:hAnsi="Times New Roman"/>
          <w:sz w:val="20"/>
          <w:szCs w:val="20"/>
          <w:color w:val="auto"/>
        </w:rPr>
        <w:t>). The purpose of this Recovery Policy is solely to comply with the Adoptees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obligations under the Recovery Rules and is not intended to obligate the Adoptees to recover more than necessary to comply with the Recovery Rules. This Recovery Policy is intended to apply independently of all other clawback, recoupment or forfeiture policies, agreements or other arrangements of the Adoptees (collectively, </w:t>
      </w:r>
      <w:r>
        <w:rPr>
          <w:rFonts w:ascii="Arial" w:cs="Arial" w:eastAsia="Arial" w:hAnsi="Arial"/>
          <w:sz w:val="20"/>
          <w:szCs w:val="20"/>
          <w:color w:val="auto"/>
        </w:rPr>
        <w:t>“</w:t>
      </w:r>
      <w:r>
        <w:rPr>
          <w:rFonts w:ascii="Times New Roman" w:cs="Times New Roman" w:eastAsia="Times New Roman" w:hAnsi="Times New Roman"/>
          <w:sz w:val="20"/>
          <w:szCs w:val="20"/>
          <w:color w:val="auto"/>
        </w:rPr>
        <w:t>Other Clawback Policies</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600" w:hanging="485"/>
        <w:spacing w:after="0"/>
        <w:tabs>
          <w:tab w:leader="none" w:pos="600" w:val="left"/>
        </w:tabs>
        <w:numPr>
          <w:ilvl w:val="0"/>
          <w:numId w:val="6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7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 xml:space="preserve">This Recovery Policy shall be administered by the Compensation Committee of the Board of Directors (the </w:t>
      </w:r>
      <w:r>
        <w:rPr>
          <w:rFonts w:ascii="Arial" w:cs="Arial" w:eastAsia="Arial" w:hAnsi="Arial"/>
          <w:sz w:val="20"/>
          <w:szCs w:val="20"/>
          <w:color w:val="auto"/>
        </w:rPr>
        <w:t>“</w:t>
      </w:r>
      <w:r>
        <w:rPr>
          <w:rFonts w:ascii="Times New Roman" w:cs="Times New Roman" w:eastAsia="Times New Roman" w:hAnsi="Times New Roman"/>
          <w:sz w:val="20"/>
          <w:szCs w:val="20"/>
          <w:color w:val="auto"/>
        </w:rPr>
        <w:t>Board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of the Company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Compensation Committee</w:t>
      </w:r>
      <w:r>
        <w:rPr>
          <w:rFonts w:ascii="Arial" w:cs="Arial" w:eastAsia="Arial" w:hAnsi="Arial"/>
          <w:sz w:val="20"/>
          <w:szCs w:val="20"/>
          <w:color w:val="auto"/>
        </w:rPr>
        <w:t>”</w:t>
      </w:r>
      <w:r>
        <w:rPr>
          <w:rFonts w:ascii="Times New Roman" w:cs="Times New Roman" w:eastAsia="Times New Roman" w:hAnsi="Times New Roman"/>
          <w:sz w:val="20"/>
          <w:szCs w:val="20"/>
          <w:color w:val="auto"/>
        </w:rPr>
        <w:t>) on behalf of each of the Adoptees. The Compensation Committee shall have the full power and authority to interpret, and make determinations under, this Recovery Policy, consistent with the Recovery Rules. All determinations and decisions made by the Compensation Committee pursuant to this Recovery Policy shall be final, conclusive and binding on all persons, including each member of the GasLog Group (as defined below), its respective affiliates, equityholders and employees. In the absence of the Compensation Committee, a majority of the independent directors serving on the Board shall administer this Recovery Policy as set forth in this paragraph.</w:t>
      </w:r>
    </w:p>
    <w:p>
      <w:pPr>
        <w:spacing w:after="0" w:line="143" w:lineRule="exact"/>
        <w:rPr>
          <w:sz w:val="20"/>
          <w:szCs w:val="20"/>
          <w:color w:val="auto"/>
        </w:rPr>
      </w:pPr>
    </w:p>
    <w:p>
      <w:pPr>
        <w:ind w:left="600" w:hanging="485"/>
        <w:spacing w:after="0"/>
        <w:tabs>
          <w:tab w:leader="none" w:pos="600" w:val="left"/>
        </w:tabs>
        <w:numPr>
          <w:ilvl w:val="0"/>
          <w:numId w:val="6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COVERED INDIVIDUAL:</w:t>
      </w:r>
    </w:p>
    <w:p>
      <w:pPr>
        <w:spacing w:after="0" w:line="17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Each Executive Officer (as defined below) shall be subject to this Recovery Policy and shall be required to execute a Recovery Policy Participation Agreement in the form attached as Exhibit A hereto. Failure by an Executive Officer to execute a Recovery Policy Participation Agreement shall have no impact on the applicability or enforceability of this Recovery Policy.</w:t>
      </w:r>
    </w:p>
    <w:p>
      <w:pPr>
        <w:spacing w:after="0" w:line="149" w:lineRule="exact"/>
        <w:rPr>
          <w:sz w:val="20"/>
          <w:szCs w:val="20"/>
          <w:color w:val="auto"/>
        </w:rPr>
      </w:pPr>
    </w:p>
    <w:p>
      <w:pPr>
        <w:ind w:left="600" w:hanging="485"/>
        <w:spacing w:after="0"/>
        <w:tabs>
          <w:tab w:leader="none" w:pos="600" w:val="left"/>
        </w:tabs>
        <w:numPr>
          <w:ilvl w:val="0"/>
          <w:numId w:val="6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EXCESS INCENTICE COMPENSATION:</w:t>
      </w:r>
    </w:p>
    <w:p>
      <w:pPr>
        <w:spacing w:after="0" w:line="17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In the event an Adoptee is required to prepare a Covered Financial Restatement (as defined below), such Adoptee shall seek reasonably promptly the recovery of any Excess Incentive Compensation (as defined below) received by an Executive Officer during the three completed fiscal years immediately preceding the applicable Triggering Date (as defined below) (or any transition period that results from a change in such Adoptee</w:t>
      </w:r>
      <w:r>
        <w:rPr>
          <w:rFonts w:ascii="Arial" w:cs="Arial" w:eastAsia="Arial" w:hAnsi="Arial"/>
          <w:sz w:val="20"/>
          <w:szCs w:val="20"/>
          <w:color w:val="auto"/>
        </w:rPr>
        <w:t>’</w:t>
      </w:r>
      <w:r>
        <w:rPr>
          <w:rFonts w:ascii="Times New Roman" w:cs="Times New Roman" w:eastAsia="Times New Roman" w:hAnsi="Times New Roman"/>
          <w:sz w:val="20"/>
          <w:szCs w:val="20"/>
          <w:color w:val="auto"/>
        </w:rPr>
        <w:t>s fiscal year within or immediately following such three completed fiscal years); provided, however, that a transition period between the last day of such Adoptee</w:t>
      </w:r>
      <w:r>
        <w:rPr>
          <w:rFonts w:ascii="Arial" w:cs="Arial" w:eastAsia="Arial" w:hAnsi="Arial"/>
          <w:sz w:val="20"/>
          <w:szCs w:val="20"/>
          <w:color w:val="auto"/>
        </w:rPr>
        <w:t>’</w:t>
      </w:r>
      <w:r>
        <w:rPr>
          <w:rFonts w:ascii="Times New Roman" w:cs="Times New Roman" w:eastAsia="Times New Roman" w:hAnsi="Times New Roman"/>
          <w:sz w:val="20"/>
          <w:szCs w:val="20"/>
          <w:color w:val="auto"/>
        </w:rPr>
        <w:t>s previous fiscal year-end and the first day of its new fiscal year that comprises a period of nine to 12 months shall be considered a completed fiscal year for purposes of this Recovery Policy. The Adoptees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obligations to recover Excess Incentive Compensation from an Executive Officer is not dependent on if, or when, the applicable restated financial statements are filed. Unless otherwise specified by the Compensation Committee, an Executive Officer shall be required to forfeit or repay the Excess Incentive Compensation within 90 days following the date such Executive Officer is informed that such Executive Officer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442" w:name="page443"/>
    <w:bookmarkEnd w:id="442"/>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24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381750" cy="1924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7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 xml:space="preserve">received Excess Incentive Compensation from the GasLog Group. For the avoidance of doubt, any action by an Adoptee to recover Excess Incentive Compensation under this Recovery Policy from an Executive Officer shall not, whether alone or in combination with any other action, event or condition, be deemed (i) to give rise to status as a </w:t>
      </w:r>
      <w:r>
        <w:rPr>
          <w:rFonts w:ascii="Arial" w:cs="Arial" w:eastAsia="Arial" w:hAnsi="Arial"/>
          <w:sz w:val="20"/>
          <w:szCs w:val="20"/>
          <w:color w:val="auto"/>
        </w:rPr>
        <w:t>“</w:t>
      </w:r>
      <w:r>
        <w:rPr>
          <w:rFonts w:ascii="Times New Roman" w:cs="Times New Roman" w:eastAsia="Times New Roman" w:hAnsi="Times New Roman"/>
          <w:sz w:val="20"/>
          <w:szCs w:val="20"/>
          <w:color w:val="auto"/>
        </w:rPr>
        <w:t>good leaver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or term of similar import or to serve as a basis for a claim of constructive termination under any benefit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or compensation arrangement applicable to such Executive Officer, or (ii) to constitute a breach of a contract or other arrangement to which such Executive Officer is party.</w:t>
      </w:r>
    </w:p>
    <w:p>
      <w:pPr>
        <w:spacing w:after="0" w:line="142"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Subject to the Recovery Rules, the Compensation Committee shall have discretion to determine the method by which Excess Incentive Compensation shall be recovered from the applicable Executive Officers provided that (i) to the extent the applicable Excess Incentive Compensation consists of amounts that have been received by, but not yet paid to, such Executive Officer, such unpaid amounts shall be forfeited and (ii) to the extent any remaining Excess Incentive Compensation consists of amounts paid to such Executive Officer in cash or Company common shares that are still held by such Executive Officer, such Executive Officer shall be entitled to repay such amount either in cash or such Company common shares, as applicable. For the avoidance of doubt, any Excess Incentive Compensation received by an Executive Officer that has subsequently been forfeited prior to payment thereof (including as a result of termination of employment or breach of contract) shall be deemed to have been repaid in accordance with this Recovery Policy. To the extent that the application of this Recovery Policy would provide for recovery of Excess Incentive Compensation that an Adoptee recovers pursuant to Section 304 of the Sarbanes-Oxley Act or Other Clawback Policies, the amount the relevant Executive Officer has already reimbursed such Adoptee will be credited to the required recovery under this Recovery Policy.</w:t>
      </w:r>
    </w:p>
    <w:p>
      <w:pPr>
        <w:spacing w:after="0" w:line="15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9"/>
          <w:szCs w:val="19"/>
          <w:color w:val="auto"/>
        </w:rPr>
        <w:t>The Adoptees must recover Excess Incentive Compensation pursuant to this Recovery Policy except to the extent the conditions of (i), (ii) or (iii) of this sentence are satisfied, including the Adoptees</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compliance with any additional requirements set forth in the applicable Recovery Rules related thereto, and the Compensation Committee has made a determination that recovery would be impracticable: (i) the direct expense paid to a third party to assist in enforcing this Recovery Policy would exceed the amount to be recovered; (ii) recovery would violate home country law of the Adoptee where the applicable law was adopted prior to November 28, 2022; or (iii) recovery would likely cause an otherwise tax-qualified retirement plan, under which benefits are broadly available to employees of the Adoptee to fail to meet the requirements of 26 U.S.C. 401(a)(13) or 26 U.S.C. 411(a) and regulations thereunder.</w:t>
      </w:r>
    </w:p>
    <w:p>
      <w:pPr>
        <w:spacing w:after="0" w:line="141" w:lineRule="exact"/>
        <w:rPr>
          <w:sz w:val="20"/>
          <w:szCs w:val="20"/>
          <w:color w:val="auto"/>
        </w:rPr>
      </w:pPr>
    </w:p>
    <w:p>
      <w:pPr>
        <w:ind w:left="580" w:hanging="465"/>
        <w:spacing w:after="0"/>
        <w:tabs>
          <w:tab w:leader="none" w:pos="580" w:val="left"/>
        </w:tabs>
        <w:numPr>
          <w:ilvl w:val="0"/>
          <w:numId w:val="6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17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This Recovery Policy shall be governed by and construed in accordance with the laws of the State of New York without regard to conflicts of law thereof or of any other jurisdiction. Any dispute, controversy or claim arising out of or relating to this Recovery Policy shall be determined exclusively in the United States District Court for the Southern District of New York located in the Borough of Manhattan, or the courts of the State of New York, located in the Borough of Manhattan, in the event the United States District Court for the Southern District of New York does not have subject matter jurisdiction over the matter at hand.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443" w:name="page444"/>
    <w:bookmarkEnd w:id="443"/>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24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6381750" cy="1924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7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DISPUTE HEREUNDER, EACH PARTY WAIVES ITS RIGHT TO TRIAL OF ANY ISSUE BY JURY. The parties shall each bear their own expenses in connection with any dispute under or relating to this Recovery Policy.</w:t>
      </w:r>
    </w:p>
    <w:p>
      <w:pPr>
        <w:spacing w:after="0" w:line="115" w:lineRule="exact"/>
        <w:rPr>
          <w:sz w:val="20"/>
          <w:szCs w:val="20"/>
          <w:color w:val="auto"/>
        </w:rPr>
      </w:pPr>
    </w:p>
    <w:p>
      <w:pPr>
        <w:ind w:left="600" w:hanging="485"/>
        <w:spacing w:after="0"/>
        <w:tabs>
          <w:tab w:leader="none" w:pos="600" w:val="left"/>
        </w:tabs>
        <w:numPr>
          <w:ilvl w:val="0"/>
          <w:numId w:val="6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17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This Recovery Policy shall only apply to Incentive Compensation received on or after October 2, 2023. The Board may amend this Recovery Policy from time to time in its sole and absolute discretion. This Recovery Policy shall not limit the rights of an Adoptee to take any other actions or pursue other remedies that such Adoptee may deem appropriate under the circumstances and under applicable law. This Recovery Policy and determinations and decisions made by the Compensation Committee pursuant to this Recovery Policy shall be binding and enforceable against all Executive Officers and their beneficiaries, heirs, executors, administrators or other legal representatives.</w:t>
      </w:r>
    </w:p>
    <w:p>
      <w:pPr>
        <w:spacing w:after="0" w:line="14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This Recovery Policy shall operate independently with respect to each of the Adoptees and shall be interpreted accordingly. In particular, each of the Adoptees shall have its own set of Executive Officers (which may overlap in whole or in part) and a Covered Financial Restatement with respect to one Adoptee shall not result in the requirement under this Recovery Policy to recover Incentive Compensation received by individuals who are solely Executive Officers of the other (and have been for all applicable periods).</w:t>
      </w:r>
    </w:p>
    <w:p>
      <w:pPr>
        <w:spacing w:after="0" w:line="154" w:lineRule="exact"/>
        <w:rPr>
          <w:sz w:val="20"/>
          <w:szCs w:val="20"/>
          <w:color w:val="auto"/>
        </w:rPr>
      </w:pPr>
    </w:p>
    <w:p>
      <w:pPr>
        <w:ind w:left="600" w:hanging="485"/>
        <w:spacing w:after="0"/>
        <w:tabs>
          <w:tab w:leader="none" w:pos="600" w:val="left"/>
        </w:tabs>
        <w:numPr>
          <w:ilvl w:val="0"/>
          <w:numId w:val="6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79" w:lineRule="exact"/>
        <w:rPr>
          <w:sz w:val="20"/>
          <w:szCs w:val="20"/>
          <w:color w:val="auto"/>
        </w:rPr>
      </w:pPr>
    </w:p>
    <w:p>
      <w:pPr>
        <w:jc w:val="both"/>
        <w:ind w:left="120"/>
        <w:spacing w:after="0" w:line="243"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Covered Financial Restatement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an accounting restatement required due to material noncompliance by an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Adoptee with any financial reporting requirements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w:t>
      </w:r>
    </w:p>
    <w:p>
      <w:pPr>
        <w:spacing w:after="0" w:line="3" w:lineRule="exact"/>
        <w:rPr>
          <w:sz w:val="20"/>
          <w:szCs w:val="20"/>
          <w:color w:val="auto"/>
        </w:rPr>
      </w:pPr>
    </w:p>
    <w:p>
      <w:pPr>
        <w:jc w:val="both"/>
        <w:ind w:left="120" w:firstLine="3"/>
        <w:spacing w:after="0"/>
        <w:tabs>
          <w:tab w:leader="none" w:pos="386" w:val="left"/>
        </w:tabs>
        <w:numPr>
          <w:ilvl w:val="0"/>
          <w:numId w:val="6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out-of-period adjustments; (ii) retrospective application of a change in accounting principle; (iii) retrospective revision to reportable segment information due to a change in the structure of the internal organization of the GasLog Group; (iv) retrospective reclassification due to a discontinued operation; (v) retrospective application of a change in reporting entity, such as from a reorganization of entities under common control; (vi) retrospective revision for share splits, reverse share splits, share dividends or other change in capital structure; and (vii) retrospective adjustment to provisional amounts in connection with a prior business combination.</w:t>
      </w:r>
    </w:p>
    <w:p>
      <w:pPr>
        <w:spacing w:after="0" w:line="151"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Excess Incentive Compensation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(i) the amount of Incentive Compensation received by an Executive Officer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in excess of the amount that would have been received had it been determined based on the restated Financial Reporting Measure following the completion of a Covered Financial Restatement, and (ii) any other compensation that is computed based on, or otherwise attributable to, the amounts described in clause (i), in each case, as determined by the Compensation Committee in accordance with the Recovery Rules. The amount of Excess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444" w:name="page445"/>
    <w:bookmarkEnd w:id="444"/>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24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6381750" cy="1924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7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Incentive Compensation shall be determined on a gross basis without regard to any taxes owed or paid by the Executive Officer on the receipt or settlement of the Incentive Compensation. For Incentive Compensation based on share price or total shareholder return, where the amount of Excess Incentive Compensation is not subject to mathematical recalculation directly from the information in an accounting restatement, the amount shall be based on a reasonable estimate of the effect of the accounting restatement on the share price or total shareholder return upon which the Incentive Compensation was received. For the avoidance of doubt, Excess Incentive Compensation may include Incentive Compensation received by a person after such person ceases to be an Executive Officer, including a former employee of the GasLog Group.</w:t>
      </w:r>
    </w:p>
    <w:p>
      <w:pPr>
        <w:spacing w:after="0" w:line="149" w:lineRule="exact"/>
        <w:rPr>
          <w:sz w:val="20"/>
          <w:szCs w:val="20"/>
          <w:color w:val="auto"/>
        </w:rPr>
      </w:pPr>
    </w:p>
    <w:p>
      <w:pPr>
        <w:jc w:val="both"/>
        <w:ind w:left="120"/>
        <w:spacing w:after="0" w:line="253"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Executive Officer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an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executive officer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(as defined in Rule 10D-1(d) under the Exchange Act) of an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Adoptee and as identified by the Compensation Committee in accordance with the Recovery Rules. The Compensation Committee shall determine the Executive Officers no less than on an annual basis.</w:t>
      </w:r>
    </w:p>
    <w:p>
      <w:pPr>
        <w:spacing w:after="0" w:line="135"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Financial Reporting Measures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measures that are determined in accordance with the accounting principles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used in preparing an Adoptee</w:t>
      </w:r>
      <w:r>
        <w:rPr>
          <w:rFonts w:ascii="Arial" w:cs="Arial" w:eastAsia="Arial" w:hAnsi="Arial"/>
          <w:sz w:val="20"/>
          <w:szCs w:val="20"/>
          <w:color w:val="auto"/>
        </w:rPr>
        <w:t>’</w:t>
      </w:r>
      <w:r>
        <w:rPr>
          <w:rFonts w:ascii="Times New Roman" w:cs="Times New Roman" w:eastAsia="Times New Roman" w:hAnsi="Times New Roman"/>
          <w:sz w:val="20"/>
          <w:szCs w:val="20"/>
          <w:color w:val="auto"/>
        </w:rPr>
        <w:t>s financial statements, and any measures that are derived in whole or in part from such measures, including share price and other measures based on share price such as total shareholder return. A Financial Reporting Measure need not be presented within the financial statements or included in a filing with the Securities and Exchange Commission.</w:t>
      </w:r>
    </w:p>
    <w:p>
      <w:pPr>
        <w:spacing w:after="0" w:line="156"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GasLog Group</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the Company, collectively with each of its direct and indirect subsidiaries, including GasLog</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Partners LP.</w:t>
      </w:r>
    </w:p>
    <w:p>
      <w:pPr>
        <w:spacing w:after="0" w:line="121" w:lineRule="exact"/>
        <w:rPr>
          <w:sz w:val="20"/>
          <w:szCs w:val="20"/>
          <w:color w:val="auto"/>
        </w:rPr>
      </w:pPr>
    </w:p>
    <w:p>
      <w:pPr>
        <w:jc w:val="both"/>
        <w:ind w:left="120"/>
        <w:spacing w:after="0" w:line="242"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Incentive Compensation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any compensation that is granted, earned or becomes vested, in whole or in part,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upon the attainment of a Financial Reporting Measure and as identified by the Compensation Committee in accordance with the Recovery Rules and that was received by an Executive Officer (i) after such individual began service as an Executive Officer, (ii) who served in such capacity at any time during the performance period for such compensation and (iii) while the applicable Adoptee had a class of securities listed on a national securities exchange or a national securities association. Except as otherwise determined by the Compensation Committee, Incentive Compensation shall not include the following: (i) salaries; (ii) amounts received solely at the discretion of the Compensation Committee or the Board and that are not received from a pool that is determined by satisfying a Financial Reporting Measure performance goal; (iii) amounts received solely upon satisfying one or more subjective standards; (iv) amounts received solely upon satisfying one or more strategic measures or operational measures; and (v) amounts received solely based on service or the passage of time.</w:t>
      </w:r>
    </w:p>
    <w:p>
      <w:pPr>
        <w:spacing w:after="0" w:line="147"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20"/>
          <w:szCs w:val="20"/>
          <w:color w:val="auto"/>
        </w:rPr>
        <w:t xml:space="preserve">Incentive Compensation shall be considered to be </w:t>
      </w:r>
      <w:r>
        <w:rPr>
          <w:rFonts w:ascii="Arial" w:cs="Arial" w:eastAsia="Arial" w:hAnsi="Arial"/>
          <w:sz w:val="20"/>
          <w:szCs w:val="20"/>
          <w:color w:val="auto"/>
        </w:rPr>
        <w:t>“</w:t>
      </w:r>
      <w:r>
        <w:rPr>
          <w:rFonts w:ascii="Times New Roman" w:cs="Times New Roman" w:eastAsia="Times New Roman" w:hAnsi="Times New Roman"/>
          <w:sz w:val="20"/>
          <w:szCs w:val="20"/>
          <w:color w:val="auto"/>
        </w:rPr>
        <w:t>received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by an Executive Officer in the Adoptee</w:t>
      </w:r>
      <w:r>
        <w:rPr>
          <w:rFonts w:ascii="Arial" w:cs="Arial" w:eastAsia="Arial" w:hAnsi="Arial"/>
          <w:sz w:val="20"/>
          <w:szCs w:val="20"/>
          <w:color w:val="auto"/>
        </w:rPr>
        <w:t>’</w:t>
      </w:r>
      <w:r>
        <w:rPr>
          <w:rFonts w:ascii="Times New Roman" w:cs="Times New Roman" w:eastAsia="Times New Roman" w:hAnsi="Times New Roman"/>
          <w:sz w:val="20"/>
          <w:szCs w:val="20"/>
          <w:color w:val="auto"/>
        </w:rPr>
        <w:t>s fiscal period during which the Financial Reporting Measure specified in the Incentive Compensation is achieved or attained, even if the payment or grant of the Incentive Compensation occurs after the end of that fiscal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445" w:name="page446"/>
    <w:bookmarkEnd w:id="445"/>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24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381750" cy="1924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72" w:lineRule="exact"/>
        <w:rPr>
          <w:sz w:val="20"/>
          <w:szCs w:val="20"/>
          <w:color w:val="auto"/>
        </w:rPr>
      </w:pPr>
    </w:p>
    <w:p>
      <w:pPr>
        <w:jc w:val="both"/>
        <w:ind w:left="120"/>
        <w:spacing w:after="0" w:line="244"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Triggering Date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means the earlier to occur of (i) the date the Board, a committee of the Board, or the officer or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officers of the Company authorized to take such action if Board action is not required, concludes, or reasonably should have concluded, that an Adoptee is required to prepare a Covered Financial Restatement, or (ii) the date a court of competent jurisdiction, regulator, or other legally authorized body directs an Adoptee to prepare a Covered Financial Restatement; provided that the recovery of Excess Incentive Compensation pursuant to this Recovery Policy as a result of this clause (ii) shall only be required if such action by such court, regulator or other legally authorized body, as applicable, is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440" w:right="999" w:bottom="1440" w:gutter="0" w:footer="0" w:header="0"/>
          <w:type w:val="continuous"/>
        </w:sectPr>
      </w:pPr>
    </w:p>
    <w:bookmarkStart w:id="446" w:name="page447"/>
    <w:bookmarkEnd w:id="446"/>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583565</wp:posOffset>
            </wp:positionH>
            <wp:positionV relativeFrom="page">
              <wp:posOffset>1081405</wp:posOffset>
            </wp:positionV>
            <wp:extent cx="6381750" cy="1924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6381750" cy="19240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431800</wp:posOffset>
            </wp:positionV>
            <wp:extent cx="1019810" cy="5060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50609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9"/>
          <w:szCs w:val="19"/>
          <w:b w:val="1"/>
          <w:bCs w:val="1"/>
          <w:color w:val="auto"/>
        </w:rPr>
        <w:t>Incentive Compensation Recovery Policy</w:t>
      </w:r>
    </w:p>
    <w:p>
      <w:pPr>
        <w:sectPr>
          <w:pgSz w:w="11900" w:h="16838" w:orient="portrait"/>
          <w:cols w:equalWidth="0" w:num="1">
            <w:col w:w="9460"/>
          </w:cols>
          <w:pgMar w:left="1440" w:top="1440" w:right="999" w:bottom="1440" w:gutter="0" w:footer="0" w:header="0"/>
        </w:sectPr>
      </w:pPr>
    </w:p>
    <w:p>
      <w:pPr>
        <w:spacing w:after="0" w:line="26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7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Recovery Policy Participation Agreement</w:t>
      </w:r>
    </w:p>
    <w:p>
      <w:pPr>
        <w:spacing w:after="0" w:line="175" w:lineRule="exact"/>
        <w:rPr>
          <w:sz w:val="20"/>
          <w:szCs w:val="20"/>
          <w:color w:val="auto"/>
        </w:rPr>
      </w:pPr>
    </w:p>
    <w:p>
      <w:pPr>
        <w:jc w:val="both"/>
        <w:ind w:left="120"/>
        <w:spacing w:after="0" w:line="248" w:lineRule="auto"/>
        <w:rPr>
          <w:sz w:val="20"/>
          <w:szCs w:val="20"/>
          <w:color w:val="auto"/>
        </w:rPr>
      </w:pPr>
      <w:r>
        <w:rPr>
          <w:rFonts w:ascii="Times New Roman" w:cs="Times New Roman" w:eastAsia="Times New Roman" w:hAnsi="Times New Roman"/>
          <w:sz w:val="20"/>
          <w:szCs w:val="20"/>
          <w:color w:val="auto"/>
        </w:rPr>
        <w:t xml:space="preserve">This Recovery Policy Participation Agreement (this </w:t>
      </w:r>
      <w:r>
        <w:rPr>
          <w:rFonts w:ascii="Arial" w:cs="Arial" w:eastAsia="Arial" w:hAnsi="Arial"/>
          <w:sz w:val="20"/>
          <w:szCs w:val="20"/>
          <w:color w:val="auto"/>
        </w:rPr>
        <w:t>“</w:t>
      </w:r>
      <w:r>
        <w:rPr>
          <w:rFonts w:ascii="Times New Roman" w:cs="Times New Roman" w:eastAsia="Times New Roman" w:hAnsi="Times New Roman"/>
          <w:sz w:val="20"/>
          <w:szCs w:val="20"/>
          <w:u w:val="single" w:color="auto"/>
          <w:color w:val="auto"/>
        </w:rPr>
        <w:t>Participation Agreement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to the Incentive Compensation Recovery Policy (the </w:t>
      </w:r>
      <w:r>
        <w:rPr>
          <w:rFonts w:ascii="Arial" w:cs="Arial" w:eastAsia="Arial" w:hAnsi="Arial"/>
          <w:sz w:val="20"/>
          <w:szCs w:val="20"/>
          <w:color w:val="auto"/>
        </w:rPr>
        <w:t>“</w:t>
      </w:r>
      <w:r>
        <w:rPr>
          <w:rFonts w:ascii="Times New Roman" w:cs="Times New Roman" w:eastAsia="Times New Roman" w:hAnsi="Times New Roman"/>
          <w:sz w:val="20"/>
          <w:szCs w:val="20"/>
          <w:u w:val="single" w:color="auto"/>
          <w:color w:val="auto"/>
        </w:rPr>
        <w:t>Recovery Policy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of GasLog Ltd. [(the </w:t>
      </w:r>
      <w:r>
        <w:rPr>
          <w:rFonts w:ascii="Arial" w:cs="Arial" w:eastAsia="Arial" w:hAnsi="Arial"/>
          <w:sz w:val="20"/>
          <w:szCs w:val="20"/>
          <w:color w:val="auto"/>
        </w:rPr>
        <w:t>“</w:t>
      </w:r>
      <w:r>
        <w:rPr>
          <w:rFonts w:ascii="Times New Roman" w:cs="Times New Roman" w:eastAsia="Times New Roman" w:hAnsi="Times New Roman"/>
          <w:sz w:val="20"/>
          <w:szCs w:val="20"/>
          <w:u w:val="single" w:color="auto"/>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GasLog Partners LP [(the </w:t>
      </w:r>
      <w:r>
        <w:rPr>
          <w:rFonts w:ascii="Arial" w:cs="Arial" w:eastAsia="Arial" w:hAnsi="Arial"/>
          <w:sz w:val="20"/>
          <w:szCs w:val="20"/>
          <w:color w:val="auto"/>
        </w:rPr>
        <w:t>“</w:t>
      </w:r>
      <w:r>
        <w:rPr>
          <w:rFonts w:ascii="Times New Roman" w:cs="Times New Roman" w:eastAsia="Times New Roman" w:hAnsi="Times New Roman"/>
          <w:sz w:val="20"/>
          <w:szCs w:val="20"/>
          <w:u w:val="single" w:color="auto"/>
          <w:color w:val="auto"/>
        </w:rPr>
        <w:t>Partnership</w:t>
      </w:r>
      <w:r>
        <w:rPr>
          <w:rFonts w:ascii="Arial" w:cs="Arial" w:eastAsia="Arial" w:hAnsi="Arial"/>
          <w:sz w:val="20"/>
          <w:szCs w:val="20"/>
          <w:color w:val="auto"/>
        </w:rPr>
        <w:t>”</w:t>
      </w:r>
      <w:r>
        <w:rPr>
          <w:rFonts w:ascii="Times New Roman" w:cs="Times New Roman" w:eastAsia="Times New Roman" w:hAnsi="Times New Roman"/>
          <w:sz w:val="20"/>
          <w:szCs w:val="20"/>
          <w:color w:val="auto"/>
        </w:rPr>
        <w:t>)], is entered into among [the Company], [the Partnership] and [NAME]. Capitalized terms used but not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defined in this Participation Agreement shall have the meanings assigned to such terms in the Recovery Policy.</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signing below, the undersigned:</w:t>
      </w:r>
    </w:p>
    <w:p>
      <w:pPr>
        <w:spacing w:after="0" w:line="175" w:lineRule="exact"/>
        <w:rPr>
          <w:sz w:val="20"/>
          <w:szCs w:val="20"/>
          <w:color w:val="auto"/>
        </w:rPr>
      </w:pPr>
    </w:p>
    <w:p>
      <w:pPr>
        <w:jc w:val="both"/>
        <w:ind w:left="740" w:hanging="301"/>
        <w:spacing w:after="0" w:line="253" w:lineRule="auto"/>
        <w:tabs>
          <w:tab w:leader="none" w:pos="740" w:val="left"/>
        </w:tabs>
        <w:numPr>
          <w:ilvl w:val="0"/>
          <w:numId w:val="6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confirms that the undersigned has received and reviewed a copy of the Recovery Policy and that the undersigned is, and the undersigned</w:t>
      </w:r>
      <w:r>
        <w:rPr>
          <w:rFonts w:ascii="Arial" w:cs="Arial" w:eastAsia="Arial" w:hAnsi="Arial"/>
          <w:sz w:val="20"/>
          <w:szCs w:val="20"/>
          <w:color w:val="auto"/>
        </w:rPr>
        <w:t>’</w:t>
      </w:r>
      <w:r>
        <w:rPr>
          <w:rFonts w:ascii="Times New Roman" w:cs="Times New Roman" w:eastAsia="Times New Roman" w:hAnsi="Times New Roman"/>
          <w:sz w:val="20"/>
          <w:szCs w:val="20"/>
          <w:color w:val="auto"/>
        </w:rPr>
        <w:t>s beneficiaries, heirs, executors, administrators or other legal representatives, as applicable, are, subject to the Recovery Policy;</w:t>
      </w:r>
    </w:p>
    <w:p>
      <w:pPr>
        <w:spacing w:after="0" w:line="135" w:lineRule="exact"/>
        <w:rPr>
          <w:rFonts w:ascii="Times New Roman" w:cs="Times New Roman" w:eastAsia="Times New Roman" w:hAnsi="Times New Roman"/>
          <w:sz w:val="20"/>
          <w:szCs w:val="20"/>
          <w:color w:val="auto"/>
        </w:rPr>
      </w:pPr>
    </w:p>
    <w:p>
      <w:pPr>
        <w:jc w:val="both"/>
        <w:ind w:left="740" w:hanging="301"/>
        <w:spacing w:after="0" w:line="250" w:lineRule="auto"/>
        <w:tabs>
          <w:tab w:leader="none" w:pos="740" w:val="left"/>
        </w:tabs>
        <w:numPr>
          <w:ilvl w:val="0"/>
          <w:numId w:val="6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agrees that the undersigned shall comply with the Recovery Policy, including, without limitation, by returning Excess Incentive Compensation pursuant to, and in accordance with, the Recovery Policy and applicable law, and that the undersigned remains subject to the Recovery Policy during and after the undersigned</w:t>
      </w:r>
      <w:r>
        <w:rPr>
          <w:rFonts w:ascii="Arial" w:cs="Arial" w:eastAsia="Arial" w:hAnsi="Arial"/>
          <w:sz w:val="20"/>
          <w:szCs w:val="20"/>
          <w:color w:val="auto"/>
        </w:rPr>
        <w:t>’</w:t>
      </w:r>
      <w:r>
        <w:rPr>
          <w:rFonts w:ascii="Times New Roman" w:cs="Times New Roman" w:eastAsia="Times New Roman" w:hAnsi="Times New Roman"/>
          <w:sz w:val="20"/>
          <w:szCs w:val="20"/>
          <w:color w:val="auto"/>
        </w:rPr>
        <w:t>s employment or engagement with the GasLog Group;</w:t>
      </w:r>
    </w:p>
    <w:p>
      <w:pPr>
        <w:spacing w:after="0" w:line="134" w:lineRule="exact"/>
        <w:rPr>
          <w:rFonts w:ascii="Times New Roman" w:cs="Times New Roman" w:eastAsia="Times New Roman" w:hAnsi="Times New Roman"/>
          <w:sz w:val="20"/>
          <w:szCs w:val="20"/>
          <w:color w:val="auto"/>
        </w:rPr>
      </w:pPr>
    </w:p>
    <w:p>
      <w:pPr>
        <w:jc w:val="both"/>
        <w:ind w:left="740" w:hanging="301"/>
        <w:spacing w:after="0" w:line="249" w:lineRule="auto"/>
        <w:tabs>
          <w:tab w:leader="none" w:pos="740" w:val="left"/>
        </w:tabs>
        <w:numPr>
          <w:ilvl w:val="0"/>
          <w:numId w:val="6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generality of the foregoing, acknowledges and agrees to comply with and be subject to the terms and conditions of the Recovery Policy, including those set forth in Paragraph E regarding the adjudication and settlement of all disputes, controversies or claims arising out of or relating to the Recovery Policy;</w:t>
      </w:r>
    </w:p>
    <w:p>
      <w:pPr>
        <w:spacing w:after="0" w:line="139" w:lineRule="exact"/>
        <w:rPr>
          <w:rFonts w:ascii="Times New Roman" w:cs="Times New Roman" w:eastAsia="Times New Roman" w:hAnsi="Times New Roman"/>
          <w:sz w:val="20"/>
          <w:szCs w:val="20"/>
          <w:color w:val="auto"/>
        </w:rPr>
      </w:pPr>
    </w:p>
    <w:p>
      <w:pPr>
        <w:jc w:val="both"/>
        <w:ind w:left="740" w:right="20" w:hanging="301"/>
        <w:spacing w:after="0" w:line="249" w:lineRule="auto"/>
        <w:tabs>
          <w:tab w:leader="none" w:pos="740" w:val="left"/>
        </w:tabs>
        <w:numPr>
          <w:ilvl w:val="0"/>
          <w:numId w:val="6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and agrees that in the event of any inconsistency between the Recovery Policy and the terms of any employment agreement to which the undersigned is a party, or the terms of any compensation plan, program, agreement or arrangement under which any Incentive Compensation has been granted, awarded, earned or paid, in each case, the terms of the Recovery Policy shall govern; and</w:t>
      </w:r>
    </w:p>
    <w:p>
      <w:pPr>
        <w:spacing w:after="0" w:line="139" w:lineRule="exact"/>
        <w:rPr>
          <w:rFonts w:ascii="Times New Roman" w:cs="Times New Roman" w:eastAsia="Times New Roman" w:hAnsi="Times New Roman"/>
          <w:sz w:val="20"/>
          <w:szCs w:val="20"/>
          <w:color w:val="auto"/>
        </w:rPr>
      </w:pPr>
    </w:p>
    <w:p>
      <w:pPr>
        <w:ind w:left="740" w:hanging="301"/>
        <w:spacing w:after="0" w:line="269" w:lineRule="auto"/>
        <w:tabs>
          <w:tab w:leader="none" w:pos="740" w:val="left"/>
        </w:tabs>
        <w:numPr>
          <w:ilvl w:val="0"/>
          <w:numId w:val="6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the Recovery Policy may be amended from time to time in accordance with the terms thereof and the undersigned shall remain subject to the Recovery Policy, as so amended, in all respects.</w:t>
      </w:r>
    </w:p>
    <w:p>
      <w:pPr>
        <w:spacing w:after="0" w:line="3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-139700</wp:posOffset>
            </wp:positionV>
            <wp:extent cx="31457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-139700</wp:posOffset>
            </wp:positionV>
            <wp:extent cx="31457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-139700</wp:posOffset>
            </wp:positionV>
            <wp:extent cx="31457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8</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359410</wp:posOffset>
            </wp:positionV>
            <wp:extent cx="629221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460"/>
      </w:cols>
      <w:pgMar w:left="1440" w:top="1440"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ECE91F0"/>
    <w:multiLevelType w:val="hybridMultilevel"/>
    <w:lvl w:ilvl="0">
      <w:lvlJc w:val="left"/>
      <w:lvlText w:val="☐"/>
      <w:numFmt w:val="bullet"/>
      <w:start w:val="1"/>
    </w:lvl>
  </w:abstractNum>
  <w:abstractNum w:abstractNumId="1">
    <w:nsid w:val="4FC4D600"/>
    <w:multiLevelType w:val="hybridMultilevel"/>
    <w:lvl w:ilvl="0">
      <w:lvlJc w:val="left"/>
      <w:lvlText w:val="☒"/>
      <w:numFmt w:val="bullet"/>
      <w:start w:val="1"/>
    </w:lvl>
  </w:abstractNum>
  <w:abstractNum w:abstractNumId="2">
    <w:nsid w:val="5BFD4210"/>
    <w:multiLevelType w:val="hybridMultilevel"/>
    <w:lvl w:ilvl="0">
      <w:lvlJc w:val="left"/>
      <w:lvlText w:val="☐"/>
      <w:numFmt w:val="bullet"/>
      <w:start w:val="1"/>
    </w:lvl>
  </w:abstractNum>
  <w:abstractNum w:abstractNumId="3">
    <w:nsid w:val="76574F8B"/>
    <w:multiLevelType w:val="hybridMultilevel"/>
    <w:lvl w:ilvl="0">
      <w:lvlJc w:val="left"/>
      <w:lvlText w:val="†"/>
      <w:numFmt w:val="bullet"/>
      <w:start w:val="1"/>
    </w:lvl>
  </w:abstractNum>
  <w:abstractNum w:abstractNumId="4">
    <w:nsid w:val="178F7B67"/>
    <w:multiLevelType w:val="hybridMultilevel"/>
    <w:lvl w:ilvl="0">
      <w:lvlJc w:val="left"/>
      <w:lvlText w:val="●"/>
      <w:numFmt w:val="bullet"/>
      <w:start w:val="1"/>
    </w:lvl>
  </w:abstractNum>
  <w:abstractNum w:abstractNumId="5">
    <w:nsid w:val="2421DFCF"/>
    <w:multiLevelType w:val="hybridMultilevel"/>
    <w:lvl w:ilvl="0">
      <w:lvlJc w:val="left"/>
      <w:lvlText w:val="●"/>
      <w:numFmt w:val="bullet"/>
      <w:start w:val="1"/>
    </w:lvl>
  </w:abstractNum>
  <w:abstractNum w:abstractNumId="6">
    <w:nsid w:val="1565AC99"/>
    <w:multiLevelType w:val="hybridMultilevel"/>
    <w:lvl w:ilvl="0">
      <w:lvlJc w:val="left"/>
      <w:lvlText w:val="●"/>
      <w:numFmt w:val="bullet"/>
      <w:start w:val="1"/>
    </w:lvl>
  </w:abstractNum>
  <w:abstractNum w:abstractNumId="7">
    <w:nsid w:val="19FB2650"/>
    <w:multiLevelType w:val="hybridMultilevel"/>
    <w:lvl w:ilvl="0">
      <w:lvlJc w:val="left"/>
      <w:lvlText w:val="●"/>
      <w:numFmt w:val="bullet"/>
      <w:start w:val="1"/>
    </w:lvl>
  </w:abstractNum>
  <w:abstractNum w:abstractNumId="8">
    <w:nsid w:val="5024DE5B"/>
    <w:multiLevelType w:val="hybridMultilevel"/>
    <w:lvl w:ilvl="0">
      <w:lvlJc w:val="left"/>
      <w:lvlText w:val="%1."/>
      <w:numFmt w:val="upperLetter"/>
      <w:start w:val="1"/>
    </w:lvl>
  </w:abstractNum>
  <w:abstractNum w:abstractNumId="9">
    <w:nsid w:val="168EFE17"/>
    <w:multiLevelType w:val="hybridMultilevel"/>
    <w:lvl w:ilvl="0">
      <w:lvlJc w:val="left"/>
      <w:lvlText w:val="●"/>
      <w:numFmt w:val="bullet"/>
      <w:start w:val="1"/>
    </w:lvl>
  </w:abstractNum>
  <w:abstractNum w:abstractNumId="10">
    <w:nsid w:val="1036B29F"/>
    <w:multiLevelType w:val="hybridMultilevel"/>
    <w:lvl w:ilvl="0">
      <w:lvlJc w:val="left"/>
      <w:lvlText w:val="●"/>
      <w:numFmt w:val="bullet"/>
      <w:start w:val="1"/>
    </w:lvl>
  </w:abstractNum>
  <w:abstractNum w:abstractNumId="11">
    <w:nsid w:val="1D206B8E"/>
    <w:multiLevelType w:val="hybridMultilevel"/>
    <w:lvl w:ilvl="0">
      <w:lvlJc w:val="left"/>
      <w:lvlText w:val="●"/>
      <w:numFmt w:val="bullet"/>
      <w:start w:val="1"/>
    </w:lvl>
  </w:abstractNum>
  <w:abstractNum w:abstractNumId="12">
    <w:nsid w:val="7934D3D4"/>
    <w:multiLevelType w:val="hybridMultilevel"/>
    <w:lvl w:ilvl="0">
      <w:lvlJc w:val="left"/>
      <w:lvlText w:val="●"/>
      <w:numFmt w:val="bullet"/>
      <w:start w:val="1"/>
    </w:lvl>
  </w:abstractNum>
  <w:abstractNum w:abstractNumId="13">
    <w:nsid w:val="1C65E98"/>
    <w:multiLevelType w:val="hybridMultilevel"/>
    <w:lvl w:ilvl="0">
      <w:lvlJc w:val="left"/>
      <w:lvlText w:val="●"/>
      <w:numFmt w:val="bullet"/>
      <w:start w:val="1"/>
    </w:lvl>
  </w:abstractNum>
  <w:abstractNum w:abstractNumId="14">
    <w:nsid w:val="1495E50A"/>
    <w:multiLevelType w:val="hybridMultilevel"/>
    <w:lvl w:ilvl="0">
      <w:lvlJc w:val="left"/>
      <w:lvlText w:val="●"/>
      <w:numFmt w:val="bullet"/>
      <w:start w:val="1"/>
    </w:lvl>
  </w:abstractNum>
  <w:abstractNum w:abstractNumId="15">
    <w:nsid w:val="F5BCF61"/>
    <w:multiLevelType w:val="hybridMultilevel"/>
    <w:lvl w:ilvl="0">
      <w:lvlJc w:val="left"/>
      <w:lvlText w:val="●"/>
      <w:numFmt w:val="bullet"/>
      <w:start w:val="1"/>
    </w:lvl>
  </w:abstractNum>
  <w:abstractNum w:abstractNumId="16">
    <w:nsid w:val="3B1DD403"/>
    <w:multiLevelType w:val="hybridMultilevel"/>
    <w:lvl w:ilvl="0">
      <w:lvlJc w:val="left"/>
      <w:lvlText w:val="●"/>
      <w:numFmt w:val="bullet"/>
      <w:start w:val="1"/>
    </w:lvl>
  </w:abstractNum>
  <w:abstractNum w:abstractNumId="17">
    <w:nsid w:val="530386D1"/>
    <w:multiLevelType w:val="hybridMultilevel"/>
    <w:lvl w:ilvl="0">
      <w:lvlJc w:val="left"/>
      <w:lvlText w:val="●"/>
      <w:numFmt w:val="bullet"/>
      <w:start w:val="1"/>
    </w:lvl>
  </w:abstractNum>
  <w:abstractNum w:abstractNumId="18">
    <w:nsid w:val="7525F2BC"/>
    <w:multiLevelType w:val="hybridMultilevel"/>
    <w:lvl w:ilvl="0">
      <w:lvlJc w:val="left"/>
      <w:lvlText w:val="●"/>
      <w:numFmt w:val="bullet"/>
      <w:start w:val="1"/>
    </w:lvl>
  </w:abstractNum>
  <w:abstractNum w:abstractNumId="19">
    <w:nsid w:val="CE8E1A7"/>
    <w:multiLevelType w:val="hybridMultilevel"/>
    <w:lvl w:ilvl="0">
      <w:lvlJc w:val="left"/>
      <w:lvlText w:val="●"/>
      <w:numFmt w:val="bullet"/>
      <w:start w:val="1"/>
    </w:lvl>
  </w:abstractNum>
  <w:abstractNum w:abstractNumId="20">
    <w:nsid w:val="4E9EFB0D"/>
    <w:multiLevelType w:val="hybridMultilevel"/>
    <w:lvl w:ilvl="0">
      <w:lvlJc w:val="left"/>
      <w:lvlText w:val="●"/>
      <w:numFmt w:val="bullet"/>
      <w:start w:val="1"/>
    </w:lvl>
  </w:abstractNum>
  <w:abstractNum w:abstractNumId="21">
    <w:nsid w:val="90802BE"/>
    <w:multiLevelType w:val="hybridMultilevel"/>
    <w:lvl w:ilvl="0">
      <w:lvlJc w:val="left"/>
      <w:lvlText w:val="●"/>
      <w:numFmt w:val="bullet"/>
      <w:start w:val="1"/>
    </w:lvl>
  </w:abstractNum>
  <w:abstractNum w:abstractNumId="22">
    <w:nsid w:val="3266459B"/>
    <w:multiLevelType w:val="hybridMultilevel"/>
    <w:lvl w:ilvl="0">
      <w:lvlJc w:val="left"/>
      <w:lvlText w:val="●"/>
      <w:numFmt w:val="bullet"/>
      <w:start w:val="1"/>
    </w:lvl>
  </w:abstractNum>
  <w:abstractNum w:abstractNumId="23">
    <w:nsid w:val="3F8B0CBF"/>
    <w:multiLevelType w:val="hybridMultilevel"/>
    <w:lvl w:ilvl="0">
      <w:lvlJc w:val="left"/>
      <w:lvlText w:val="●"/>
      <w:numFmt w:val="bullet"/>
      <w:start w:val="1"/>
    </w:lvl>
  </w:abstractNum>
  <w:abstractNum w:abstractNumId="24">
    <w:nsid w:val="37E203AB"/>
    <w:multiLevelType w:val="hybridMultilevel"/>
    <w:lvl w:ilvl="0">
      <w:lvlJc w:val="left"/>
      <w:lvlText w:val="●"/>
      <w:numFmt w:val="bullet"/>
      <w:start w:val="1"/>
    </w:lvl>
  </w:abstractNum>
  <w:abstractNum w:abstractNumId="25">
    <w:nsid w:val="2586D60E"/>
    <w:multiLevelType w:val="hybridMultilevel"/>
    <w:lvl w:ilvl="0">
      <w:lvlJc w:val="left"/>
      <w:lvlText w:val="●"/>
      <w:numFmt w:val="bullet"/>
      <w:start w:val="1"/>
    </w:lvl>
  </w:abstractNum>
  <w:abstractNum w:abstractNumId="26">
    <w:nsid w:val="1F3DA4D5"/>
    <w:multiLevelType w:val="hybridMultilevel"/>
    <w:lvl w:ilvl="0">
      <w:lvlJc w:val="left"/>
      <w:lvlText w:val="●"/>
      <w:numFmt w:val="bullet"/>
      <w:start w:val="1"/>
    </w:lvl>
  </w:abstractNum>
  <w:abstractNum w:abstractNumId="27">
    <w:nsid w:val="74C93698"/>
    <w:multiLevelType w:val="hybridMultilevel"/>
    <w:lvl w:ilvl="0">
      <w:lvlJc w:val="left"/>
      <w:lvlText w:val="●"/>
      <w:numFmt w:val="bullet"/>
      <w:start w:val="1"/>
    </w:lvl>
  </w:abstractNum>
  <w:abstractNum w:abstractNumId="28">
    <w:nsid w:val="48781401"/>
    <w:multiLevelType w:val="hybridMultilevel"/>
    <w:lvl w:ilvl="0">
      <w:lvlJc w:val="left"/>
      <w:lvlText w:val="●"/>
      <w:numFmt w:val="bullet"/>
      <w:start w:val="1"/>
    </w:lvl>
  </w:abstractNum>
  <w:abstractNum w:abstractNumId="29">
    <w:nsid w:val="186928D6"/>
    <w:multiLevelType w:val="hybridMultilevel"/>
    <w:lvl w:ilvl="0">
      <w:lvlJc w:val="left"/>
      <w:lvlText w:val="●"/>
      <w:numFmt w:val="bullet"/>
      <w:start w:val="1"/>
    </w:lvl>
  </w:abstractNum>
  <w:abstractNum w:abstractNumId="30">
    <w:nsid w:val="47195E5"/>
    <w:multiLevelType w:val="hybridMultilevel"/>
    <w:lvl w:ilvl="0">
      <w:lvlJc w:val="left"/>
      <w:lvlText w:val="●"/>
      <w:numFmt w:val="bullet"/>
      <w:start w:val="1"/>
    </w:lvl>
  </w:abstractNum>
  <w:abstractNum w:abstractNumId="31">
    <w:nsid w:val="3746A5F2"/>
    <w:multiLevelType w:val="hybridMultilevel"/>
    <w:lvl w:ilvl="0">
      <w:lvlJc w:val="left"/>
      <w:lvlText w:val="●"/>
      <w:numFmt w:val="bullet"/>
      <w:start w:val="1"/>
    </w:lvl>
  </w:abstractNum>
  <w:abstractNum w:abstractNumId="32">
    <w:nsid w:val="682DFED6"/>
    <w:multiLevelType w:val="hybridMultilevel"/>
    <w:lvl w:ilvl="0">
      <w:lvlJc w:val="left"/>
      <w:lvlText w:val="●"/>
      <w:numFmt w:val="bullet"/>
      <w:start w:val="1"/>
    </w:lvl>
  </w:abstractNum>
  <w:abstractNum w:abstractNumId="33">
    <w:nsid w:val="606ED7F6"/>
    <w:multiLevelType w:val="hybridMultilevel"/>
    <w:lvl w:ilvl="0">
      <w:lvlJc w:val="left"/>
      <w:lvlText w:val="●"/>
      <w:numFmt w:val="bullet"/>
      <w:start w:val="1"/>
    </w:lvl>
  </w:abstractNum>
  <w:abstractNum w:abstractNumId="34">
    <w:nsid w:val="2D9DF57D"/>
    <w:multiLevelType w:val="hybridMultilevel"/>
    <w:lvl w:ilvl="0">
      <w:lvlJc w:val="left"/>
      <w:lvlText w:val="●"/>
      <w:numFmt w:val="bullet"/>
      <w:start w:val="1"/>
    </w:lvl>
  </w:abstractNum>
  <w:abstractNum w:abstractNumId="35">
    <w:nsid w:val="7FBD7A3E"/>
    <w:multiLevelType w:val="hybridMultilevel"/>
    <w:lvl w:ilvl="0">
      <w:lvlJc w:val="left"/>
      <w:lvlText w:val="●"/>
      <w:numFmt w:val="bullet"/>
      <w:start w:val="1"/>
    </w:lvl>
  </w:abstractNum>
  <w:abstractNum w:abstractNumId="36">
    <w:nsid w:val="490B7C5"/>
    <w:multiLevelType w:val="hybridMultilevel"/>
    <w:lvl w:ilvl="0">
      <w:lvlJc w:val="left"/>
      <w:lvlText w:val="(%1)"/>
      <w:numFmt w:val="lowerRoman"/>
      <w:start w:val="2"/>
    </w:lvl>
  </w:abstractNum>
  <w:abstractNum w:abstractNumId="37">
    <w:nsid w:val="4303A216"/>
    <w:multiLevelType w:val="hybridMultilevel"/>
    <w:lvl w:ilvl="0">
      <w:lvlJc w:val="left"/>
      <w:lvlText w:val="*"/>
      <w:numFmt w:val="bullet"/>
      <w:start w:val="1"/>
    </w:lvl>
  </w:abstractNum>
  <w:abstractNum w:abstractNumId="38">
    <w:nsid w:val="19B8A08E"/>
    <w:multiLevelType w:val="hybridMultilevel"/>
    <w:lvl w:ilvl="0">
      <w:lvlJc w:val="left"/>
      <w:lvlText w:val="(%1)"/>
      <w:numFmt w:val="decimal"/>
      <w:start w:val="1"/>
    </w:lvl>
  </w:abstractNum>
  <w:abstractNum w:abstractNumId="39">
    <w:nsid w:val="54B59621"/>
    <w:multiLevelType w:val="hybridMultilevel"/>
    <w:lvl w:ilvl="0">
      <w:lvlJc w:val="left"/>
      <w:lvlText w:val="(%1)"/>
      <w:numFmt w:val="decimal"/>
      <w:start w:val="3"/>
    </w:lvl>
  </w:abstractNum>
  <w:abstractNum w:abstractNumId="40">
    <w:nsid w:val="5992A02E"/>
    <w:multiLevelType w:val="hybridMultilevel"/>
    <w:lvl w:ilvl="0">
      <w:lvlJc w:val="left"/>
      <w:lvlText w:val="(%1)"/>
      <w:numFmt w:val="decimal"/>
      <w:start w:val="1"/>
    </w:lvl>
  </w:abstractNum>
  <w:abstractNum w:abstractNumId="41">
    <w:nsid w:val="29EF532D"/>
    <w:multiLevelType w:val="hybridMultilevel"/>
    <w:lvl w:ilvl="0">
      <w:lvlJc w:val="left"/>
      <w:lvlText w:val="●"/>
      <w:numFmt w:val="bullet"/>
      <w:start w:val="1"/>
    </w:lvl>
  </w:abstractNum>
  <w:abstractNum w:abstractNumId="42">
    <w:nsid w:val="71D601AF"/>
    <w:multiLevelType w:val="hybridMultilevel"/>
    <w:lvl w:ilvl="0">
      <w:lvlJc w:val="left"/>
      <w:lvlText w:val="●"/>
      <w:numFmt w:val="bullet"/>
      <w:start w:val="1"/>
    </w:lvl>
  </w:abstractNum>
  <w:abstractNum w:abstractNumId="43">
    <w:nsid w:val="52C77402"/>
    <w:multiLevelType w:val="hybridMultilevel"/>
    <w:lvl w:ilvl="0">
      <w:lvlJc w:val="left"/>
      <w:lvlText w:val="(%1)"/>
      <w:numFmt w:val="decimal"/>
      <w:start w:val="1"/>
    </w:lvl>
  </w:abstractNum>
  <w:abstractNum w:abstractNumId="44">
    <w:nsid w:val="2BB5B1C6"/>
    <w:multiLevelType w:val="hybridMultilevel"/>
    <w:lvl w:ilvl="0">
      <w:lvlJc w:val="left"/>
      <w:lvlText w:val="●"/>
      <w:numFmt w:val="bullet"/>
      <w:start w:val="1"/>
    </w:lvl>
  </w:abstractNum>
  <w:abstractNum w:abstractNumId="45">
    <w:nsid w:val="66BE6B9"/>
    <w:multiLevelType w:val="hybridMultilevel"/>
    <w:lvl w:ilvl="0">
      <w:lvlJc w:val="left"/>
      <w:lvlText w:val="(%1)"/>
      <w:numFmt w:val="decimal"/>
      <w:start w:val="1"/>
    </w:lvl>
  </w:abstractNum>
  <w:abstractNum w:abstractNumId="46">
    <w:nsid w:val="62234363"/>
    <w:multiLevelType w:val="hybridMultilevel"/>
    <w:lvl w:ilvl="0">
      <w:lvlJc w:val="left"/>
      <w:lvlText w:val="(*)"/>
      <w:numFmt w:val="bullet"/>
      <w:start w:val="1"/>
    </w:lvl>
  </w:abstractNum>
  <w:abstractNum w:abstractNumId="47">
    <w:nsid w:val="66D385C9"/>
    <w:multiLevelType w:val="hybridMultilevel"/>
    <w:lvl w:ilvl="0">
      <w:lvlJc w:val="left"/>
      <w:lvlText w:val="●"/>
      <w:numFmt w:val="bullet"/>
      <w:start w:val="1"/>
    </w:lvl>
  </w:abstractNum>
  <w:abstractNum w:abstractNumId="48">
    <w:nsid w:val="596F6D8A"/>
    <w:multiLevelType w:val="hybridMultilevel"/>
    <w:lvl w:ilvl="0">
      <w:lvlJc w:val="left"/>
      <w:lvlText w:val="●"/>
      <w:numFmt w:val="bullet"/>
      <w:start w:val="1"/>
    </w:lvl>
  </w:abstractNum>
  <w:abstractNum w:abstractNumId="49">
    <w:nsid w:val="5749361F"/>
    <w:multiLevelType w:val="hybridMultilevel"/>
    <w:lvl w:ilvl="0">
      <w:lvlJc w:val="left"/>
      <w:lvlText w:val="●"/>
      <w:numFmt w:val="bullet"/>
      <w:start w:val="1"/>
    </w:lvl>
  </w:abstractNum>
  <w:abstractNum w:abstractNumId="50">
    <w:nsid w:val="73BC6770"/>
    <w:multiLevelType w:val="hybridMultilevel"/>
    <w:lvl w:ilvl="0">
      <w:lvlJc w:val="left"/>
      <w:lvlText w:val="●"/>
      <w:numFmt w:val="bullet"/>
      <w:start w:val="1"/>
    </w:lvl>
  </w:abstractNum>
  <w:abstractNum w:abstractNumId="51">
    <w:nsid w:val="280E6897"/>
    <w:multiLevelType w:val="hybridMultilevel"/>
    <w:lvl w:ilvl="0">
      <w:lvlJc w:val="left"/>
      <w:lvlText w:val="●"/>
      <w:numFmt w:val="bullet"/>
      <w:start w:val="1"/>
    </w:lvl>
  </w:abstractNum>
  <w:abstractNum w:abstractNumId="52">
    <w:nsid w:val="605138DE"/>
    <w:multiLevelType w:val="hybridMultilevel"/>
    <w:lvl w:ilvl="0">
      <w:lvlJc w:val="left"/>
      <w:lvlText w:val="(%1)"/>
      <w:numFmt w:val="decimal"/>
      <w:start w:val="1"/>
    </w:lvl>
  </w:abstractNum>
  <w:abstractNum w:abstractNumId="53">
    <w:nsid w:val="2622AD0C"/>
    <w:multiLevelType w:val="hybridMultilevel"/>
    <w:lvl w:ilvl="0">
      <w:lvlJc w:val="left"/>
      <w:lvlText w:val="●"/>
      <w:numFmt w:val="bullet"/>
      <w:start w:val="1"/>
    </w:lvl>
  </w:abstractNum>
  <w:abstractNum w:abstractNumId="54">
    <w:nsid w:val="67997556"/>
    <w:multiLevelType w:val="hybridMultilevel"/>
    <w:lvl w:ilvl="0">
      <w:lvlJc w:val="left"/>
      <w:lvlText w:val="●"/>
      <w:numFmt w:val="bullet"/>
      <w:start w:val="1"/>
    </w:lvl>
  </w:abstractNum>
  <w:abstractNum w:abstractNumId="55">
    <w:nsid w:val="18333C89"/>
    <w:multiLevelType w:val="hybridMultilevel"/>
    <w:lvl w:ilvl="0">
      <w:lvlJc w:val="left"/>
      <w:lvlText w:val="●"/>
      <w:numFmt w:val="bullet"/>
      <w:start w:val="1"/>
    </w:lvl>
  </w:abstractNum>
  <w:abstractNum w:abstractNumId="56">
    <w:nsid w:val="4BA9831A"/>
    <w:multiLevelType w:val="hybridMultilevel"/>
    <w:lvl w:ilvl="0">
      <w:lvlJc w:val="left"/>
      <w:lvlText w:val="●"/>
      <w:numFmt w:val="bullet"/>
      <w:start w:val="1"/>
    </w:lvl>
  </w:abstractNum>
  <w:abstractNum w:abstractNumId="57">
    <w:nsid w:val="6D71A2B"/>
    <w:multiLevelType w:val="hybridMultilevel"/>
    <w:lvl w:ilvl="0">
      <w:lvlJc w:val="left"/>
      <w:lvlText w:val="●"/>
      <w:numFmt w:val="bullet"/>
      <w:start w:val="1"/>
    </w:lvl>
  </w:abstractNum>
  <w:abstractNum w:abstractNumId="58">
    <w:nsid w:val="CFC7321"/>
    <w:multiLevelType w:val="hybridMultilevel"/>
    <w:lvl w:ilvl="0">
      <w:lvlJc w:val="left"/>
      <w:lvlText w:val="(%1)"/>
      <w:numFmt w:val="decimal"/>
      <w:start w:val="1"/>
    </w:lvl>
  </w:abstractNum>
  <w:abstractNum w:abstractNumId="59">
    <w:nsid w:val="1421971B"/>
    <w:multiLevelType w:val="hybridMultilevel"/>
    <w:lvl w:ilvl="0">
      <w:lvlJc w:val="left"/>
      <w:lvlText w:val="(%1)"/>
      <w:numFmt w:val="decimal"/>
      <w:start w:val="1"/>
    </w:lvl>
  </w:abstractNum>
  <w:abstractNum w:abstractNumId="60">
    <w:nsid w:val="1F404301"/>
    <w:multiLevelType w:val="hybridMultilevel"/>
    <w:lvl w:ilvl="0">
      <w:lvlJc w:val="left"/>
      <w:lvlText w:val="●"/>
      <w:numFmt w:val="bullet"/>
      <w:start w:val="1"/>
    </w:lvl>
  </w:abstractNum>
  <w:abstractNum w:abstractNumId="61">
    <w:nsid w:val="116E0907"/>
    <w:multiLevelType w:val="hybridMultilevel"/>
    <w:lvl w:ilvl="0">
      <w:lvlJc w:val="left"/>
      <w:lvlText w:val="●"/>
      <w:numFmt w:val="bullet"/>
      <w:start w:val="1"/>
    </w:lvl>
  </w:abstractNum>
  <w:abstractNum w:abstractNumId="62">
    <w:nsid w:val="4B683D0D"/>
    <w:multiLevelType w:val="hybridMultilevel"/>
    <w:lvl w:ilvl="0">
      <w:lvlJc w:val="left"/>
      <w:lvlText w:val="●"/>
      <w:numFmt w:val="bullet"/>
      <w:start w:val="1"/>
    </w:lvl>
  </w:abstractNum>
  <w:abstractNum w:abstractNumId="63">
    <w:nsid w:val="76E41D8"/>
    <w:multiLevelType w:val="hybridMultilevel"/>
    <w:lvl w:ilvl="0">
      <w:lvlJc w:val="left"/>
      <w:lvlText w:val="●"/>
      <w:numFmt w:val="bullet"/>
      <w:start w:val="1"/>
    </w:lvl>
  </w:abstractNum>
  <w:abstractNum w:abstractNumId="64">
    <w:nsid w:val="71DCE0FD"/>
    <w:multiLevelType w:val="hybridMultilevel"/>
    <w:lvl w:ilvl="0">
      <w:lvlJc w:val="left"/>
      <w:lvlText w:val="●"/>
      <w:numFmt w:val="bullet"/>
      <w:start w:val="1"/>
    </w:lvl>
  </w:abstractNum>
  <w:abstractNum w:abstractNumId="65">
    <w:nsid w:val="7906328B"/>
    <w:multiLevelType w:val="hybridMultilevel"/>
    <w:lvl w:ilvl="0">
      <w:lvlJc w:val="left"/>
      <w:lvlText w:val="●"/>
      <w:numFmt w:val="bullet"/>
      <w:start w:val="1"/>
    </w:lvl>
  </w:abstractNum>
  <w:abstractNum w:abstractNumId="66">
    <w:nsid w:val="72BBC16"/>
    <w:multiLevelType w:val="hybridMultilevel"/>
    <w:lvl w:ilvl="0">
      <w:lvlJc w:val="left"/>
      <w:lvlText w:val="●"/>
      <w:numFmt w:val="bullet"/>
      <w:start w:val="1"/>
    </w:lvl>
  </w:abstractNum>
  <w:abstractNum w:abstractNumId="67">
    <w:nsid w:val="766D98C2"/>
    <w:multiLevelType w:val="hybridMultilevel"/>
    <w:lvl w:ilvl="0">
      <w:lvlJc w:val="left"/>
      <w:lvlText w:val="(%1)"/>
      <w:numFmt w:val="decimal"/>
      <w:start w:val="1"/>
    </w:lvl>
  </w:abstractNum>
  <w:abstractNum w:abstractNumId="68">
    <w:nsid w:val="3C09D4A1"/>
    <w:multiLevelType w:val="hybridMultilevel"/>
    <w:lvl w:ilvl="0">
      <w:lvlJc w:val="left"/>
      <w:lvlText w:val="*"/>
      <w:numFmt w:val="bullet"/>
      <w:start w:val="1"/>
    </w:lvl>
  </w:abstractNum>
  <w:abstractNum w:abstractNumId="69">
    <w:nsid w:val="20E45CA4"/>
    <w:multiLevelType w:val="hybridMultilevel"/>
    <w:lvl w:ilvl="0">
      <w:lvlJc w:val="left"/>
      <w:lvlText w:val="●"/>
      <w:numFmt w:val="bullet"/>
      <w:start w:val="1"/>
    </w:lvl>
  </w:abstractNum>
  <w:abstractNum w:abstractNumId="70">
    <w:nsid w:val="4B232EE3"/>
    <w:multiLevelType w:val="hybridMultilevel"/>
    <w:lvl w:ilvl="0">
      <w:lvlJc w:val="left"/>
      <w:lvlText w:val="●"/>
      <w:numFmt w:val="bullet"/>
      <w:start w:val="1"/>
    </w:lvl>
  </w:abstractNum>
  <w:abstractNum w:abstractNumId="71">
    <w:nsid w:val="159C74CF"/>
    <w:multiLevelType w:val="hybridMultilevel"/>
    <w:lvl w:ilvl="0">
      <w:lvlJc w:val="left"/>
      <w:lvlText w:val="(%1)"/>
      <w:numFmt w:val="lowerRoman"/>
      <w:start w:val="2"/>
    </w:lvl>
  </w:abstractNum>
  <w:abstractNum w:abstractNumId="72">
    <w:nsid w:val="4AD3AFD2"/>
    <w:multiLevelType w:val="hybridMultilevel"/>
    <w:lvl w:ilvl="0">
      <w:lvlJc w:val="left"/>
      <w:lvlText w:val="(%1)"/>
      <w:numFmt w:val="lowerLetter"/>
      <w:start w:val="1"/>
    </w:lvl>
  </w:abstractNum>
  <w:abstractNum w:abstractNumId="73">
    <w:nsid w:val="3CF93092"/>
    <w:multiLevelType w:val="hybridMultilevel"/>
    <w:lvl w:ilvl="0">
      <w:lvlJc w:val="left"/>
      <w:lvlText w:val="%1"/>
      <w:numFmt w:val="upperLetter"/>
      <w:start w:val="1"/>
    </w:lvl>
    <w:lvl w:ilvl="1">
      <w:lvlJc w:val="left"/>
      <w:lvlText w:val="(%2)"/>
      <w:numFmt w:val="lowerLetter"/>
      <w:start w:val="7"/>
    </w:lvl>
  </w:abstractNum>
  <w:abstractNum w:abstractNumId="74">
    <w:nsid w:val="6863E8D2"/>
    <w:multiLevelType w:val="hybridMultilevel"/>
    <w:lvl w:ilvl="0">
      <w:lvlJc w:val="left"/>
      <w:lvlText w:val="%1."/>
      <w:numFmt w:val="upperLetter"/>
      <w:start w:val="4"/>
    </w:lvl>
    <w:lvl w:ilvl="1">
      <w:lvlJc w:val="left"/>
      <w:lvlText w:val="%2"/>
      <w:numFmt w:val="lowerLetter"/>
      <w:start w:val="1"/>
    </w:lvl>
  </w:abstractNum>
  <w:abstractNum w:abstractNumId="75">
    <w:nsid w:val="76896198"/>
    <w:multiLevelType w:val="hybridMultilevel"/>
    <w:lvl w:ilvl="0">
      <w:lvlJc w:val="left"/>
      <w:lvlText w:val="(%1)"/>
      <w:numFmt w:val="lowerRoman"/>
      <w:start w:val="1"/>
    </w:lvl>
  </w:abstractNum>
  <w:abstractNum w:abstractNumId="76">
    <w:nsid w:val="4365174B"/>
    <w:multiLevelType w:val="hybridMultilevel"/>
    <w:lvl w:ilvl="0">
      <w:lvlJc w:val="left"/>
      <w:lvlText w:val="(%1)"/>
      <w:numFmt w:val="lowerRoman"/>
      <w:start w:val="1"/>
    </w:lvl>
    <w:lvl w:ilvl="1">
      <w:lvlJc w:val="left"/>
      <w:lvlText w:val="(%2)"/>
      <w:numFmt w:val="lowerLetter"/>
      <w:start w:val="1"/>
    </w:lvl>
  </w:abstractNum>
  <w:abstractNum w:abstractNumId="77">
    <w:nsid w:val="4A872C35"/>
    <w:multiLevelType w:val="hybridMultilevel"/>
    <w:lvl w:ilvl="0">
      <w:lvlJc w:val="left"/>
      <w:lvlText w:val="(%1)"/>
      <w:numFmt w:val="lowerRoman"/>
      <w:start w:val="1"/>
    </w:lvl>
  </w:abstractNum>
  <w:abstractNum w:abstractNumId="78">
    <w:nsid w:val="5D5CE761"/>
    <w:multiLevelType w:val="hybridMultilevel"/>
    <w:lvl w:ilvl="0">
      <w:lvlJc w:val="left"/>
      <w:lvlText w:val="(%1)"/>
      <w:numFmt w:val="lowerRoman"/>
      <w:start w:val="10"/>
    </w:lvl>
  </w:abstractNum>
  <w:abstractNum w:abstractNumId="79">
    <w:nsid w:val="1CD484D5"/>
    <w:multiLevelType w:val="hybridMultilevel"/>
    <w:lvl w:ilvl="0">
      <w:lvlJc w:val="left"/>
      <w:lvlText w:val="(%1)"/>
      <w:numFmt w:val="lowerRoman"/>
      <w:start w:val="1"/>
    </w:lvl>
  </w:abstractNum>
  <w:abstractNum w:abstractNumId="80">
    <w:nsid w:val="21D06255"/>
    <w:multiLevelType w:val="hybridMultilevel"/>
    <w:lvl w:ilvl="0">
      <w:lvlJc w:val="left"/>
      <w:lvlText w:val="(%1)"/>
      <w:numFmt w:val="lowerRoman"/>
      <w:start w:val="1"/>
    </w:lvl>
  </w:abstractNum>
  <w:abstractNum w:abstractNumId="81">
    <w:nsid w:val="51194ED1"/>
    <w:multiLevelType w:val="hybridMultilevel"/>
    <w:lvl w:ilvl="0">
      <w:lvlJc w:val="left"/>
      <w:lvlText w:val="(%1)"/>
      <w:numFmt w:val="lowerRoman"/>
      <w:start w:val="1"/>
    </w:lvl>
  </w:abstractNum>
  <w:abstractNum w:abstractNumId="82">
    <w:nsid w:val="44E2ED6C"/>
    <w:multiLevelType w:val="hybridMultilevel"/>
    <w:lvl w:ilvl="0">
      <w:lvlJc w:val="left"/>
      <w:lvlText w:val="(%1)"/>
      <w:numFmt w:val="lowerRoman"/>
      <w:start w:val="1"/>
    </w:lvl>
  </w:abstractNum>
  <w:abstractNum w:abstractNumId="83">
    <w:nsid w:val="2219B33"/>
    <w:multiLevelType w:val="hybridMultilevel"/>
    <w:lvl w:ilvl="0">
      <w:lvlJc w:val="left"/>
      <w:lvlText w:val="(%1)"/>
      <w:numFmt w:val="lowerRoman"/>
      <w:start w:val="1"/>
    </w:lvl>
  </w:abstractNum>
  <w:abstractNum w:abstractNumId="84">
    <w:nsid w:val="773BFBDD"/>
    <w:multiLevelType w:val="hybridMultilevel"/>
    <w:lvl w:ilvl="0">
      <w:lvlJc w:val="left"/>
      <w:lvlText w:val="(%1)"/>
      <w:numFmt w:val="lowerLetter"/>
      <w:start w:val="26"/>
    </w:lvl>
  </w:abstractNum>
  <w:abstractNum w:abstractNumId="85">
    <w:nsid w:val="2C7C62C2"/>
    <w:multiLevelType w:val="hybridMultilevel"/>
    <w:lvl w:ilvl="0">
      <w:lvlJc w:val="left"/>
      <w:lvlText w:val="(%1)"/>
      <w:numFmt w:val="decimal"/>
      <w:start w:val="1"/>
    </w:lvl>
  </w:abstractNum>
  <w:abstractNum w:abstractNumId="86">
    <w:nsid w:val="1A54D7BC"/>
    <w:multiLevelType w:val="hybridMultilevel"/>
    <w:lvl w:ilvl="0">
      <w:lvlJc w:val="left"/>
      <w:lvlText w:val="·"/>
      <w:numFmt w:val="bullet"/>
      <w:start w:val="1"/>
    </w:lvl>
  </w:abstractNum>
  <w:abstractNum w:abstractNumId="87">
    <w:nsid w:val="42E57EF7"/>
    <w:multiLevelType w:val="hybridMultilevel"/>
    <w:lvl w:ilvl="0">
      <w:lvlJc w:val="left"/>
      <w:lvlText w:val="·"/>
      <w:numFmt w:val="bullet"/>
      <w:start w:val="1"/>
    </w:lvl>
  </w:abstractNum>
  <w:abstractNum w:abstractNumId="88">
    <w:nsid w:val="33537CED"/>
    <w:multiLevelType w:val="hybridMultilevel"/>
    <w:lvl w:ilvl="0">
      <w:lvlJc w:val="left"/>
      <w:lvlText w:val="%1"/>
      <w:numFmt w:val="decimal"/>
      <w:start w:val="1"/>
    </w:lvl>
    <w:lvl w:ilvl="1">
      <w:lvlJc w:val="left"/>
      <w:lvlText w:val="%2"/>
      <w:numFmt w:val="decimal"/>
      <w:start w:val="104"/>
    </w:lvl>
  </w:abstractNum>
  <w:abstractNum w:abstractNumId="89">
    <w:nsid w:val="27514ADE"/>
    <w:multiLevelType w:val="hybridMultilevel"/>
    <w:lvl w:ilvl="0">
      <w:lvlJc w:val="left"/>
      <w:lvlText w:val="(%1)"/>
      <w:numFmt w:val="decimal"/>
      <w:start w:val="1"/>
    </w:lvl>
    <w:lvl w:ilvl="1">
      <w:lvlJc w:val="left"/>
      <w:lvlText w:val="%2"/>
      <w:numFmt w:val="decimal"/>
      <w:start w:val="1"/>
    </w:lvl>
  </w:abstractNum>
  <w:abstractNum w:abstractNumId="90">
    <w:nsid w:val="57071613"/>
    <w:multiLevelType w:val="hybridMultilevel"/>
    <w:lvl w:ilvl="0">
      <w:lvlJc w:val="left"/>
      <w:lvlText w:val="(%1)"/>
      <w:numFmt w:val="decimal"/>
      <w:start w:val="2"/>
    </w:lvl>
  </w:abstractNum>
  <w:abstractNum w:abstractNumId="91">
    <w:nsid w:val="5293BFEF"/>
    <w:multiLevelType w:val="hybridMultilevel"/>
    <w:lvl w:ilvl="0">
      <w:lvlJc w:val="left"/>
      <w:lvlText w:val="*"/>
      <w:numFmt w:val="bullet"/>
      <w:start w:val="1"/>
    </w:lvl>
  </w:abstractNum>
  <w:abstractNum w:abstractNumId="92">
    <w:nsid w:val="38BF53E5"/>
    <w:multiLevelType w:val="hybridMultilevel"/>
    <w:lvl w:ilvl="0">
      <w:lvlJc w:val="left"/>
      <w:lvlText w:val="(%1)"/>
      <w:numFmt w:val="decimal"/>
      <w:start w:val="1"/>
    </w:lvl>
  </w:abstractNum>
  <w:abstractNum w:abstractNumId="93">
    <w:nsid w:val="226F5320"/>
    <w:multiLevelType w:val="hybridMultilevel"/>
    <w:lvl w:ilvl="0">
      <w:lvlJc w:val="left"/>
      <w:lvlText w:val="●"/>
      <w:numFmt w:val="bullet"/>
      <w:start w:val="1"/>
    </w:lvl>
  </w:abstractNum>
  <w:abstractNum w:abstractNumId="94">
    <w:nsid w:val="5A0201C7"/>
    <w:multiLevelType w:val="hybridMultilevel"/>
    <w:lvl w:ilvl="0">
      <w:lvlJc w:val="left"/>
      <w:lvlText w:val="(%1)"/>
      <w:numFmt w:val="lowerLetter"/>
      <w:start w:val="2"/>
    </w:lvl>
  </w:abstractNum>
  <w:abstractNum w:abstractNumId="95">
    <w:nsid w:val="2A9C34E2"/>
    <w:multiLevelType w:val="hybridMultilevel"/>
    <w:lvl w:ilvl="0">
      <w:lvlJc w:val="left"/>
      <w:lvlText w:val="●"/>
      <w:numFmt w:val="bullet"/>
      <w:start w:val="1"/>
    </w:lvl>
  </w:abstractNum>
  <w:abstractNum w:abstractNumId="96">
    <w:nsid w:val="1B7585AB"/>
    <w:multiLevelType w:val="hybridMultilevel"/>
    <w:lvl w:ilvl="0">
      <w:lvlJc w:val="left"/>
      <w:lvlText w:val="●"/>
      <w:numFmt w:val="bullet"/>
      <w:start w:val="1"/>
    </w:lvl>
  </w:abstractNum>
  <w:abstractNum w:abstractNumId="97">
    <w:nsid w:val="612DBDDD"/>
    <w:multiLevelType w:val="hybridMultilevel"/>
    <w:lvl w:ilvl="0">
      <w:lvlJc w:val="left"/>
      <w:lvlText w:val="●"/>
      <w:numFmt w:val="bullet"/>
      <w:start w:val="1"/>
    </w:lvl>
  </w:abstractNum>
  <w:abstractNum w:abstractNumId="98">
    <w:nsid w:val="2109CDA4"/>
    <w:multiLevelType w:val="hybridMultilevel"/>
    <w:lvl w:ilvl="0">
      <w:lvlJc w:val="left"/>
      <w:lvlText w:val="●"/>
      <w:numFmt w:val="bullet"/>
      <w:start w:val="1"/>
    </w:lvl>
  </w:abstractNum>
  <w:abstractNum w:abstractNumId="99">
    <w:nsid w:val="577F5A4D"/>
    <w:multiLevelType w:val="hybridMultilevel"/>
    <w:lvl w:ilvl="0">
      <w:lvlJc w:val="left"/>
      <w:lvlText w:val="●"/>
      <w:numFmt w:val="bullet"/>
      <w:start w:val="1"/>
    </w:lvl>
  </w:abstractNum>
  <w:abstractNum w:abstractNumId="100">
    <w:nsid w:val="2121A81"/>
    <w:multiLevelType w:val="hybridMultilevel"/>
    <w:lvl w:ilvl="0">
      <w:lvlJc w:val="left"/>
      <w:lvlText w:val="●"/>
      <w:numFmt w:val="bullet"/>
      <w:start w:val="1"/>
    </w:lvl>
  </w:abstractNum>
  <w:abstractNum w:abstractNumId="101">
    <w:nsid w:val="6C2CFC88"/>
    <w:multiLevelType w:val="hybridMultilevel"/>
    <w:lvl w:ilvl="0">
      <w:lvlJc w:val="left"/>
      <w:lvlText w:val="(%1)"/>
      <w:numFmt w:val="lowerLetter"/>
      <w:start w:val="1"/>
    </w:lvl>
  </w:abstractNum>
  <w:abstractNum w:abstractNumId="102">
    <w:nsid w:val="6D1BCF1C"/>
    <w:multiLevelType w:val="hybridMultilevel"/>
    <w:lvl w:ilvl="0">
      <w:lvlJc w:val="left"/>
      <w:lvlText w:val="(%1)"/>
      <w:numFmt w:val="lowerRoman"/>
      <w:start w:val="1"/>
    </w:lvl>
  </w:abstractNum>
  <w:abstractNum w:abstractNumId="103">
    <w:nsid w:val="4CE5CA53"/>
    <w:multiLevelType w:val="hybridMultilevel"/>
    <w:lvl w:ilvl="0">
      <w:lvlJc w:val="left"/>
      <w:lvlText w:val="(%1)"/>
      <w:numFmt w:val="lowerRoman"/>
      <w:start w:val="3"/>
    </w:lvl>
  </w:abstractNum>
  <w:abstractNum w:abstractNumId="104">
    <w:nsid w:val="29262D1A"/>
    <w:multiLevelType w:val="hybridMultilevel"/>
    <w:lvl w:ilvl="0">
      <w:lvlJc w:val="left"/>
      <w:lvlText w:val="%1."/>
      <w:numFmt w:val="decimal"/>
      <w:start w:val="4"/>
    </w:lvl>
  </w:abstractNum>
  <w:abstractNum w:abstractNumId="105">
    <w:nsid w:val="557FB7EE"/>
    <w:multiLevelType w:val="hybridMultilevel"/>
    <w:lvl w:ilvl="0">
      <w:lvlJc w:val="left"/>
      <w:lvlText w:val="(%1)"/>
      <w:numFmt w:val="decimal"/>
      <w:start w:val="1"/>
    </w:lvl>
  </w:abstractNum>
  <w:abstractNum w:abstractNumId="106">
    <w:nsid w:val="436F2BEB"/>
    <w:multiLevelType w:val="hybridMultilevel"/>
    <w:lvl w:ilvl="0">
      <w:lvlJc w:val="left"/>
      <w:lvlText w:val="(%1)"/>
      <w:numFmt w:val="decimal"/>
      <w:start w:val="1"/>
    </w:lvl>
  </w:abstractNum>
  <w:abstractNum w:abstractNumId="107">
    <w:nsid w:val="6C8B4466"/>
    <w:multiLevelType w:val="hybridMultilevel"/>
    <w:lvl w:ilvl="0">
      <w:lvlJc w:val="left"/>
      <w:lvlText w:val="(%1)"/>
      <w:numFmt w:val="lowerLetter"/>
      <w:start w:val="1"/>
    </w:lvl>
  </w:abstractNum>
  <w:abstractNum w:abstractNumId="108">
    <w:nsid w:val="2006E424"/>
    <w:multiLevelType w:val="hybridMultilevel"/>
    <w:lvl w:ilvl="0">
      <w:lvlJc w:val="left"/>
      <w:lvlText w:val="(%1)"/>
      <w:numFmt w:val="lowerLetter"/>
      <w:start w:val="2"/>
    </w:lvl>
  </w:abstractNum>
  <w:abstractNum w:abstractNumId="109">
    <w:nsid w:val="20CC134C"/>
    <w:multiLevelType w:val="hybridMultilevel"/>
    <w:lvl w:ilvl="0">
      <w:lvlJc w:val="left"/>
      <w:lvlText w:val="(%1)"/>
      <w:numFmt w:val="lowerLetter"/>
      <w:start w:val="3"/>
    </w:lvl>
  </w:abstractNum>
  <w:abstractNum w:abstractNumId="110">
    <w:nsid w:val="95FC93B"/>
    <w:multiLevelType w:val="hybridMultilevel"/>
    <w:lvl w:ilvl="0">
      <w:lvlJc w:val="left"/>
      <w:lvlText w:val="(%1)"/>
      <w:numFmt w:val="lowerLetter"/>
      <w:start w:val="4"/>
    </w:lvl>
  </w:abstractNum>
  <w:abstractNum w:abstractNumId="111">
    <w:nsid w:val="41D74679"/>
    <w:multiLevelType w:val="hybridMultilevel"/>
    <w:lvl w:ilvl="0">
      <w:lvlJc w:val="left"/>
      <w:lvlText w:val="(%1)"/>
      <w:numFmt w:val="lowerLetter"/>
      <w:start w:val="7"/>
    </w:lvl>
  </w:abstractNum>
  <w:abstractNum w:abstractNumId="112">
    <w:nsid w:val="71E5621E"/>
    <w:multiLevelType w:val="hybridMultilevel"/>
    <w:lvl w:ilvl="0">
      <w:lvlJc w:val="left"/>
      <w:lvlText w:val="(%1)"/>
      <w:numFmt w:val="lowerLetter"/>
      <w:start w:val="4"/>
    </w:lvl>
  </w:abstractNum>
  <w:abstractNum w:abstractNumId="113">
    <w:nsid w:val="4E42B6A8"/>
    <w:multiLevelType w:val="hybridMultilevel"/>
    <w:lvl w:ilvl="0">
      <w:lvlJc w:val="left"/>
      <w:lvlText w:val="(%1)"/>
      <w:numFmt w:val="lowerRoman"/>
      <w:start w:val="1"/>
    </w:lvl>
  </w:abstractNum>
  <w:abstractNum w:abstractNumId="114">
    <w:nsid w:val="43F8E1AC"/>
    <w:multiLevelType w:val="hybridMultilevel"/>
    <w:lvl w:ilvl="0">
      <w:lvlJc w:val="left"/>
      <w:lvlText w:val="(%1)"/>
      <w:numFmt w:val="lowerRoman"/>
      <w:start w:val="1"/>
    </w:lvl>
  </w:abstractNum>
  <w:abstractNum w:abstractNumId="115">
    <w:nsid w:val="69215DFB"/>
    <w:multiLevelType w:val="hybridMultilevel"/>
    <w:lvl w:ilvl="0">
      <w:lvlJc w:val="left"/>
      <w:lvlText w:val="(%1)"/>
      <w:numFmt w:val="lowerRoman"/>
      <w:start w:val="5"/>
    </w:lvl>
  </w:abstractNum>
  <w:abstractNum w:abstractNumId="116">
    <w:nsid w:val="7ABF196A"/>
    <w:multiLevelType w:val="hybridMultilevel"/>
    <w:lvl w:ilvl="0">
      <w:lvlJc w:val="left"/>
      <w:lvlText w:val="(%1)"/>
      <w:numFmt w:val="lowerLetter"/>
      <w:start w:val="1"/>
    </w:lvl>
  </w:abstractNum>
  <w:abstractNum w:abstractNumId="117">
    <w:nsid w:val="5E4DB968"/>
    <w:multiLevelType w:val="hybridMultilevel"/>
    <w:lvl w:ilvl="0">
      <w:lvlJc w:val="left"/>
      <w:lvlText w:val="%1."/>
      <w:numFmt w:val="decimal"/>
      <w:start w:val="23"/>
    </w:lvl>
    <w:lvl w:ilvl="1">
      <w:lvlJc w:val="left"/>
      <w:lvlText w:val="(%2)"/>
      <w:numFmt w:val="lowerLetter"/>
      <w:start w:val="1"/>
    </w:lvl>
  </w:abstractNum>
  <w:abstractNum w:abstractNumId="118">
    <w:nsid w:val="2C06DCF3"/>
    <w:multiLevelType w:val="hybridMultilevel"/>
    <w:lvl w:ilvl="0">
      <w:lvlJc w:val="left"/>
      <w:lvlText w:val="(%1)"/>
      <w:numFmt w:val="lowerLetter"/>
      <w:start w:val="2"/>
    </w:lvl>
  </w:abstractNum>
  <w:abstractNum w:abstractNumId="119">
    <w:nsid w:val="2E129658"/>
    <w:multiLevelType w:val="hybridMultilevel"/>
    <w:lvl w:ilvl="0">
      <w:lvlJc w:val="left"/>
      <w:lvlText w:val="●"/>
      <w:numFmt w:val="bullet"/>
      <w:start w:val="1"/>
    </w:lvl>
  </w:abstractNum>
  <w:abstractNum w:abstractNumId="120">
    <w:nsid w:val="59F0446"/>
    <w:multiLevelType w:val="hybridMultilevel"/>
    <w:lvl w:ilvl="0">
      <w:lvlJc w:val="left"/>
      <w:lvlText w:val="(%1)"/>
      <w:numFmt w:val="lowerLetter"/>
      <w:start w:val="4"/>
    </w:lvl>
  </w:abstractNum>
  <w:abstractNum w:abstractNumId="121">
    <w:nsid w:val="30DF306"/>
    <w:multiLevelType w:val="hybridMultilevel"/>
    <w:lvl w:ilvl="0">
      <w:lvlJc w:val="left"/>
      <w:lvlText w:val="●"/>
      <w:numFmt w:val="bullet"/>
      <w:start w:val="1"/>
    </w:lvl>
  </w:abstractNum>
  <w:abstractNum w:abstractNumId="122">
    <w:nsid w:val="A65647"/>
    <w:multiLevelType w:val="hybridMultilevel"/>
    <w:lvl w:ilvl="0">
      <w:lvlJc w:val="left"/>
      <w:lvlText w:val="*"/>
      <w:numFmt w:val="bullet"/>
      <w:start w:val="1"/>
    </w:lvl>
  </w:abstractNum>
  <w:abstractNum w:abstractNumId="123">
    <w:nsid w:val="3E5E582B"/>
    <w:multiLevelType w:val="hybridMultilevel"/>
    <w:lvl w:ilvl="0">
      <w:lvlJc w:val="left"/>
      <w:lvlText w:val="(%1)"/>
      <w:numFmt w:val="decimal"/>
      <w:start w:val="1"/>
    </w:lvl>
  </w:abstractNum>
  <w:abstractNum w:abstractNumId="124">
    <w:nsid w:val="257D4626"/>
    <w:multiLevelType w:val="hybridMultilevel"/>
    <w:lvl w:ilvl="0">
      <w:lvlJc w:val="left"/>
      <w:lvlText w:val="%1."/>
      <w:numFmt w:val="decimal"/>
      <w:start w:val="26"/>
    </w:lvl>
    <w:lvl w:ilvl="1">
      <w:lvlJc w:val="left"/>
      <w:lvlText w:val="●"/>
      <w:numFmt w:val="bullet"/>
      <w:start w:val="1"/>
    </w:lvl>
  </w:abstractNum>
  <w:abstractNum w:abstractNumId="125">
    <w:nsid w:val="5AA8580E"/>
    <w:multiLevelType w:val="hybridMultilevel"/>
    <w:lvl w:ilvl="0">
      <w:lvlJc w:val="left"/>
      <w:lvlText w:val="(%1)"/>
      <w:numFmt w:val="decimal"/>
      <w:start w:val="1"/>
    </w:lvl>
  </w:abstractNum>
  <w:abstractNum w:abstractNumId="126">
    <w:nsid w:val="68FA8D0D"/>
    <w:multiLevelType w:val="hybridMultilevel"/>
    <w:lvl w:ilvl="0">
      <w:lvlJc w:val="left"/>
      <w:lvlText w:val="1"/>
      <w:numFmt w:val="bullet"/>
      <w:start w:val="1"/>
    </w:lvl>
  </w:abstractNum>
  <w:abstractNum w:abstractNumId="127">
    <w:nsid w:val="40F2CBD2"/>
    <w:multiLevelType w:val="hybridMultilevel"/>
    <w:lvl w:ilvl="0">
      <w:lvlJc w:val="left"/>
      <w:lvlText w:val="(%1)"/>
      <w:numFmt w:val="lowerLetter"/>
      <w:start w:val="1"/>
    </w:lvl>
  </w:abstractNum>
  <w:abstractNum w:abstractNumId="128">
    <w:nsid w:val="3BD615EB"/>
    <w:multiLevelType w:val="hybridMultilevel"/>
    <w:lvl w:ilvl="0">
      <w:lvlJc w:val="left"/>
      <w:lvlText w:val="(%1)"/>
      <w:numFmt w:val="lowerLetter"/>
      <w:start w:val="1"/>
    </w:lvl>
  </w:abstractNum>
  <w:abstractNum w:abstractNumId="129">
    <w:nsid w:val="A045AB2"/>
    <w:multiLevelType w:val="hybridMultilevel"/>
    <w:lvl w:ilvl="0">
      <w:lvlJc w:val="left"/>
      <w:lvlText w:val="(%1)"/>
      <w:numFmt w:val="lowerLetter"/>
      <w:start w:val="1"/>
    </w:lvl>
  </w:abstractNum>
  <w:abstractNum w:abstractNumId="130">
    <w:nsid w:val="1872261F"/>
    <w:multiLevelType w:val="hybridMultilevel"/>
    <w:lvl w:ilvl="0">
      <w:lvlJc w:val="left"/>
      <w:lvlText w:val="(%1)"/>
      <w:numFmt w:val="lowerLetter"/>
      <w:start w:val="1"/>
    </w:lvl>
  </w:abstractNum>
  <w:abstractNum w:abstractNumId="131">
    <w:nsid w:val="3DE8306C"/>
    <w:multiLevelType w:val="hybridMultilevel"/>
    <w:lvl w:ilvl="0">
      <w:lvlJc w:val="left"/>
      <w:lvlText w:val="(%1)"/>
      <w:numFmt w:val="lowerLetter"/>
      <w:start w:val="2"/>
    </w:lvl>
    <w:lvl w:ilvl="1">
      <w:lvlJc w:val="left"/>
      <w:lvlText w:val="-"/>
      <w:numFmt w:val="bullet"/>
      <w:start w:val="1"/>
    </w:lvl>
  </w:abstractNum>
  <w:abstractNum w:abstractNumId="132">
    <w:nsid w:val="7631573A"/>
    <w:multiLevelType w:val="hybridMultilevel"/>
    <w:lvl w:ilvl="0">
      <w:lvlJc w:val="left"/>
      <w:lvlText w:val="(%1)"/>
      <w:numFmt w:val="lowerLetter"/>
      <w:start w:val="1"/>
    </w:lvl>
  </w:abstractNum>
  <w:abstractNum w:abstractNumId="133">
    <w:nsid w:val="58DF53B"/>
    <w:multiLevelType w:val="hybridMultilevel"/>
    <w:lvl w:ilvl="0">
      <w:lvlJc w:val="left"/>
      <w:lvlText w:val="(%1)"/>
      <w:numFmt w:val="lowerLetter"/>
      <w:start w:val="1"/>
    </w:lvl>
  </w:abstractNum>
  <w:abstractNum w:abstractNumId="134">
    <w:nsid w:val="ACDFAC0"/>
    <w:multiLevelType w:val="hybridMultilevel"/>
    <w:lvl w:ilvl="0">
      <w:lvlJc w:val="left"/>
      <w:lvlText w:val="(%1)"/>
      <w:numFmt w:val="lowerLetter"/>
      <w:start w:val="4"/>
    </w:lvl>
  </w:abstractNum>
  <w:abstractNum w:abstractNumId="135">
    <w:nsid w:val="1F578454"/>
    <w:multiLevelType w:val="hybridMultilevel"/>
    <w:lvl w:ilvl="0">
      <w:lvlJc w:val="left"/>
      <w:lvlText w:val="(%1)"/>
      <w:numFmt w:val="lowerLetter"/>
      <w:start w:val="1"/>
    </w:lvl>
  </w:abstractNum>
  <w:abstractNum w:abstractNumId="136">
    <w:nsid w:val="5B0DAD2A"/>
    <w:multiLevelType w:val="hybridMultilevel"/>
    <w:lvl w:ilvl="0">
      <w:lvlJc w:val="left"/>
      <w:lvlText w:val="(%1)"/>
      <w:numFmt w:val="lowerLetter"/>
      <w:start w:val="1"/>
    </w:lvl>
  </w:abstractNum>
  <w:abstractNum w:abstractNumId="137">
    <w:nsid w:val="4E3D26AB"/>
    <w:multiLevelType w:val="hybridMultilevel"/>
    <w:lvl w:ilvl="0">
      <w:lvlJc w:val="left"/>
      <w:lvlText w:val="(%1)"/>
      <w:numFmt w:val="lowerLetter"/>
      <w:start w:val="1"/>
    </w:lvl>
  </w:abstractNum>
  <w:abstractNum w:abstractNumId="138">
    <w:nsid w:val="BE2C8BA"/>
    <w:multiLevelType w:val="hybridMultilevel"/>
    <w:lvl w:ilvl="0">
      <w:lvlJc w:val="left"/>
      <w:lvlText w:val="(%1)"/>
      <w:numFmt w:val="lowerRoman"/>
      <w:start w:val="1"/>
    </w:lvl>
  </w:abstractNum>
  <w:abstractNum w:abstractNumId="139">
    <w:nsid w:val="7B14914E"/>
    <w:multiLevelType w:val="hybridMultilevel"/>
    <w:lvl w:ilvl="0">
      <w:lvlJc w:val="left"/>
      <w:lvlText w:val="(%1)"/>
      <w:numFmt w:val="lowerRoman"/>
      <w:start w:val="2"/>
    </w:lvl>
  </w:abstractNum>
  <w:abstractNum w:abstractNumId="140">
    <w:nsid w:val="6F0939F8"/>
    <w:multiLevelType w:val="hybridMultilevel"/>
    <w:lvl w:ilvl="0">
      <w:lvlJc w:val="left"/>
      <w:lvlText w:val="(%1)"/>
      <w:numFmt w:val="lowerLetter"/>
      <w:start w:val="1"/>
    </w:lvl>
  </w:abstractNum>
  <w:abstractNum w:abstractNumId="141">
    <w:nsid w:val="154291F6"/>
    <w:multiLevelType w:val="hybridMultilevel"/>
    <w:lvl w:ilvl="0">
      <w:lvlJc w:val="left"/>
      <w:lvlText w:val="(%1)"/>
      <w:numFmt w:val="lowerLetter"/>
      <w:start w:val="1"/>
    </w:lvl>
  </w:abstractNum>
  <w:abstractNum w:abstractNumId="142">
    <w:nsid w:val="3CEBD7C7"/>
    <w:multiLevelType w:val="hybridMultilevel"/>
    <w:lvl w:ilvl="0">
      <w:lvlJc w:val="left"/>
      <w:lvlText w:val="(%1)"/>
      <w:numFmt w:val="lowerRoman"/>
      <w:start w:val="1"/>
    </w:lvl>
    <w:lvl w:ilvl="1">
      <w:lvlJc w:val="left"/>
      <w:lvlText w:val="(%2)"/>
      <w:numFmt w:val="upperLetter"/>
      <w:start w:val="1"/>
    </w:lvl>
  </w:abstractNum>
  <w:abstractNum w:abstractNumId="143">
    <w:nsid w:val="60EE9C16"/>
    <w:multiLevelType w:val="hybridMultilevel"/>
    <w:lvl w:ilvl="0">
      <w:lvlJc w:val="left"/>
      <w:lvlText w:val="(%1)"/>
      <w:numFmt w:val="lowerRoman"/>
      <w:start w:val="2"/>
    </w:lvl>
  </w:abstractNum>
  <w:abstractNum w:abstractNumId="144">
    <w:nsid w:val="6385489E"/>
    <w:multiLevelType w:val="hybridMultilevel"/>
    <w:lvl w:ilvl="0">
      <w:lvlJc w:val="left"/>
      <w:lvlText w:val="(%1)"/>
      <w:numFmt w:val="lowerLetter"/>
      <w:start w:val="1"/>
    </w:lvl>
  </w:abstractNum>
  <w:abstractNum w:abstractNumId="145">
    <w:nsid w:val="E4B973"/>
    <w:multiLevelType w:val="hybridMultilevel"/>
    <w:lvl w:ilvl="0">
      <w:lvlJc w:val="left"/>
      <w:lvlText w:val="(%1)"/>
      <w:numFmt w:val="lowerLetter"/>
      <w:start w:val="1"/>
    </w:lvl>
    <w:lvl w:ilvl="1">
      <w:lvlJc w:val="left"/>
      <w:lvlText w:val="(%2)"/>
      <w:numFmt w:val="lowerRoman"/>
      <w:start w:val="1"/>
    </w:lvl>
  </w:abstractNum>
  <w:abstractNum w:abstractNumId="146">
    <w:nsid w:val="4A0FFA11"/>
    <w:multiLevelType w:val="hybridMultilevel"/>
    <w:lvl w:ilvl="0">
      <w:lvlJc w:val="left"/>
      <w:lvlText w:val="(%1)"/>
      <w:numFmt w:val="lowerLetter"/>
      <w:start w:val="1"/>
    </w:lvl>
  </w:abstractNum>
  <w:abstractNum w:abstractNumId="147">
    <w:nsid w:val="5E446208"/>
    <w:multiLevelType w:val="hybridMultilevel"/>
    <w:lvl w:ilvl="0">
      <w:lvlJc w:val="left"/>
      <w:lvlText w:val="(%1)"/>
      <w:numFmt w:val="lowerLetter"/>
      <w:start w:val="1"/>
    </w:lvl>
  </w:abstractNum>
  <w:abstractNum w:abstractNumId="148">
    <w:nsid w:val="5F3272DB"/>
    <w:multiLevelType w:val="hybridMultilevel"/>
    <w:lvl w:ilvl="0">
      <w:lvlJc w:val="left"/>
      <w:lvlText w:val="(%1)"/>
      <w:numFmt w:val="lowerLetter"/>
      <w:start w:val="1"/>
    </w:lvl>
  </w:abstractNum>
  <w:abstractNum w:abstractNumId="149">
    <w:nsid w:val="7616D704"/>
    <w:multiLevelType w:val="hybridMultilevel"/>
    <w:lvl w:ilvl="0">
      <w:lvlJc w:val="left"/>
      <w:lvlText w:val="(%1)"/>
      <w:numFmt w:val="lowerLetter"/>
      <w:start w:val="2"/>
    </w:lvl>
  </w:abstractNum>
  <w:abstractNum w:abstractNumId="150">
    <w:nsid w:val="C56F860"/>
    <w:multiLevelType w:val="hybridMultilevel"/>
    <w:lvl w:ilvl="0">
      <w:lvlJc w:val="left"/>
      <w:lvlText w:val="(%1)"/>
      <w:numFmt w:val="lowerLetter"/>
      <w:start w:val="1"/>
    </w:lvl>
  </w:abstractNum>
  <w:abstractNum w:abstractNumId="151">
    <w:nsid w:val="64D17722"/>
    <w:multiLevelType w:val="hybridMultilevel"/>
    <w:lvl w:ilvl="0">
      <w:lvlJc w:val="left"/>
      <w:lvlText w:val="(%1)"/>
      <w:numFmt w:val="lowerLetter"/>
      <w:start w:val="1"/>
    </w:lvl>
  </w:abstractNum>
  <w:abstractNum w:abstractNumId="152">
    <w:nsid w:val="7924CA0A"/>
    <w:multiLevelType w:val="hybridMultilevel"/>
    <w:lvl w:ilvl="0">
      <w:lvlJc w:val="left"/>
      <w:lvlText w:val="(%1)"/>
      <w:numFmt w:val="lowerLetter"/>
      <w:start w:val="2"/>
    </w:lvl>
  </w:abstractNum>
  <w:abstractNum w:abstractNumId="153">
    <w:nsid w:val="CFD4EA7"/>
    <w:multiLevelType w:val="hybridMultilevel"/>
    <w:lvl w:ilvl="0">
      <w:lvlJc w:val="left"/>
      <w:lvlText w:val="(%1)"/>
      <w:numFmt w:val="lowerLetter"/>
      <w:start w:val="1"/>
    </w:lvl>
  </w:abstractNum>
  <w:abstractNum w:abstractNumId="154">
    <w:nsid w:val="232FCF4D"/>
    <w:multiLevelType w:val="hybridMultilevel"/>
    <w:lvl w:ilvl="0">
      <w:lvlJc w:val="left"/>
      <w:lvlText w:val="(%1)"/>
      <w:numFmt w:val="lowerLetter"/>
      <w:start w:val="1"/>
    </w:lvl>
  </w:abstractNum>
  <w:abstractNum w:abstractNumId="155">
    <w:nsid w:val="1EA21031"/>
    <w:multiLevelType w:val="hybridMultilevel"/>
    <w:lvl w:ilvl="0">
      <w:lvlJc w:val="left"/>
      <w:lvlText w:val="(%1)"/>
      <w:numFmt w:val="lowerLetter"/>
      <w:start w:val="7"/>
    </w:lvl>
  </w:abstractNum>
  <w:abstractNum w:abstractNumId="156">
    <w:nsid w:val="67A5A6B5"/>
    <w:multiLevelType w:val="hybridMultilevel"/>
    <w:lvl w:ilvl="0">
      <w:lvlJc w:val="left"/>
      <w:lvlText w:val="(%1)"/>
      <w:numFmt w:val="lowerLetter"/>
      <w:start w:val="1"/>
    </w:lvl>
  </w:abstractNum>
  <w:abstractNum w:abstractNumId="157">
    <w:nsid w:val="C2A5C5B"/>
    <w:multiLevelType w:val="hybridMultilevel"/>
    <w:lvl w:ilvl="0">
      <w:lvlJc w:val="left"/>
      <w:lvlText w:val="(%1)"/>
      <w:numFmt w:val="lowerLetter"/>
      <w:start w:val="1"/>
    </w:lvl>
  </w:abstractNum>
  <w:abstractNum w:abstractNumId="158">
    <w:nsid w:val="5F94DC03"/>
    <w:multiLevelType w:val="hybridMultilevel"/>
    <w:lvl w:ilvl="0">
      <w:lvlJc w:val="left"/>
      <w:lvlText w:val="(%1)"/>
      <w:numFmt w:val="lowerRoman"/>
      <w:start w:val="1"/>
    </w:lvl>
    <w:lvl w:ilvl="1">
      <w:lvlJc w:val="left"/>
      <w:lvlText w:val="(%2)"/>
      <w:numFmt w:val="upperLetter"/>
      <w:start w:val="1"/>
    </w:lvl>
  </w:abstractNum>
  <w:abstractNum w:abstractNumId="159">
    <w:nsid w:val="237BBCA0"/>
    <w:multiLevelType w:val="hybridMultilevel"/>
    <w:lvl w:ilvl="0">
      <w:lvlJc w:val="left"/>
      <w:lvlText w:val="(%1)"/>
      <w:numFmt w:val="lowerRoman"/>
      <w:start w:val="2"/>
    </w:lvl>
  </w:abstractNum>
  <w:abstractNum w:abstractNumId="160">
    <w:nsid w:val="162EB70D"/>
    <w:multiLevelType w:val="hybridMultilevel"/>
    <w:lvl w:ilvl="0">
      <w:lvlJc w:val="left"/>
      <w:lvlText w:val="(%1)"/>
      <w:numFmt w:val="lowerLetter"/>
      <w:start w:val="1"/>
    </w:lvl>
  </w:abstractNum>
  <w:abstractNum w:abstractNumId="161">
    <w:nsid w:val="78070222"/>
    <w:multiLevelType w:val="hybridMultilevel"/>
    <w:lvl w:ilvl="0">
      <w:lvlJc w:val="left"/>
      <w:lvlText w:val="(%1)"/>
      <w:numFmt w:val="lowerLetter"/>
      <w:start w:val="1"/>
    </w:lvl>
    <w:lvl w:ilvl="1">
      <w:lvlJc w:val="left"/>
      <w:lvlText w:val="(%2)"/>
      <w:numFmt w:val="lowerRoman"/>
      <w:start w:val="1"/>
    </w:lvl>
  </w:abstractNum>
  <w:abstractNum w:abstractNumId="162">
    <w:nsid w:val="6163ED0D"/>
    <w:multiLevelType w:val="hybridMultilevel"/>
    <w:lvl w:ilvl="0">
      <w:lvlJc w:val="left"/>
      <w:lvlText w:val="(%1)"/>
      <w:numFmt w:val="lowerLetter"/>
      <w:start w:val="8"/>
    </w:lvl>
  </w:abstractNum>
  <w:abstractNum w:abstractNumId="163">
    <w:nsid w:val="C600E47"/>
    <w:multiLevelType w:val="hybridMultilevel"/>
    <w:lvl w:ilvl="0">
      <w:lvlJc w:val="left"/>
      <w:lvlText w:val="(%1)"/>
      <w:numFmt w:val="lowerLetter"/>
      <w:start w:val="1"/>
    </w:lvl>
  </w:abstractNum>
  <w:abstractNum w:abstractNumId="164">
    <w:nsid w:val="7D94F75D"/>
    <w:multiLevelType w:val="hybridMultilevel"/>
    <w:lvl w:ilvl="0">
      <w:lvlJc w:val="left"/>
      <w:lvlText w:val="(%1)"/>
      <w:numFmt w:val="lowerLetter"/>
      <w:start w:val="1"/>
    </w:lvl>
  </w:abstractNum>
  <w:abstractNum w:abstractNumId="165">
    <w:nsid w:val="6C31E7CD"/>
    <w:multiLevelType w:val="hybridMultilevel"/>
    <w:lvl w:ilvl="0">
      <w:lvlJc w:val="left"/>
      <w:lvlText w:val="(%1)"/>
      <w:numFmt w:val="lowerLetter"/>
      <w:start w:val="2"/>
    </w:lvl>
  </w:abstractNum>
  <w:abstractNum w:abstractNumId="166">
    <w:nsid w:val="2BB7929B"/>
    <w:multiLevelType w:val="hybridMultilevel"/>
    <w:lvl w:ilvl="0">
      <w:lvlJc w:val="left"/>
      <w:lvlText w:val="(%1)"/>
      <w:numFmt w:val="lowerLetter"/>
      <w:start w:val="1"/>
    </w:lvl>
  </w:abstractNum>
  <w:abstractNum w:abstractNumId="167">
    <w:nsid w:val="58A2A487"/>
    <w:multiLevelType w:val="hybridMultilevel"/>
    <w:lvl w:ilvl="0">
      <w:lvlJc w:val="left"/>
      <w:lvlText w:val="(%1)"/>
      <w:numFmt w:val="lowerLetter"/>
      <w:start w:val="1"/>
    </w:lvl>
  </w:abstractNum>
  <w:abstractNum w:abstractNumId="168">
    <w:nsid w:val="3A6F0E78"/>
    <w:multiLevelType w:val="hybridMultilevel"/>
    <w:lvl w:ilvl="0">
      <w:lvlJc w:val="left"/>
      <w:lvlText w:val="(%1)"/>
      <w:numFmt w:val="lowerLetter"/>
      <w:start w:val="2"/>
    </w:lvl>
  </w:abstractNum>
  <w:abstractNum w:abstractNumId="169">
    <w:nsid w:val="379A5B56"/>
    <w:multiLevelType w:val="hybridMultilevel"/>
    <w:lvl w:ilvl="0">
      <w:lvlJc w:val="left"/>
      <w:lvlText w:val="(%1)"/>
      <w:numFmt w:val="lowerLetter"/>
      <w:start w:val="1"/>
    </w:lvl>
  </w:abstractNum>
  <w:abstractNum w:abstractNumId="170">
    <w:nsid w:val="53B735D5"/>
    <w:multiLevelType w:val="hybridMultilevel"/>
    <w:lvl w:ilvl="0">
      <w:lvlJc w:val="left"/>
      <w:lvlText w:val="(%1)"/>
      <w:numFmt w:val="lowerLetter"/>
      <w:start w:val="1"/>
    </w:lvl>
  </w:abstractNum>
  <w:abstractNum w:abstractNumId="171">
    <w:nsid w:val="29784870"/>
    <w:multiLevelType w:val="hybridMultilevel"/>
    <w:lvl w:ilvl="0">
      <w:lvlJc w:val="left"/>
      <w:lvlText w:val="(%1)"/>
      <w:numFmt w:val="lowerLetter"/>
      <w:start w:val="1"/>
    </w:lvl>
  </w:abstractNum>
  <w:abstractNum w:abstractNumId="172">
    <w:nsid w:val="4CDCED4C"/>
    <w:multiLevelType w:val="hybridMultilevel"/>
    <w:lvl w:ilvl="0">
      <w:lvlJc w:val="left"/>
      <w:lvlText w:val="(%1)"/>
      <w:numFmt w:val="lowerLetter"/>
      <w:start w:val="2"/>
    </w:lvl>
  </w:abstractNum>
  <w:abstractNum w:abstractNumId="173">
    <w:nsid w:val="10A30D9C"/>
    <w:multiLevelType w:val="hybridMultilevel"/>
    <w:lvl w:ilvl="0">
      <w:lvlJc w:val="left"/>
      <w:lvlText w:val="(%1)"/>
      <w:numFmt w:val="lowerLetter"/>
      <w:start w:val="1"/>
    </w:lvl>
  </w:abstractNum>
  <w:abstractNum w:abstractNumId="174">
    <w:nsid w:val="A66E486"/>
    <w:multiLevelType w:val="hybridMultilevel"/>
    <w:lvl w:ilvl="0">
      <w:lvlJc w:val="left"/>
      <w:lvlText w:val="(%1)"/>
      <w:numFmt w:val="lowerLetter"/>
      <w:start w:val="1"/>
    </w:lvl>
  </w:abstractNum>
  <w:abstractNum w:abstractNumId="175">
    <w:nsid w:val="306235EA"/>
    <w:multiLevelType w:val="hybridMultilevel"/>
    <w:lvl w:ilvl="0">
      <w:lvlJc w:val="left"/>
      <w:lvlText w:val="(%1)"/>
      <w:numFmt w:val="lowerLetter"/>
      <w:start w:val="1"/>
    </w:lvl>
  </w:abstractNum>
  <w:abstractNum w:abstractNumId="176">
    <w:nsid w:val="1187C70F"/>
    <w:multiLevelType w:val="hybridMultilevel"/>
    <w:lvl w:ilvl="0">
      <w:lvlJc w:val="left"/>
      <w:lvlText w:val="(%1)"/>
      <w:numFmt w:val="lowerLetter"/>
      <w:start w:val="1"/>
    </w:lvl>
  </w:abstractNum>
  <w:abstractNum w:abstractNumId="177">
    <w:nsid w:val="5476DE98"/>
    <w:multiLevelType w:val="hybridMultilevel"/>
    <w:lvl w:ilvl="0">
      <w:lvlJc w:val="left"/>
      <w:lvlText w:val="(%1)"/>
      <w:numFmt w:val="lowerLetter"/>
      <w:start w:val="1"/>
    </w:lvl>
  </w:abstractNum>
  <w:abstractNum w:abstractNumId="178">
    <w:nsid w:val="EA697F2"/>
    <w:multiLevelType w:val="hybridMultilevel"/>
    <w:lvl w:ilvl="0">
      <w:lvlJc w:val="left"/>
      <w:lvlText w:val="(%1)"/>
      <w:numFmt w:val="lowerLetter"/>
      <w:start w:val="3"/>
    </w:lvl>
  </w:abstractNum>
  <w:abstractNum w:abstractNumId="179">
    <w:nsid w:val="70BA39EB"/>
    <w:multiLevelType w:val="hybridMultilevel"/>
    <w:lvl w:ilvl="0">
      <w:lvlJc w:val="left"/>
      <w:lvlText w:val="(%1)"/>
      <w:numFmt w:val="lowerLetter"/>
      <w:start w:val="1"/>
    </w:lvl>
  </w:abstractNum>
  <w:abstractNum w:abstractNumId="180">
    <w:nsid w:val="4A8DB59C"/>
    <w:multiLevelType w:val="hybridMultilevel"/>
    <w:lvl w:ilvl="0">
      <w:lvlJc w:val="left"/>
      <w:lvlText w:val="(%1)"/>
      <w:numFmt w:val="lowerLetter"/>
      <w:start w:val="1"/>
    </w:lvl>
  </w:abstractNum>
  <w:abstractNum w:abstractNumId="181">
    <w:nsid w:val="1AFD9053"/>
    <w:multiLevelType w:val="hybridMultilevel"/>
    <w:lvl w:ilvl="0">
      <w:lvlJc w:val="left"/>
      <w:lvlText w:val="(%1)"/>
      <w:numFmt w:val="lowerLetter"/>
      <w:start w:val="1"/>
    </w:lvl>
  </w:abstractNum>
  <w:abstractNum w:abstractNumId="182">
    <w:nsid w:val="558BB10D"/>
    <w:multiLevelType w:val="hybridMultilevel"/>
    <w:lvl w:ilvl="0">
      <w:lvlJc w:val="left"/>
      <w:lvlText w:val="(%1)"/>
      <w:numFmt w:val="lowerLetter"/>
      <w:start w:val="1"/>
    </w:lvl>
  </w:abstractNum>
  <w:abstractNum w:abstractNumId="183">
    <w:nsid w:val="43B27FA7"/>
    <w:multiLevelType w:val="hybridMultilevel"/>
    <w:lvl w:ilvl="0">
      <w:lvlJc w:val="left"/>
      <w:lvlText w:val="(%1)"/>
      <w:numFmt w:val="lowerLetter"/>
      <w:start w:val="2"/>
    </w:lvl>
  </w:abstractNum>
  <w:abstractNum w:abstractNumId="184">
    <w:nsid w:val="27FADEFA"/>
    <w:multiLevelType w:val="hybridMultilevel"/>
    <w:lvl w:ilvl="0">
      <w:lvlJc w:val="left"/>
      <w:lvlText w:val="(%1)"/>
      <w:numFmt w:val="lowerLetter"/>
      <w:start w:val="1"/>
    </w:lvl>
  </w:abstractNum>
  <w:abstractNum w:abstractNumId="185">
    <w:nsid w:val="78BB805A"/>
    <w:multiLevelType w:val="hybridMultilevel"/>
    <w:lvl w:ilvl="0">
      <w:lvlJc w:val="left"/>
      <w:lvlText w:val="(%1)"/>
      <w:numFmt w:val="lowerLetter"/>
      <w:start w:val="1"/>
    </w:lvl>
  </w:abstractNum>
  <w:abstractNum w:abstractNumId="186">
    <w:nsid w:val="62548FD8"/>
    <w:multiLevelType w:val="hybridMultilevel"/>
    <w:lvl w:ilvl="0">
      <w:lvlJc w:val="left"/>
      <w:lvlText w:val="(%1)"/>
      <w:numFmt w:val="lowerLetter"/>
      <w:start w:val="1"/>
    </w:lvl>
  </w:abstractNum>
  <w:abstractNum w:abstractNumId="187">
    <w:nsid w:val="FA085B0"/>
    <w:multiLevelType w:val="hybridMultilevel"/>
    <w:lvl w:ilvl="0">
      <w:lvlJc w:val="left"/>
      <w:lvlText w:val="(%1)"/>
      <w:numFmt w:val="lowerLetter"/>
      <w:start w:val="1"/>
    </w:lvl>
  </w:abstractNum>
  <w:abstractNum w:abstractNumId="188">
    <w:nsid w:val="4E5DCB5"/>
    <w:multiLevelType w:val="hybridMultilevel"/>
    <w:lvl w:ilvl="0">
      <w:lvlJc w:val="left"/>
      <w:lvlText w:val="(%1)"/>
      <w:numFmt w:val="lowerLetter"/>
      <w:start w:val="1"/>
    </w:lvl>
    <w:lvl w:ilvl="1">
      <w:lvlJc w:val="left"/>
      <w:lvlText w:val="(%2)"/>
      <w:numFmt w:val="lowerRoman"/>
      <w:start w:val="1"/>
    </w:lvl>
  </w:abstractNum>
  <w:abstractNum w:abstractNumId="189">
    <w:nsid w:val="41E96BDB"/>
    <w:multiLevelType w:val="hybridMultilevel"/>
    <w:lvl w:ilvl="0">
      <w:lvlJc w:val="left"/>
      <w:lvlText w:val="%1"/>
      <w:numFmt w:val="lowerLetter"/>
      <w:start w:val="1"/>
    </w:lvl>
    <w:lvl w:ilvl="1">
      <w:lvlJc w:val="left"/>
      <w:lvlText w:val="(%2)"/>
      <w:numFmt w:val="lowerLetter"/>
      <w:start w:val="61"/>
    </w:lvl>
  </w:abstractNum>
  <w:abstractNum w:abstractNumId="190">
    <w:nsid w:val="331C4250"/>
    <w:multiLevelType w:val="hybridMultilevel"/>
    <w:lvl w:ilvl="0">
      <w:lvlJc w:val="left"/>
      <w:lvlText w:val="(%1)"/>
      <w:numFmt w:val="lowerLetter"/>
      <w:start w:val="3"/>
    </w:lvl>
    <w:lvl w:ilvl="1">
      <w:lvlJc w:val="left"/>
      <w:lvlText w:val="%2"/>
      <w:numFmt w:val="lowerLetter"/>
      <w:start w:val="1"/>
    </w:lvl>
  </w:abstractNum>
  <w:abstractNum w:abstractNumId="191">
    <w:nsid w:val="1B1493C2"/>
    <w:multiLevelType w:val="hybridMultilevel"/>
    <w:lvl w:ilvl="0">
      <w:lvlJc w:val="left"/>
      <w:lvlText w:val="(%1)"/>
      <w:numFmt w:val="lowerLetter"/>
      <w:start w:val="1"/>
    </w:lvl>
  </w:abstractNum>
  <w:abstractNum w:abstractNumId="192">
    <w:nsid w:val="39F06DFD"/>
    <w:multiLevelType w:val="hybridMultilevel"/>
    <w:lvl w:ilvl="0">
      <w:lvlJc w:val="left"/>
      <w:lvlText w:val="(%1)"/>
      <w:numFmt w:val="lowerLetter"/>
      <w:start w:val="1"/>
    </w:lvl>
  </w:abstractNum>
  <w:abstractNum w:abstractNumId="193">
    <w:nsid w:val="14802F5D"/>
    <w:multiLevelType w:val="hybridMultilevel"/>
    <w:lvl w:ilvl="0">
      <w:lvlJc w:val="left"/>
      <w:lvlText w:val="(%1)"/>
      <w:numFmt w:val="lowerLetter"/>
      <w:start w:val="1"/>
    </w:lvl>
  </w:abstractNum>
  <w:abstractNum w:abstractNumId="194">
    <w:nsid w:val="2774A209"/>
    <w:multiLevelType w:val="hybridMultilevel"/>
    <w:lvl w:ilvl="0">
      <w:lvlJc w:val="left"/>
      <w:lvlText w:val="(%1)"/>
      <w:numFmt w:val="lowerLetter"/>
      <w:start w:val="1"/>
    </w:lvl>
  </w:abstractNum>
  <w:abstractNum w:abstractNumId="195">
    <w:nsid w:val="3785655A"/>
    <w:multiLevelType w:val="hybridMultilevel"/>
    <w:lvl w:ilvl="0">
      <w:lvlJc w:val="left"/>
      <w:lvlText w:val="(%1)"/>
      <w:numFmt w:val="lowerLetter"/>
      <w:start w:val="1"/>
    </w:lvl>
    <w:lvl w:ilvl="1">
      <w:lvlJc w:val="left"/>
      <w:lvlText w:val="(%2)"/>
      <w:numFmt w:val="lowerRoman"/>
      <w:start w:val="1"/>
    </w:lvl>
  </w:abstractNum>
  <w:abstractNum w:abstractNumId="196">
    <w:nsid w:val="B2172A"/>
    <w:multiLevelType w:val="hybridMultilevel"/>
    <w:lvl w:ilvl="0">
      <w:lvlJc w:val="left"/>
      <w:lvlText w:val="(%1)"/>
      <w:numFmt w:val="lowerLetter"/>
      <w:start w:val="1"/>
    </w:lvl>
    <w:lvl w:ilvl="1">
      <w:lvlJc w:val="left"/>
      <w:lvlText w:val="(%2)"/>
      <w:numFmt w:val="lowerRoman"/>
      <w:start w:val="1"/>
    </w:lvl>
  </w:abstractNum>
  <w:abstractNum w:abstractNumId="197">
    <w:nsid w:val="532C34A5"/>
    <w:multiLevelType w:val="hybridMultilevel"/>
    <w:lvl w:ilvl="0">
      <w:lvlJc w:val="left"/>
      <w:lvlText w:val="(%1)"/>
      <w:numFmt w:val="lowerRoman"/>
      <w:start w:val="6"/>
    </w:lvl>
    <w:lvl w:ilvl="1">
      <w:lvlJc w:val="left"/>
      <w:lvlText w:val="(%2)"/>
      <w:numFmt w:val="upperLetter"/>
      <w:start w:val="1"/>
    </w:lvl>
    <w:lvl w:ilvl="2">
      <w:lvlJc w:val="left"/>
      <w:lvlText w:val="(%3)"/>
      <w:numFmt w:val="decimal"/>
      <w:start w:val="1"/>
    </w:lvl>
  </w:abstractNum>
  <w:abstractNum w:abstractNumId="198">
    <w:nsid w:val="102809E2"/>
    <w:multiLevelType w:val="hybridMultilevel"/>
    <w:lvl w:ilvl="0">
      <w:lvlJc w:val="left"/>
      <w:lvlText w:val="(%1)"/>
      <w:numFmt w:val="upperLetter"/>
      <w:start w:val="2"/>
    </w:lvl>
  </w:abstractNum>
  <w:abstractNum w:abstractNumId="199">
    <w:nsid w:val="3B2125A3"/>
    <w:multiLevelType w:val="hybridMultilevel"/>
    <w:lvl w:ilvl="0">
      <w:lvlJc w:val="left"/>
      <w:lvlText w:val="(%1)"/>
      <w:numFmt w:val="lowerRoman"/>
      <w:start w:val="14"/>
    </w:lvl>
    <w:lvl w:ilvl="1">
      <w:lvlJc w:val="left"/>
      <w:lvlText w:val="(%2)"/>
      <w:numFmt w:val="upperLetter"/>
      <w:start w:val="1"/>
    </w:lvl>
  </w:abstractNum>
  <w:abstractNum w:abstractNumId="200">
    <w:nsid w:val="AC68FFB"/>
    <w:multiLevelType w:val="hybridMultilevel"/>
    <w:lvl w:ilvl="0">
      <w:lvlJc w:val="left"/>
      <w:lvlText w:val="%1"/>
      <w:numFmt w:val="lowerLetter"/>
      <w:start w:val="1"/>
    </w:lvl>
    <w:lvl w:ilvl="1">
      <w:lvlJc w:val="left"/>
      <w:lvlText w:val="(%2)"/>
      <w:numFmt w:val="lowerRoman"/>
      <w:start w:val="23"/>
    </w:lvl>
  </w:abstractNum>
  <w:abstractNum w:abstractNumId="201">
    <w:nsid w:val="63DF3FB7"/>
    <w:multiLevelType w:val="hybridMultilevel"/>
    <w:lvl w:ilvl="0">
      <w:lvlJc w:val="left"/>
      <w:lvlText w:val="(%1)"/>
      <w:numFmt w:val="lowerLetter"/>
      <w:start w:val="2"/>
    </w:lvl>
    <w:lvl w:ilvl="1">
      <w:lvlJc w:val="left"/>
      <w:lvlText w:val="%2"/>
      <w:numFmt w:val="lowerRoman"/>
      <w:start w:val="1"/>
    </w:lvl>
  </w:abstractNum>
  <w:abstractNum w:abstractNumId="202">
    <w:nsid w:val="64996E13"/>
    <w:multiLevelType w:val="hybridMultilevel"/>
    <w:lvl w:ilvl="0">
      <w:lvlJc w:val="left"/>
      <w:lvlText w:val="(%1)"/>
      <w:numFmt w:val="lowerLetter"/>
      <w:start w:val="7"/>
    </w:lvl>
    <w:lvl w:ilvl="1">
      <w:lvlJc w:val="left"/>
      <w:lvlText w:val="(%2)"/>
      <w:numFmt w:val="lowerRoman"/>
      <w:start w:val="1"/>
    </w:lvl>
  </w:abstractNum>
  <w:abstractNum w:abstractNumId="203">
    <w:nsid w:val="57A37D47"/>
    <w:multiLevelType w:val="hybridMultilevel"/>
    <w:lvl w:ilvl="0">
      <w:lvlJc w:val="left"/>
      <w:lvlText w:val="(%1)"/>
      <w:numFmt w:val="lowerLetter"/>
      <w:start w:val="9"/>
    </w:lvl>
    <w:lvl w:ilvl="1">
      <w:lvlJc w:val="left"/>
      <w:lvlText w:val="(%2)"/>
      <w:numFmt w:val="lowerRoman"/>
      <w:start w:val="1"/>
    </w:lvl>
  </w:abstractNum>
  <w:abstractNum w:abstractNumId="204">
    <w:nsid w:val="74824D54"/>
    <w:multiLevelType w:val="hybridMultilevel"/>
    <w:lvl w:ilvl="0">
      <w:lvlJc w:val="left"/>
      <w:lvlText w:val="(%1)"/>
      <w:numFmt w:val="lowerLetter"/>
      <w:start w:val="1"/>
    </w:lvl>
  </w:abstractNum>
  <w:abstractNum w:abstractNumId="205">
    <w:nsid w:val="6F00529A"/>
    <w:multiLevelType w:val="hybridMultilevel"/>
    <w:lvl w:ilvl="0">
      <w:lvlJc w:val="left"/>
      <w:lvlText w:val="2"/>
      <w:numFmt w:val="bullet"/>
      <w:start w:val="1"/>
    </w:lvl>
  </w:abstractNum>
  <w:abstractNum w:abstractNumId="206">
    <w:nsid w:val="805B331"/>
    <w:multiLevelType w:val="hybridMultilevel"/>
    <w:lvl w:ilvl="0">
      <w:lvlJc w:val="left"/>
      <w:lvlText w:val="(%1)"/>
      <w:numFmt w:val="lowerLetter"/>
      <w:start w:val="1"/>
    </w:lvl>
  </w:abstractNum>
  <w:abstractNum w:abstractNumId="207">
    <w:nsid w:val="60A1463"/>
    <w:multiLevelType w:val="hybridMultilevel"/>
    <w:lvl w:ilvl="0">
      <w:lvlJc w:val="left"/>
      <w:lvlText w:val="3"/>
      <w:numFmt w:val="bullet"/>
      <w:start w:val="1"/>
    </w:lvl>
  </w:abstractNum>
  <w:abstractNum w:abstractNumId="208">
    <w:nsid w:val="43773132"/>
    <w:multiLevelType w:val="hybridMultilevel"/>
    <w:lvl w:ilvl="0">
      <w:lvlJc w:val="left"/>
      <w:lvlText w:val="4"/>
      <w:numFmt w:val="bullet"/>
      <w:start w:val="1"/>
    </w:lvl>
  </w:abstractNum>
  <w:abstractNum w:abstractNumId="209">
    <w:nsid w:val="16AC4B23"/>
    <w:multiLevelType w:val="hybridMultilevel"/>
    <w:lvl w:ilvl="0">
      <w:lvlJc w:val="left"/>
      <w:lvlText w:val="(%1)"/>
      <w:numFmt w:val="lowerLetter"/>
      <w:start w:val="1"/>
    </w:lvl>
  </w:abstractNum>
  <w:abstractNum w:abstractNumId="210">
    <w:nsid w:val="76C44E4E"/>
    <w:multiLevelType w:val="hybridMultilevel"/>
    <w:lvl w:ilvl="0">
      <w:lvlJc w:val="left"/>
      <w:lvlText w:val="5"/>
      <w:numFmt w:val="bullet"/>
      <w:start w:val="1"/>
    </w:lvl>
  </w:abstractNum>
  <w:abstractNum w:abstractNumId="211">
    <w:nsid w:val="E04E6CE"/>
    <w:multiLevelType w:val="hybridMultilevel"/>
    <w:lvl w:ilvl="0">
      <w:lvlJc w:val="left"/>
      <w:lvlText w:val="(%1)"/>
      <w:numFmt w:val="lowerLetter"/>
      <w:start w:val="1"/>
    </w:lvl>
    <w:lvl w:ilvl="1">
      <w:lvlJc w:val="left"/>
      <w:lvlText w:val="(%2)"/>
      <w:numFmt w:val="lowerRoman"/>
      <w:start w:val="1"/>
    </w:lvl>
  </w:abstractNum>
  <w:abstractNum w:abstractNumId="212">
    <w:nsid w:val="31A9DB76"/>
    <w:multiLevelType w:val="hybridMultilevel"/>
    <w:lvl w:ilvl="0">
      <w:lvlJc w:val="left"/>
      <w:lvlText w:val="(%1)"/>
      <w:numFmt w:val="lowerLetter"/>
      <w:start w:val="1"/>
    </w:lvl>
    <w:lvl w:ilvl="1">
      <w:lvlJc w:val="left"/>
      <w:lvlText w:val="(%2)"/>
      <w:numFmt w:val="lowerRoman"/>
      <w:start w:val="1"/>
    </w:lvl>
  </w:abstractNum>
  <w:abstractNum w:abstractNumId="213">
    <w:nsid w:val="4C4FFF5B"/>
    <w:multiLevelType w:val="hybridMultilevel"/>
    <w:lvl w:ilvl="0">
      <w:lvlJc w:val="left"/>
      <w:lvlText w:val="(%1)"/>
      <w:numFmt w:val="lowerLetter"/>
      <w:start w:val="3"/>
    </w:lvl>
  </w:abstractNum>
  <w:abstractNum w:abstractNumId="214">
    <w:nsid w:val="51B76675"/>
    <w:multiLevelType w:val="hybridMultilevel"/>
    <w:lvl w:ilvl="0">
      <w:lvlJc w:val="left"/>
      <w:lvlText w:val="(%1)"/>
      <w:numFmt w:val="lowerLetter"/>
      <w:start w:val="1"/>
    </w:lvl>
  </w:abstractNum>
  <w:abstractNum w:abstractNumId="215">
    <w:nsid w:val="59A4BA71"/>
    <w:multiLevelType w:val="hybridMultilevel"/>
    <w:lvl w:ilvl="0">
      <w:lvlJc w:val="left"/>
      <w:lvlText w:val="(%1)"/>
      <w:numFmt w:val="lowerLetter"/>
      <w:start w:val="2"/>
    </w:lvl>
  </w:abstractNum>
  <w:abstractNum w:abstractNumId="216">
    <w:nsid w:val="450B7FB6"/>
    <w:multiLevelType w:val="hybridMultilevel"/>
    <w:lvl w:ilvl="0">
      <w:lvlJc w:val="left"/>
      <w:lvlText w:val="(%1)"/>
      <w:numFmt w:val="lowerLetter"/>
      <w:start w:val="1"/>
    </w:lvl>
    <w:lvl w:ilvl="1">
      <w:lvlJc w:val="left"/>
      <w:lvlText w:val="(%2)"/>
      <w:numFmt w:val="lowerRoman"/>
      <w:start w:val="1"/>
    </w:lvl>
  </w:abstractNum>
  <w:abstractNum w:abstractNumId="217">
    <w:nsid w:val="340BF64D"/>
    <w:multiLevelType w:val="hybridMultilevel"/>
    <w:lvl w:ilvl="0">
      <w:lvlJc w:val="left"/>
      <w:lvlText w:val="(%1)"/>
      <w:numFmt w:val="lowerLetter"/>
      <w:start w:val="2"/>
    </w:lvl>
    <w:lvl w:ilvl="1">
      <w:lvlJc w:val="left"/>
      <w:lvlText w:val="(%2)"/>
      <w:numFmt w:val="lowerRoman"/>
      <w:start w:val="1"/>
    </w:lvl>
  </w:abstractNum>
  <w:abstractNum w:abstractNumId="218">
    <w:nsid w:val="69454021"/>
    <w:multiLevelType w:val="hybridMultilevel"/>
    <w:lvl w:ilvl="0">
      <w:lvlJc w:val="left"/>
      <w:lvlText w:val="%1"/>
      <w:numFmt w:val="lowerLetter"/>
      <w:start w:val="1"/>
    </w:lvl>
    <w:lvl w:ilvl="1">
      <w:lvlJc w:val="left"/>
      <w:lvlText w:val="(%2)"/>
      <w:numFmt w:val="lowerLetter"/>
      <w:start w:val="35"/>
    </w:lvl>
  </w:abstractNum>
  <w:abstractNum w:abstractNumId="219">
    <w:nsid w:val="49F15C6B"/>
    <w:multiLevelType w:val="hybridMultilevel"/>
    <w:lvl w:ilvl="0">
      <w:lvlJc w:val="left"/>
      <w:lvlText w:val="(%1)"/>
      <w:numFmt w:val="lowerLetter"/>
      <w:start w:val="4"/>
    </w:lvl>
    <w:lvl w:ilvl="1">
      <w:lvlJc w:val="left"/>
      <w:lvlText w:val="%2"/>
      <w:numFmt w:val="lowerLetter"/>
      <w:start w:val="1"/>
    </w:lvl>
  </w:abstractNum>
  <w:abstractNum w:abstractNumId="220">
    <w:nsid w:val="75F56228"/>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1">
    <w:nsid w:val="1C618271"/>
    <w:multiLevelType w:val="hybridMultilevel"/>
    <w:lvl w:ilvl="0">
      <w:lvlJc w:val="left"/>
      <w:lvlText w:val="(%1)"/>
      <w:numFmt w:val="lowerLetter"/>
      <w:start w:val="1"/>
    </w:lvl>
  </w:abstractNum>
  <w:abstractNum w:abstractNumId="222">
    <w:nsid w:val="6505F02E"/>
    <w:multiLevelType w:val="hybridMultilevel"/>
    <w:lvl w:ilvl="0">
      <w:lvlJc w:val="left"/>
      <w:lvlText w:val="(%1)"/>
      <w:numFmt w:val="lowerLetter"/>
      <w:start w:val="2"/>
    </w:lvl>
  </w:abstractNum>
  <w:abstractNum w:abstractNumId="223">
    <w:nsid w:val="2FE5D025"/>
    <w:multiLevelType w:val="hybridMultilevel"/>
    <w:lvl w:ilvl="0">
      <w:lvlJc w:val="left"/>
      <w:lvlText w:val="(%1)"/>
      <w:numFmt w:val="lowerLetter"/>
      <w:start w:val="1"/>
    </w:lvl>
  </w:abstractNum>
  <w:abstractNum w:abstractNumId="224">
    <w:nsid w:val="30E1B1CF"/>
    <w:multiLevelType w:val="hybridMultilevel"/>
    <w:lvl w:ilvl="0">
      <w:lvlJc w:val="left"/>
      <w:lvlText w:val="(%1)"/>
      <w:numFmt w:val="lowerLetter"/>
      <w:start w:val="3"/>
    </w:lvl>
    <w:lvl w:ilvl="1">
      <w:lvlJc w:val="left"/>
      <w:lvlText w:val="(%2)"/>
      <w:numFmt w:val="lowerRoman"/>
      <w:start w:val="1"/>
    </w:lvl>
  </w:abstractNum>
  <w:abstractNum w:abstractNumId="225">
    <w:nsid w:val="C7A9237"/>
    <w:multiLevelType w:val="hybridMultilevel"/>
    <w:lvl w:ilvl="0">
      <w:lvlJc w:val="left"/>
      <w:lvlText w:val="(%1)"/>
      <w:numFmt w:val="lowerLetter"/>
      <w:start w:val="8"/>
    </w:lvl>
  </w:abstractNum>
  <w:abstractNum w:abstractNumId="226">
    <w:nsid w:val="676B3580"/>
    <w:multiLevelType w:val="hybridMultilevel"/>
    <w:lvl w:ilvl="0">
      <w:lvlJc w:val="left"/>
      <w:lvlText w:val="(%1)"/>
      <w:numFmt w:val="lowerRoman"/>
      <w:start w:val="1"/>
    </w:lvl>
    <w:lvl w:ilvl="1">
      <w:lvlJc w:val="left"/>
      <w:lvlText w:val="(%2)"/>
      <w:numFmt w:val="lowerRoman"/>
      <w:start w:val="1"/>
    </w:lvl>
  </w:abstractNum>
  <w:abstractNum w:abstractNumId="227">
    <w:nsid w:val="3193C8F9"/>
    <w:multiLevelType w:val="hybridMultilevel"/>
    <w:lvl w:ilvl="0">
      <w:lvlJc w:val="left"/>
      <w:lvlText w:val="(%1)"/>
      <w:numFmt w:val="lowerLetter"/>
      <w:start w:val="10"/>
    </w:lvl>
    <w:lvl w:ilvl="1">
      <w:lvlJc w:val="left"/>
      <w:lvlText w:val="(%2)"/>
      <w:numFmt w:val="lowerRoman"/>
      <w:start w:val="1"/>
    </w:lvl>
  </w:abstractNum>
  <w:abstractNum w:abstractNumId="228">
    <w:nsid w:val="5FA6C6DC"/>
    <w:multiLevelType w:val="hybridMultilevel"/>
    <w:lvl w:ilvl="0">
      <w:lvlJc w:val="left"/>
      <w:lvlText w:val="7"/>
      <w:numFmt w:val="bullet"/>
      <w:start w:val="1"/>
    </w:lvl>
  </w:abstractNum>
  <w:abstractNum w:abstractNumId="229">
    <w:nsid w:val="77933F62"/>
    <w:multiLevelType w:val="hybridMultilevel"/>
    <w:lvl w:ilvl="0">
      <w:lvlJc w:val="left"/>
      <w:lvlText w:val="(%1)"/>
      <w:numFmt w:val="lowerLetter"/>
      <w:start w:val="1"/>
    </w:lvl>
  </w:abstractNum>
  <w:abstractNum w:abstractNumId="230">
    <w:nsid w:val="6CB4EE9C"/>
    <w:multiLevelType w:val="hybridMultilevel"/>
    <w:lvl w:ilvl="0">
      <w:lvlJc w:val="left"/>
      <w:lvlText w:val="(%1)"/>
      <w:numFmt w:val="lowerLetter"/>
      <w:start w:val="1"/>
    </w:lvl>
    <w:lvl w:ilvl="1">
      <w:lvlJc w:val="left"/>
      <w:lvlText w:val="(%2)"/>
      <w:numFmt w:val="decimal"/>
      <w:start w:val="15"/>
    </w:lvl>
  </w:abstractNum>
  <w:abstractNum w:abstractNumId="231">
    <w:nsid w:val="6A6D56D7"/>
    <w:multiLevelType w:val="hybridMultilevel"/>
    <w:lvl w:ilvl="0">
      <w:lvlJc w:val="left"/>
      <w:lvlText w:val="(%1)"/>
      <w:numFmt w:val="lowerRoman"/>
      <w:start w:val="1"/>
    </w:lvl>
    <w:lvl w:ilvl="1">
      <w:lvlJc w:val="left"/>
      <w:lvlText w:val="(%2)"/>
      <w:numFmt w:val="decimal"/>
      <w:start w:val="1"/>
    </w:lvl>
  </w:abstractNum>
  <w:abstractNum w:abstractNumId="232">
    <w:nsid w:val="5B727F19"/>
    <w:multiLevelType w:val="hybridMultilevel"/>
    <w:lvl w:ilvl="0">
      <w:lvlJc w:val="left"/>
      <w:lvlText w:val="(%1)"/>
      <w:numFmt w:val="lowerLetter"/>
      <w:start w:val="1"/>
    </w:lvl>
  </w:abstractNum>
  <w:abstractNum w:abstractNumId="233">
    <w:nsid w:val="514E5CB0"/>
    <w:multiLevelType w:val="hybridMultilevel"/>
    <w:lvl w:ilvl="0">
      <w:lvlJc w:val="left"/>
      <w:lvlText w:val="(%1)"/>
      <w:numFmt w:val="lowerLetter"/>
      <w:start w:val="1"/>
    </w:lvl>
    <w:lvl w:ilvl="1">
      <w:lvlJc w:val="left"/>
      <w:lvlText w:val="(%2)"/>
      <w:numFmt w:val="lowerRoman"/>
      <w:start w:val="1"/>
    </w:lvl>
  </w:abstractNum>
  <w:abstractNum w:abstractNumId="234">
    <w:nsid w:val="4210D41E"/>
    <w:multiLevelType w:val="hybridMultilevel"/>
    <w:lvl w:ilvl="0">
      <w:lvlJc w:val="left"/>
      <w:lvlText w:val="(%1)"/>
      <w:numFmt w:val="lowerLetter"/>
      <w:start w:val="2"/>
    </w:lvl>
  </w:abstractNum>
  <w:abstractNum w:abstractNumId="235">
    <w:nsid w:val="4FF4CC6D"/>
    <w:multiLevelType w:val="hybridMultilevel"/>
    <w:lvl w:ilvl="0">
      <w:lvlJc w:val="left"/>
      <w:lvlText w:val="(%1)"/>
      <w:numFmt w:val="lowerLetter"/>
      <w:start w:val="1"/>
    </w:lvl>
  </w:abstractNum>
  <w:abstractNum w:abstractNumId="236">
    <w:nsid w:val="404EAF4A"/>
    <w:multiLevelType w:val="hybridMultilevel"/>
    <w:lvl w:ilvl="0">
      <w:lvlJc w:val="left"/>
      <w:lvlText w:val="(%1)"/>
      <w:numFmt w:val="lowerLetter"/>
      <w:start w:val="1"/>
    </w:lvl>
    <w:lvl w:ilvl="1">
      <w:lvlJc w:val="left"/>
      <w:lvlText w:val="(%2)"/>
      <w:numFmt w:val="lowerRoman"/>
      <w:start w:val="1"/>
    </w:lvl>
  </w:abstractNum>
  <w:abstractNum w:abstractNumId="237">
    <w:nsid w:val="4A16874F"/>
    <w:multiLevelType w:val="hybridMultilevel"/>
    <w:lvl w:ilvl="0">
      <w:lvlJc w:val="left"/>
      <w:lvlText w:val="%1"/>
      <w:numFmt w:val="lowerLetter"/>
      <w:start w:val="1"/>
    </w:lvl>
    <w:lvl w:ilvl="1">
      <w:lvlJc w:val="left"/>
      <w:lvlText w:val="(%2)"/>
      <w:numFmt w:val="upperLetter"/>
      <w:start w:val="1"/>
    </w:lvl>
  </w:abstractNum>
  <w:abstractNum w:abstractNumId="238">
    <w:nsid w:val="55FEE0D1"/>
    <w:multiLevelType w:val="hybridMultilevel"/>
    <w:lvl w:ilvl="0">
      <w:lvlJc w:val="left"/>
      <w:lvlText w:val="(%1)"/>
      <w:numFmt w:val="lowerLetter"/>
      <w:start w:val="2"/>
    </w:lvl>
    <w:lvl w:ilvl="1">
      <w:lvlJc w:val="left"/>
      <w:lvlText w:val="%2"/>
      <w:numFmt w:val="upperLetter"/>
      <w:start w:val="1"/>
    </w:lvl>
  </w:abstractNum>
  <w:abstractNum w:abstractNumId="239">
    <w:nsid w:val="3C5E07C"/>
    <w:multiLevelType w:val="hybridMultilevel"/>
    <w:lvl w:ilvl="0">
      <w:lvlJc w:val="left"/>
      <w:lvlText w:val="%1"/>
      <w:numFmt w:val="lowerLetter"/>
      <w:start w:val="1"/>
    </w:lvl>
    <w:lvl w:ilvl="1">
      <w:lvlJc w:val="left"/>
      <w:lvlText w:val="(%2)"/>
      <w:numFmt w:val="lowerRoman"/>
      <w:start w:val="1"/>
    </w:lvl>
  </w:abstractNum>
  <w:abstractNum w:abstractNumId="240">
    <w:nsid w:val="60C2D273"/>
    <w:multiLevelType w:val="hybridMultilevel"/>
    <w:lvl w:ilvl="0">
      <w:lvlJc w:val="left"/>
      <w:lvlText w:val="(%1)"/>
      <w:numFmt w:val="lowerLetter"/>
      <w:start w:val="3"/>
    </w:lvl>
    <w:lvl w:ilvl="1">
      <w:lvlJc w:val="left"/>
      <w:lvlText w:val="%2"/>
      <w:numFmt w:val="lowerRoman"/>
      <w:start w:val="1"/>
    </w:lvl>
  </w:abstractNum>
  <w:abstractNum w:abstractNumId="241">
    <w:nsid w:val="4CC32F1F"/>
    <w:multiLevelType w:val="hybridMultilevel"/>
    <w:lvl w:ilvl="0">
      <w:lvlJc w:val="left"/>
      <w:lvlText w:val="(%1)"/>
      <w:numFmt w:val="lowerLetter"/>
      <w:start w:val="4"/>
    </w:lvl>
    <w:lvl w:ilvl="1">
      <w:lvlJc w:val="left"/>
      <w:lvlText w:val="(%2)"/>
      <w:numFmt w:val="lowerRoman"/>
      <w:start w:val="1"/>
    </w:lvl>
  </w:abstractNum>
  <w:abstractNum w:abstractNumId="242">
    <w:nsid w:val="11CAC74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43">
    <w:nsid w:val="126CADE9"/>
    <w:multiLevelType w:val="hybridMultilevel"/>
    <w:lvl w:ilvl="0">
      <w:lvlJc w:val="left"/>
      <w:lvlText w:val="%1"/>
      <w:numFmt w:val="upperLetter"/>
      <w:start w:val="1"/>
    </w:lvl>
    <w:lvl w:ilvl="1">
      <w:lvlJc w:val="left"/>
      <w:lvlText w:val="(%2)"/>
      <w:numFmt w:val="upperLetter"/>
      <w:start w:val="35"/>
    </w:lvl>
  </w:abstractNum>
  <w:abstractNum w:abstractNumId="244">
    <w:nsid w:val="19132E7B"/>
    <w:multiLevelType w:val="hybridMultilevel"/>
    <w:lvl w:ilvl="0">
      <w:lvlJc w:val="left"/>
      <w:lvlText w:val="(%1)"/>
      <w:numFmt w:val="upperLetter"/>
      <w:start w:val="2"/>
    </w:lvl>
    <w:lvl w:ilvl="1">
      <w:lvlJc w:val="left"/>
      <w:lvlText w:val="%2"/>
      <w:numFmt w:val="upperLetter"/>
      <w:start w:val="1"/>
    </w:lvl>
  </w:abstractNum>
  <w:abstractNum w:abstractNumId="245">
    <w:nsid w:val="63822DC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46">
    <w:nsid w:val="6C1168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47">
    <w:nsid w:val="5E1EAE3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8">
    <w:nsid w:val="178E240D"/>
    <w:multiLevelType w:val="hybridMultilevel"/>
    <w:lvl w:ilvl="0">
      <w:lvlJc w:val="left"/>
      <w:lvlText w:val="(%1)"/>
      <w:numFmt w:val="lowerLetter"/>
      <w:start w:val="1"/>
    </w:lvl>
  </w:abstractNum>
  <w:abstractNum w:abstractNumId="249">
    <w:nsid w:val="5556A87B"/>
    <w:multiLevelType w:val="hybridMultilevel"/>
    <w:lvl w:ilvl="0">
      <w:lvlJc w:val="left"/>
      <w:lvlText w:val="(%1)"/>
      <w:numFmt w:val="lowerLetter"/>
      <w:start w:val="1"/>
    </w:lvl>
  </w:abstractNum>
  <w:abstractNum w:abstractNumId="250">
    <w:nsid w:val="28100A9C"/>
    <w:multiLevelType w:val="hybridMultilevel"/>
    <w:lvl w:ilvl="0">
      <w:lvlJc w:val="left"/>
      <w:lvlText w:val="(%1)"/>
      <w:numFmt w:val="lowerRoman"/>
      <w:start w:val="1"/>
    </w:lvl>
    <w:lvl w:ilvl="1">
      <w:lvlJc w:val="left"/>
      <w:lvlText w:val="(%2)"/>
      <w:numFmt w:val="upperLetter"/>
      <w:start w:val="1"/>
    </w:lvl>
  </w:abstractNum>
  <w:abstractNum w:abstractNumId="251">
    <w:nsid w:val="D838636"/>
    <w:multiLevelType w:val="hybridMultilevel"/>
    <w:lvl w:ilvl="0">
      <w:lvlJc w:val="left"/>
      <w:lvlText w:val="%1"/>
      <w:numFmt w:val="lowerRoman"/>
      <w:start w:val="1"/>
    </w:lvl>
    <w:lvl w:ilvl="1">
      <w:lvlJc w:val="left"/>
      <w:lvlText w:val="(%2)"/>
      <w:numFmt w:val="upperLetter"/>
      <w:start w:val="2"/>
    </w:lvl>
  </w:abstractNum>
  <w:abstractNum w:abstractNumId="252">
    <w:nsid w:val="71B82AED"/>
    <w:multiLevelType w:val="hybridMultilevel"/>
    <w:lvl w:ilvl="0">
      <w:lvlJc w:val="left"/>
      <w:lvlText w:val="(%1)"/>
      <w:numFmt w:val="lowerRoman"/>
      <w:start w:val="2"/>
    </w:lvl>
    <w:lvl w:ilvl="1">
      <w:lvlJc w:val="left"/>
      <w:lvlText w:val="(%2)"/>
      <w:numFmt w:val="upperLetter"/>
      <w:start w:val="1"/>
    </w:lvl>
  </w:abstractNum>
  <w:abstractNum w:abstractNumId="253">
    <w:nsid w:val="D15FACA"/>
    <w:multiLevelType w:val="hybridMultilevel"/>
    <w:lvl w:ilvl="0">
      <w:lvlJc w:val="left"/>
      <w:lvlText w:val="8"/>
      <w:numFmt w:val="bullet"/>
      <w:start w:val="1"/>
    </w:lvl>
  </w:abstractNum>
  <w:abstractNum w:abstractNumId="254">
    <w:nsid w:val="3D69565B"/>
    <w:multiLevelType w:val="hybridMultilevel"/>
    <w:lvl w:ilvl="0">
      <w:lvlJc w:val="left"/>
      <w:lvlText w:val="(%1)"/>
      <w:numFmt w:val="lowerLetter"/>
      <w:start w:val="1"/>
    </w:lvl>
  </w:abstractNum>
  <w:abstractNum w:abstractNumId="255">
    <w:nsid w:val="2299DCBC"/>
    <w:multiLevelType w:val="hybridMultilevel"/>
    <w:lvl w:ilvl="0">
      <w:lvlJc w:val="left"/>
      <w:lvlText w:val="9"/>
      <w:numFmt w:val="bullet"/>
      <w:start w:val="1"/>
    </w:lvl>
  </w:abstractNum>
  <w:abstractNum w:abstractNumId="256">
    <w:nsid w:val="19908D02"/>
    <w:multiLevelType w:val="hybridMultilevel"/>
    <w:lvl w:ilvl="0">
      <w:lvlJc w:val="left"/>
      <w:lvlText w:val="(%1)"/>
      <w:numFmt w:val="lowerLetter"/>
      <w:start w:val="1"/>
    </w:lvl>
    <w:lvl w:ilvl="1">
      <w:lvlJc w:val="left"/>
      <w:lvlText w:val="(%2)"/>
      <w:numFmt w:val="lowerRoman"/>
      <w:start w:val="1"/>
    </w:lvl>
  </w:abstractNum>
  <w:abstractNum w:abstractNumId="257">
    <w:nsid w:val="24D48BDB"/>
    <w:multiLevelType w:val="hybridMultilevel"/>
    <w:lvl w:ilvl="0">
      <w:lvlJc w:val="left"/>
      <w:lvlText w:val="(%1)"/>
      <w:numFmt w:val="lowerLetter"/>
      <w:start w:val="1"/>
    </w:lvl>
  </w:abstractNum>
  <w:abstractNum w:abstractNumId="258">
    <w:nsid w:val="542DA5B5"/>
    <w:multiLevelType w:val="hybridMultilevel"/>
    <w:lvl w:ilvl="0">
      <w:lvlJc w:val="left"/>
      <w:lvlText w:val="(%1)"/>
      <w:numFmt w:val="lowerLetter"/>
      <w:start w:val="1"/>
    </w:lvl>
    <w:lvl w:ilvl="1">
      <w:lvlJc w:val="left"/>
      <w:lvlText w:val="(%2)"/>
      <w:numFmt w:val="lowerRoman"/>
      <w:start w:val="1"/>
    </w:lvl>
  </w:abstractNum>
  <w:abstractNum w:abstractNumId="259">
    <w:nsid w:val="793753DE"/>
    <w:multiLevelType w:val="hybridMultilevel"/>
    <w:lvl w:ilvl="0">
      <w:lvlJc w:val="left"/>
      <w:lvlText w:val="(%1)"/>
      <w:numFmt w:val="lowerLetter"/>
      <w:start w:val="1"/>
    </w:lvl>
  </w:abstractNum>
  <w:abstractNum w:abstractNumId="260">
    <w:nsid w:val="1C67CB3D"/>
    <w:multiLevelType w:val="hybridMultilevel"/>
    <w:lvl w:ilvl="0">
      <w:lvlJc w:val="left"/>
      <w:lvlText w:val="(%1)"/>
      <w:numFmt w:val="lowerLetter"/>
      <w:start w:val="2"/>
    </w:lvl>
    <w:lvl w:ilvl="1">
      <w:lvlJc w:val="left"/>
      <w:lvlText w:val="(%2)"/>
      <w:numFmt w:val="lowerRoman"/>
      <w:start w:val="1"/>
    </w:lvl>
  </w:abstractNum>
  <w:abstractNum w:abstractNumId="261">
    <w:nsid w:val="40E29452"/>
    <w:multiLevelType w:val="hybridMultilevel"/>
    <w:lvl w:ilvl="0">
      <w:lvlJc w:val="left"/>
      <w:lvlText w:val="%1"/>
      <w:numFmt w:val="lowerLetter"/>
      <w:start w:val="1"/>
    </w:lvl>
    <w:lvl w:ilvl="1">
      <w:lvlJc w:val="left"/>
      <w:lvlText w:val="(%2)"/>
      <w:numFmt w:val="lowerRoman"/>
      <w:start w:val="1"/>
    </w:lvl>
  </w:abstractNum>
  <w:abstractNum w:abstractNumId="262">
    <w:nsid w:val="63A4AAB6"/>
    <w:multiLevelType w:val="hybridMultilevel"/>
    <w:lvl w:ilvl="0">
      <w:lvlJc w:val="left"/>
      <w:lvlText w:val="(%1)"/>
      <w:numFmt w:val="lowerLetter"/>
      <w:start w:val="6"/>
    </w:lvl>
    <w:lvl w:ilvl="1">
      <w:lvlJc w:val="left"/>
      <w:lvlText w:val="%2"/>
      <w:numFmt w:val="lowerRoman"/>
      <w:start w:val="1"/>
    </w:lvl>
  </w:abstractNum>
  <w:abstractNum w:abstractNumId="263">
    <w:nsid w:val="77DA4A57"/>
    <w:multiLevelType w:val="hybridMultilevel"/>
    <w:lvl w:ilvl="0">
      <w:lvlJc w:val="left"/>
      <w:lvlText w:val="%1"/>
      <w:numFmt w:val="lowerLetter"/>
      <w:start w:val="1"/>
    </w:lvl>
    <w:lvl w:ilvl="1">
      <w:lvlJc w:val="left"/>
      <w:lvlText w:val="(%2)"/>
      <w:numFmt w:val="lowerRoman"/>
      <w:start w:val="1"/>
    </w:lvl>
  </w:abstractNum>
  <w:abstractNum w:abstractNumId="264">
    <w:nsid w:val="1230F102"/>
    <w:multiLevelType w:val="hybridMultilevel"/>
    <w:lvl w:ilvl="0">
      <w:lvlJc w:val="left"/>
      <w:lvlText w:val="(%1)"/>
      <w:numFmt w:val="lowerLetter"/>
      <w:start w:val="9"/>
    </w:lvl>
    <w:lvl w:ilvl="1">
      <w:lvlJc w:val="left"/>
      <w:lvlText w:val="%2"/>
      <w:numFmt w:val="lowerRoman"/>
      <w:start w:val="1"/>
    </w:lvl>
  </w:abstractNum>
  <w:abstractNum w:abstractNumId="265">
    <w:nsid w:val="25B57ED4"/>
    <w:multiLevelType w:val="hybridMultilevel"/>
    <w:lvl w:ilvl="0">
      <w:lvlJc w:val="left"/>
      <w:lvlText w:val="(%1)"/>
      <w:numFmt w:val="lowerLetter"/>
      <w:start w:val="1"/>
    </w:lvl>
  </w:abstractNum>
  <w:abstractNum w:abstractNumId="266">
    <w:nsid w:val="47CF16C4"/>
    <w:multiLevelType w:val="hybridMultilevel"/>
    <w:lvl w:ilvl="0">
      <w:lvlJc w:val="left"/>
      <w:lvlText w:val="(%1)"/>
      <w:numFmt w:val="lowerLetter"/>
      <w:start w:val="1"/>
    </w:lvl>
  </w:abstractNum>
  <w:abstractNum w:abstractNumId="267">
    <w:nsid w:val="527FA04C"/>
    <w:multiLevelType w:val="hybridMultilevel"/>
    <w:lvl w:ilvl="0">
      <w:lvlJc w:val="left"/>
      <w:lvlText w:val="%1"/>
      <w:numFmt w:val="decimal"/>
      <w:start w:val="12"/>
    </w:lvl>
    <w:lvl w:ilvl="1">
      <w:lvlJc w:val="left"/>
      <w:lvlText w:val="(%2)"/>
      <w:numFmt w:val="lowerLetter"/>
      <w:start w:val="1"/>
    </w:lvl>
  </w:abstractNum>
  <w:abstractNum w:abstractNumId="268">
    <w:nsid w:val="6FCC0624"/>
    <w:multiLevelType w:val="hybridMultilevel"/>
    <w:lvl w:ilvl="0">
      <w:lvlJc w:val="left"/>
      <w:lvlText w:val="(%1)"/>
      <w:numFmt w:val="lowerLetter"/>
      <w:start w:val="1"/>
    </w:lvl>
  </w:abstractNum>
  <w:abstractNum w:abstractNumId="269">
    <w:nsid w:val="1DCDF7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0">
    <w:nsid w:val="564580C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71">
    <w:nsid w:val="508ED897"/>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2">
    <w:nsid w:val="6A9126B5"/>
    <w:multiLevelType w:val="hybridMultilevel"/>
    <w:lvl w:ilvl="0">
      <w:lvlJc w:val="left"/>
      <w:lvlText w:val="(%1)"/>
      <w:numFmt w:val="lowerLetter"/>
      <w:start w:val="1"/>
    </w:lvl>
  </w:abstractNum>
  <w:abstractNum w:abstractNumId="273">
    <w:nsid w:val="68104812"/>
    <w:multiLevelType w:val="hybridMultilevel"/>
    <w:lvl w:ilvl="0">
      <w:lvlJc w:val="left"/>
      <w:lvlText w:val="(%1)"/>
      <w:numFmt w:val="lowerLetter"/>
      <w:start w:val="1"/>
    </w:lvl>
  </w:abstractNum>
  <w:abstractNum w:abstractNumId="274">
    <w:nsid w:val="62FB8680"/>
    <w:multiLevelType w:val="hybridMultilevel"/>
    <w:lvl w:ilvl="0">
      <w:lvlJc w:val="left"/>
      <w:lvlText w:val="(%1)"/>
      <w:numFmt w:val="lowerLetter"/>
      <w:start w:val="2"/>
    </w:lvl>
  </w:abstractNum>
  <w:abstractNum w:abstractNumId="275">
    <w:nsid w:val="3A45530"/>
    <w:multiLevelType w:val="hybridMultilevel"/>
    <w:lvl w:ilvl="0">
      <w:lvlJc w:val="left"/>
      <w:lvlText w:val="(%1)"/>
      <w:numFmt w:val="lowerLetter"/>
      <w:start w:val="1"/>
    </w:lvl>
    <w:lvl w:ilvl="1">
      <w:lvlJc w:val="left"/>
      <w:lvlText w:val="(%2)"/>
      <w:numFmt w:val="lowerRoman"/>
      <w:start w:val="1"/>
    </w:lvl>
  </w:abstractNum>
  <w:abstractNum w:abstractNumId="276">
    <w:nsid w:val="4B9275D2"/>
    <w:multiLevelType w:val="hybridMultilevel"/>
    <w:lvl w:ilvl="0">
      <w:lvlJc w:val="left"/>
      <w:lvlText w:val="(%1)"/>
      <w:numFmt w:val="lowerLetter"/>
      <w:start w:val="4"/>
    </w:lvl>
  </w:abstractNum>
  <w:abstractNum w:abstractNumId="277">
    <w:nsid w:val="4F0CEE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8">
    <w:nsid w:val="61C30361"/>
    <w:multiLevelType w:val="hybridMultilevel"/>
    <w:lvl w:ilvl="0">
      <w:lvlJc w:val="left"/>
      <w:lvlText w:val="(%1)"/>
      <w:numFmt w:val="lowerLetter"/>
      <w:start w:val="1"/>
    </w:lvl>
  </w:abstractNum>
  <w:abstractNum w:abstractNumId="279">
    <w:nsid w:val="632099E0"/>
    <w:multiLevelType w:val="hybridMultilevel"/>
    <w:lvl w:ilvl="0">
      <w:lvlJc w:val="left"/>
      <w:lvlText w:val="(%1)"/>
      <w:numFmt w:val="lowerLetter"/>
      <w:start w:val="2"/>
    </w:lvl>
  </w:abstractNum>
  <w:abstractNum w:abstractNumId="280">
    <w:nsid w:val="2463975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81">
    <w:nsid w:val="9D30DFD"/>
    <w:multiLevelType w:val="hybridMultilevel"/>
    <w:lvl w:ilvl="0">
      <w:lvlJc w:val="left"/>
      <w:lvlText w:val="(%1)"/>
      <w:numFmt w:val="lowerLetter"/>
      <w:start w:val="1"/>
    </w:lvl>
  </w:abstractNum>
  <w:abstractNum w:abstractNumId="282">
    <w:nsid w:val="70A42016"/>
    <w:multiLevelType w:val="hybridMultilevel"/>
    <w:lvl w:ilvl="0">
      <w:lvlJc w:val="left"/>
      <w:lvlText w:val="(%1)"/>
      <w:numFmt w:val="lowerLetter"/>
      <w:start w:val="1"/>
    </w:lvl>
    <w:lvl w:ilvl="1">
      <w:lvlJc w:val="left"/>
      <w:lvlText w:val="(%2)"/>
      <w:numFmt w:val="lowerRoman"/>
      <w:start w:val="1"/>
    </w:lvl>
  </w:abstractNum>
  <w:abstractNum w:abstractNumId="283">
    <w:nsid w:val="161BC243"/>
    <w:multiLevelType w:val="hybridMultilevel"/>
    <w:lvl w:ilvl="0">
      <w:lvlJc w:val="left"/>
      <w:lvlText w:val="(%1)"/>
      <w:numFmt w:val="lowerLetter"/>
      <w:start w:val="2"/>
    </w:lvl>
  </w:abstractNum>
  <w:abstractNum w:abstractNumId="284">
    <w:nsid w:val="16E908C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85">
    <w:nsid w:val="2E0D7671"/>
    <w:multiLevelType w:val="hybridMultilevel"/>
    <w:lvl w:ilvl="0">
      <w:lvlJc w:val="left"/>
      <w:lvlText w:val="(%1)"/>
      <w:numFmt w:val="lowerLetter"/>
      <w:start w:val="2"/>
    </w:lvl>
  </w:abstractNum>
  <w:abstractNum w:abstractNumId="286">
    <w:nsid w:val="38B59EFF"/>
    <w:multiLevelType w:val="hybridMultilevel"/>
    <w:lvl w:ilvl="0">
      <w:lvlJc w:val="left"/>
      <w:lvlText w:val="(%1)"/>
      <w:numFmt w:val="lowerLetter"/>
      <w:start w:val="1"/>
    </w:lvl>
  </w:abstractNum>
  <w:abstractNum w:abstractNumId="287">
    <w:nsid w:val="307995CA"/>
    <w:multiLevelType w:val="hybridMultilevel"/>
    <w:lvl w:ilvl="0">
      <w:lvlJc w:val="left"/>
      <w:lvlText w:val="(%1)"/>
      <w:numFmt w:val="lowerLetter"/>
      <w:start w:val="1"/>
    </w:lvl>
    <w:lvl w:ilvl="1">
      <w:lvlJc w:val="left"/>
      <w:lvlText w:val="(%2)"/>
      <w:numFmt w:val="lowerLetter"/>
      <w:start w:val="9"/>
    </w:lvl>
  </w:abstractNum>
  <w:abstractNum w:abstractNumId="288">
    <w:nsid w:val="52E2024D"/>
    <w:multiLevelType w:val="hybridMultilevel"/>
    <w:lvl w:ilvl="0">
      <w:lvlJc w:val="left"/>
      <w:lvlText w:val="%1"/>
      <w:numFmt w:val="lowerLetter"/>
      <w:start w:val="1"/>
    </w:lvl>
    <w:lvl w:ilvl="1">
      <w:lvlJc w:val="left"/>
      <w:lvlText w:val="(%2)"/>
      <w:numFmt w:val="lowerRoman"/>
      <w:start w:val="2"/>
    </w:lvl>
  </w:abstractNum>
  <w:abstractNum w:abstractNumId="289">
    <w:nsid w:val="CE344B5"/>
    <w:multiLevelType w:val="hybridMultilevel"/>
    <w:lvl w:ilvl="0">
      <w:lvlJc w:val="left"/>
      <w:lvlText w:val="(%1)"/>
      <w:numFmt w:val="lowerLetter"/>
      <w:start w:val="2"/>
    </w:lvl>
    <w:lvl w:ilvl="1">
      <w:lvlJc w:val="left"/>
      <w:lvlText w:val="%2"/>
      <w:numFmt w:val="lowerRoman"/>
      <w:start w:val="1"/>
    </w:lvl>
  </w:abstractNum>
  <w:abstractNum w:abstractNumId="290">
    <w:nsid w:val="29B0E9A8"/>
    <w:multiLevelType w:val="hybridMultilevel"/>
    <w:lvl w:ilvl="0">
      <w:lvlJc w:val="left"/>
      <w:lvlText w:val="(%1)"/>
      <w:numFmt w:val="lowerLetter"/>
      <w:start w:val="1"/>
    </w:lvl>
    <w:lvl w:ilvl="1">
      <w:lvlJc w:val="left"/>
      <w:lvlText w:val="(%2)"/>
      <w:numFmt w:val="lowerRoman"/>
      <w:start w:val="1"/>
    </w:lvl>
  </w:abstractNum>
  <w:abstractNum w:abstractNumId="291">
    <w:nsid w:val="6F49CD8A"/>
    <w:multiLevelType w:val="hybridMultilevel"/>
    <w:lvl w:ilvl="0">
      <w:lvlJc w:val="left"/>
      <w:lvlText w:val="(%1)"/>
      <w:numFmt w:val="lowerLetter"/>
      <w:start w:val="2"/>
    </w:lvl>
  </w:abstractNum>
  <w:abstractNum w:abstractNumId="292">
    <w:nsid w:val="4DC5D907"/>
    <w:multiLevelType w:val="hybridMultilevel"/>
    <w:lvl w:ilvl="0">
      <w:lvlJc w:val="left"/>
      <w:lvlText w:val="(%1)"/>
      <w:numFmt w:val="lowerLetter"/>
      <w:start w:val="1"/>
    </w:lvl>
    <w:lvl w:ilvl="1">
      <w:lvlJc w:val="left"/>
      <w:lvlText w:val="(%2)"/>
      <w:numFmt w:val="lowerRoman"/>
      <w:start w:val="1"/>
    </w:lvl>
  </w:abstractNum>
  <w:abstractNum w:abstractNumId="293">
    <w:nsid w:val="D55945E"/>
    <w:multiLevelType w:val="hybridMultilevel"/>
    <w:lvl w:ilvl="0">
      <w:lvlJc w:val="left"/>
      <w:lvlText w:val="(%1)"/>
      <w:numFmt w:val="upperLetter"/>
      <w:start w:val="1"/>
    </w:lvl>
  </w:abstractNum>
  <w:abstractNum w:abstractNumId="294">
    <w:nsid w:val="672417E1"/>
    <w:multiLevelType w:val="hybridMultilevel"/>
    <w:lvl w:ilvl="0">
      <w:lvlJc w:val="left"/>
      <w:lvlText w:val="%1"/>
      <w:numFmt w:val="decimal"/>
      <w:start w:val="15"/>
    </w:lvl>
    <w:lvl w:ilvl="1">
      <w:lvlJc w:val="left"/>
      <w:lvlText w:val="(%2)"/>
      <w:numFmt w:val="lowerLetter"/>
      <w:start w:val="1"/>
    </w:lvl>
  </w:abstractNum>
  <w:abstractNum w:abstractNumId="295">
    <w:nsid w:val="5FF6CA09"/>
    <w:multiLevelType w:val="hybridMultilevel"/>
    <w:lvl w:ilvl="0">
      <w:lvlJc w:val="left"/>
      <w:lvlText w:val="(%1)"/>
      <w:numFmt w:val="lowerLetter"/>
      <w:start w:val="1"/>
    </w:lvl>
  </w:abstractNum>
  <w:abstractNum w:abstractNumId="296">
    <w:nsid w:val="330B1333"/>
    <w:multiLevelType w:val="hybridMultilevel"/>
    <w:lvl w:ilvl="0">
      <w:lvlJc w:val="left"/>
      <w:lvlText w:val="%1"/>
      <w:numFmt w:val="decimal"/>
      <w:start w:val="16"/>
    </w:lvl>
  </w:abstractNum>
  <w:abstractNum w:abstractNumId="297">
    <w:nsid w:val="2EF32EA6"/>
    <w:multiLevelType w:val="hybridMultilevel"/>
    <w:lvl w:ilvl="0">
      <w:lvlJc w:val="left"/>
      <w:lvlText w:val="(%1)"/>
      <w:numFmt w:val="lowerLetter"/>
      <w:start w:val="1"/>
    </w:lvl>
  </w:abstractNum>
  <w:abstractNum w:abstractNumId="298">
    <w:nsid w:val="32766A55"/>
    <w:multiLevelType w:val="hybridMultilevel"/>
    <w:lvl w:ilvl="0">
      <w:lvlJc w:val="left"/>
      <w:lvlText w:val="(%1)"/>
      <w:numFmt w:val="lowerLetter"/>
      <w:start w:val="1"/>
    </w:lvl>
  </w:abstractNum>
  <w:abstractNum w:abstractNumId="299">
    <w:nsid w:val="22D71957"/>
    <w:multiLevelType w:val="hybridMultilevel"/>
    <w:lvl w:ilvl="0">
      <w:lvlJc w:val="left"/>
      <w:lvlText w:val="(%1)"/>
      <w:numFmt w:val="lowerLetter"/>
      <w:start w:val="1"/>
    </w:lvl>
  </w:abstractNum>
  <w:abstractNum w:abstractNumId="300">
    <w:nsid w:val="4CC1263B"/>
    <w:multiLevelType w:val="hybridMultilevel"/>
    <w:lvl w:ilvl="0">
      <w:lvlJc w:val="left"/>
      <w:lvlText w:val="(%1)"/>
      <w:numFmt w:val="lowerLetter"/>
      <w:start w:val="2"/>
    </w:lvl>
  </w:abstractNum>
  <w:abstractNum w:abstractNumId="301">
    <w:nsid w:val="8BBEB1D"/>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2">
    <w:nsid w:val="7365F1EE"/>
    <w:multiLevelType w:val="hybridMultilevel"/>
    <w:lvl w:ilvl="0">
      <w:lvlJc w:val="left"/>
      <w:lvlText w:val="(%1)"/>
      <w:numFmt w:val="decimal"/>
      <w:start w:val="1"/>
    </w:lvl>
  </w:abstractNum>
  <w:abstractNum w:abstractNumId="303">
    <w:nsid w:val="37524CF0"/>
    <w:multiLevelType w:val="hybridMultilevel"/>
    <w:lvl w:ilvl="0">
      <w:lvlJc w:val="left"/>
      <w:lvlText w:val="(%1)"/>
      <w:numFmt w:val="lowerLetter"/>
      <w:start w:val="1"/>
    </w:lvl>
  </w:abstractNum>
  <w:abstractNum w:abstractNumId="304">
    <w:nsid w:val="70CC332F"/>
    <w:multiLevelType w:val="hybridMultilevel"/>
    <w:lvl w:ilvl="0">
      <w:lvlJc w:val="left"/>
      <w:lvlText w:val="(%1)"/>
      <w:numFmt w:val="lowerLetter"/>
      <w:start w:val="1"/>
    </w:lvl>
  </w:abstractNum>
  <w:abstractNum w:abstractNumId="305">
    <w:nsid w:val="5661786E"/>
    <w:multiLevelType w:val="hybridMultilevel"/>
    <w:lvl w:ilvl="0">
      <w:lvlJc w:val="left"/>
      <w:lvlText w:val="(%1)"/>
      <w:numFmt w:val="lowerLetter"/>
      <w:start w:val="6"/>
    </w:lvl>
  </w:abstractNum>
  <w:abstractNum w:abstractNumId="306">
    <w:nsid w:val="3AF6A220"/>
    <w:multiLevelType w:val="hybridMultilevel"/>
    <w:lvl w:ilvl="0">
      <w:lvlJc w:val="left"/>
      <w:lvlText w:val="(%1)"/>
      <w:numFmt w:val="lowerLetter"/>
      <w:start w:val="1"/>
    </w:lvl>
  </w:abstractNum>
  <w:abstractNum w:abstractNumId="307">
    <w:nsid w:val="3C5EA902"/>
    <w:multiLevelType w:val="hybridMultilevel"/>
    <w:lvl w:ilvl="0">
      <w:lvlJc w:val="left"/>
      <w:lvlText w:val="(%1)"/>
      <w:numFmt w:val="lowerLetter"/>
      <w:start w:val="1"/>
    </w:lvl>
  </w:abstractNum>
  <w:abstractNum w:abstractNumId="308">
    <w:nsid w:val="256E6749"/>
    <w:multiLevelType w:val="hybridMultilevel"/>
    <w:lvl w:ilvl="0">
      <w:lvlJc w:val="left"/>
      <w:lvlText w:val="(%1)"/>
      <w:numFmt w:val="lowerLetter"/>
      <w:start w:val="4"/>
    </w:lvl>
  </w:abstractNum>
  <w:abstractNum w:abstractNumId="309">
    <w:nsid w:val="1CB9A581"/>
    <w:multiLevelType w:val="hybridMultilevel"/>
    <w:lvl w:ilvl="0">
      <w:lvlJc w:val="left"/>
      <w:lvlText w:val="(%1)"/>
      <w:numFmt w:val="lowerLetter"/>
      <w:start w:val="1"/>
    </w:lvl>
    <w:lvl w:ilvl="1">
      <w:lvlJc w:val="left"/>
      <w:lvlText w:val="(%2)"/>
      <w:numFmt w:val="lowerRoman"/>
      <w:start w:val="1"/>
    </w:lvl>
  </w:abstractNum>
  <w:abstractNum w:abstractNumId="310">
    <w:nsid w:val="1F7F42E2"/>
    <w:multiLevelType w:val="hybridMultilevel"/>
    <w:lvl w:ilvl="0">
      <w:lvlJc w:val="left"/>
      <w:lvlText w:val="%1"/>
      <w:numFmt w:val="decimal"/>
      <w:start w:val="18"/>
    </w:lvl>
    <w:lvl w:ilvl="1">
      <w:lvlJc w:val="left"/>
      <w:lvlText w:val="(%2)"/>
      <w:numFmt w:val="lowerLetter"/>
      <w:start w:val="1"/>
    </w:lvl>
  </w:abstractNum>
  <w:abstractNum w:abstractNumId="311">
    <w:nsid w:val="49D1FEA0"/>
    <w:multiLevelType w:val="hybridMultilevel"/>
    <w:lvl w:ilvl="0">
      <w:lvlJc w:val="left"/>
      <w:lvlText w:val="(%1)"/>
      <w:numFmt w:val="lowerLetter"/>
      <w:start w:val="1"/>
    </w:lvl>
  </w:abstractNum>
  <w:abstractNum w:abstractNumId="312">
    <w:nsid w:val="268CB37F"/>
    <w:multiLevelType w:val="hybridMultilevel"/>
    <w:lvl w:ilvl="0">
      <w:lvlJc w:val="left"/>
      <w:lvlText w:val="(%1)"/>
      <w:numFmt w:val="lowerLetter"/>
      <w:start w:val="1"/>
    </w:lvl>
  </w:abstractNum>
  <w:abstractNum w:abstractNumId="313">
    <w:nsid w:val="102362F8"/>
    <w:multiLevelType w:val="hybridMultilevel"/>
    <w:lvl w:ilvl="0">
      <w:lvlJc w:val="left"/>
      <w:lvlText w:val="(%1)"/>
      <w:numFmt w:val="lowerLetter"/>
      <w:start w:val="1"/>
    </w:lvl>
  </w:abstractNum>
  <w:abstractNum w:abstractNumId="314">
    <w:nsid w:val="5FEDC0E3"/>
    <w:multiLevelType w:val="hybridMultilevel"/>
    <w:lvl w:ilvl="0">
      <w:lvlJc w:val="left"/>
      <w:lvlText w:val="(%1)"/>
      <w:numFmt w:val="lowerLetter"/>
      <w:start w:val="3"/>
    </w:lvl>
  </w:abstractNum>
  <w:abstractNum w:abstractNumId="315">
    <w:nsid w:val="3D75BC47"/>
    <w:multiLevelType w:val="hybridMultilevel"/>
    <w:lvl w:ilvl="0">
      <w:lvlJc w:val="left"/>
      <w:lvlText w:val="(%1)"/>
      <w:numFmt w:val="lowerLetter"/>
      <w:start w:val="1"/>
    </w:lvl>
  </w:abstractNum>
  <w:abstractNum w:abstractNumId="316">
    <w:nsid w:val="3E30D969"/>
    <w:multiLevelType w:val="hybridMultilevel"/>
    <w:lvl w:ilvl="0">
      <w:lvlJc w:val="left"/>
      <w:lvlText w:val="(%1)"/>
      <w:numFmt w:val="lowerLetter"/>
      <w:start w:val="1"/>
    </w:lvl>
    <w:lvl w:ilvl="1">
      <w:lvlJc w:val="left"/>
      <w:lvlText w:val="(%2)"/>
      <w:numFmt w:val="lowerRoman"/>
      <w:start w:val="1"/>
    </w:lvl>
  </w:abstractNum>
  <w:abstractNum w:abstractNumId="317">
    <w:nsid w:val="18A35FE3"/>
    <w:multiLevelType w:val="hybridMultilevel"/>
    <w:lvl w:ilvl="0">
      <w:lvlJc w:val="left"/>
      <w:lvlText w:val="(%1)"/>
      <w:numFmt w:val="lowerLetter"/>
      <w:start w:val="2"/>
    </w:lvl>
  </w:abstractNum>
  <w:abstractNum w:abstractNumId="318">
    <w:nsid w:val="6DEF5211"/>
    <w:multiLevelType w:val="hybridMultilevel"/>
    <w:lvl w:ilvl="0">
      <w:lvlJc w:val="left"/>
      <w:lvlText w:val="(%1)"/>
      <w:numFmt w:val="lowerLetter"/>
      <w:start w:val="1"/>
    </w:lvl>
  </w:abstractNum>
  <w:abstractNum w:abstractNumId="319">
    <w:nsid w:val="1112DBB6"/>
    <w:multiLevelType w:val="hybridMultilevel"/>
    <w:lvl w:ilvl="0">
      <w:lvlJc w:val="left"/>
      <w:lvlText w:val="(%1)"/>
      <w:numFmt w:val="lowerLetter"/>
      <w:start w:val="1"/>
    </w:lvl>
  </w:abstractNum>
  <w:abstractNum w:abstractNumId="320">
    <w:nsid w:val="2586A498"/>
    <w:multiLevelType w:val="hybridMultilevel"/>
    <w:lvl w:ilvl="0">
      <w:lvlJc w:val="left"/>
      <w:lvlText w:val="(%1)"/>
      <w:numFmt w:val="lowerLetter"/>
      <w:start w:val="4"/>
    </w:lvl>
  </w:abstractNum>
  <w:abstractNum w:abstractNumId="321">
    <w:nsid w:val="17A03BB9"/>
    <w:multiLevelType w:val="hybridMultilevel"/>
    <w:lvl w:ilvl="0">
      <w:lvlJc w:val="left"/>
      <w:lvlText w:val="(%1)"/>
      <w:numFmt w:val="lowerLetter"/>
      <w:start w:val="1"/>
    </w:lvl>
  </w:abstractNum>
  <w:abstractNum w:abstractNumId="322">
    <w:nsid w:val="5CA941"/>
    <w:multiLevelType w:val="hybridMultilevel"/>
    <w:lvl w:ilvl="0">
      <w:lvlJc w:val="left"/>
      <w:lvlText w:val="(%1)"/>
      <w:numFmt w:val="lowerLetter"/>
      <w:start w:val="1"/>
    </w:lvl>
  </w:abstractNum>
  <w:abstractNum w:abstractNumId="323">
    <w:nsid w:val="734C7D9F"/>
    <w:multiLevelType w:val="hybridMultilevel"/>
    <w:lvl w:ilvl="0">
      <w:lvlJc w:val="left"/>
      <w:lvlText w:val="(%1)"/>
      <w:numFmt w:val="lowerLetter"/>
      <w:start w:val="1"/>
    </w:lvl>
  </w:abstractNum>
  <w:abstractNum w:abstractNumId="324">
    <w:nsid w:val="24F5D018"/>
    <w:multiLevelType w:val="hybridMultilevel"/>
    <w:lvl w:ilvl="0">
      <w:lvlJc w:val="left"/>
      <w:lvlText w:val="(%1)"/>
      <w:numFmt w:val="lowerLetter"/>
      <w:start w:val="1"/>
    </w:lvl>
  </w:abstractNum>
  <w:abstractNum w:abstractNumId="325">
    <w:nsid w:val="6780C122"/>
    <w:multiLevelType w:val="hybridMultilevel"/>
    <w:lvl w:ilvl="0">
      <w:lvlJc w:val="left"/>
      <w:lvlText w:val="(%1)"/>
      <w:numFmt w:val="lowerLetter"/>
      <w:start w:val="1"/>
    </w:lvl>
  </w:abstractNum>
  <w:abstractNum w:abstractNumId="326">
    <w:nsid w:val="534347A8"/>
    <w:multiLevelType w:val="hybridMultilevel"/>
    <w:lvl w:ilvl="0">
      <w:lvlJc w:val="left"/>
      <w:lvlText w:val="(%1)"/>
      <w:numFmt w:val="lowerLetter"/>
      <w:start w:val="1"/>
    </w:lvl>
  </w:abstractNum>
  <w:abstractNum w:abstractNumId="327">
    <w:nsid w:val="5800E34B"/>
    <w:multiLevelType w:val="hybridMultilevel"/>
    <w:lvl w:ilvl="0">
      <w:lvlJc w:val="left"/>
      <w:lvlText w:val="(%1)"/>
      <w:numFmt w:val="lowerLetter"/>
      <w:start w:val="1"/>
    </w:lvl>
  </w:abstractNum>
  <w:abstractNum w:abstractNumId="328">
    <w:nsid w:val="1673EFC8"/>
    <w:multiLevelType w:val="hybridMultilevel"/>
    <w:lvl w:ilvl="0">
      <w:lvlJc w:val="left"/>
      <w:lvlText w:val="(%1)"/>
      <w:numFmt w:val="lowerLetter"/>
      <w:start w:val="1"/>
    </w:lvl>
  </w:abstractNum>
  <w:abstractNum w:abstractNumId="329">
    <w:nsid w:val="5B9B1FD"/>
    <w:multiLevelType w:val="hybridMultilevel"/>
    <w:lvl w:ilvl="0">
      <w:lvlJc w:val="left"/>
      <w:lvlText w:val="(%1)"/>
      <w:numFmt w:val="lowerLetter"/>
      <w:start w:val="1"/>
    </w:lvl>
  </w:abstractNum>
  <w:abstractNum w:abstractNumId="330">
    <w:nsid w:val="7AD7FCA2"/>
    <w:multiLevelType w:val="hybridMultilevel"/>
    <w:lvl w:ilvl="0">
      <w:lvlJc w:val="left"/>
      <w:lvlText w:val="(%1)"/>
      <w:numFmt w:val="lowerLetter"/>
      <w:start w:val="1"/>
    </w:lvl>
    <w:lvl w:ilvl="1">
      <w:lvlJc w:val="left"/>
      <w:lvlText w:val="(%2)"/>
      <w:numFmt w:val="lowerRoman"/>
      <w:start w:val="1"/>
    </w:lvl>
  </w:abstractNum>
  <w:abstractNum w:abstractNumId="331">
    <w:nsid w:val="63351604"/>
    <w:multiLevelType w:val="hybridMultilevel"/>
    <w:lvl w:ilvl="0">
      <w:lvlJc w:val="left"/>
      <w:lvlText w:val="(%1)"/>
      <w:numFmt w:val="lowerLetter"/>
      <w:start w:val="2"/>
    </w:lvl>
  </w:abstractNum>
  <w:abstractNum w:abstractNumId="332">
    <w:nsid w:val="E759D1A"/>
    <w:multiLevelType w:val="hybridMultilevel"/>
    <w:lvl w:ilvl="0">
      <w:lvlJc w:val="left"/>
      <w:lvlText w:val="(%1)"/>
      <w:numFmt w:val="lowerLetter"/>
      <w:start w:val="1"/>
    </w:lvl>
    <w:lvl w:ilvl="1">
      <w:lvlJc w:val="left"/>
      <w:lvlText w:val="(%2)"/>
      <w:numFmt w:val="lowerRoman"/>
      <w:start w:val="1"/>
    </w:lvl>
  </w:abstractNum>
  <w:abstractNum w:abstractNumId="333">
    <w:nsid w:val="6E3DEE90"/>
    <w:multiLevelType w:val="hybridMultilevel"/>
    <w:lvl w:ilvl="0">
      <w:lvlJc w:val="left"/>
      <w:lvlText w:val="(%1)"/>
      <w:numFmt w:val="lowerLetter"/>
      <w:start w:val="1"/>
    </w:lvl>
  </w:abstractNum>
  <w:abstractNum w:abstractNumId="334">
    <w:nsid w:val="1A8762F4"/>
    <w:multiLevelType w:val="hybridMultilevel"/>
    <w:lvl w:ilvl="0">
      <w:lvlJc w:val="left"/>
      <w:lvlText w:val="(%1)"/>
      <w:numFmt w:val="lowerLetter"/>
      <w:start w:val="1"/>
    </w:lvl>
  </w:abstractNum>
  <w:abstractNum w:abstractNumId="335">
    <w:nsid w:val="7F41D049"/>
    <w:multiLevelType w:val="hybridMultilevel"/>
    <w:lvl w:ilvl="0">
      <w:lvlJc w:val="left"/>
      <w:lvlText w:val="(%1)"/>
      <w:numFmt w:val="lowerLetter"/>
      <w:start w:val="1"/>
    </w:lvl>
    <w:lvl w:ilvl="1">
      <w:lvlJc w:val="left"/>
      <w:lvlText w:val="(%2)"/>
      <w:numFmt w:val="lowerLetter"/>
      <w:start w:val="9"/>
    </w:lvl>
  </w:abstractNum>
  <w:abstractNum w:abstractNumId="336">
    <w:nsid w:val="449F66FE"/>
    <w:multiLevelType w:val="hybridMultilevel"/>
    <w:lvl w:ilvl="0">
      <w:lvlJc w:val="left"/>
      <w:lvlText w:val="%1"/>
      <w:numFmt w:val="lowerLetter"/>
      <w:start w:val="1"/>
    </w:lvl>
    <w:lvl w:ilvl="1">
      <w:lvlJc w:val="left"/>
      <w:lvlText w:val="(%2)"/>
      <w:numFmt w:val="lowerRoman"/>
      <w:start w:val="2"/>
    </w:lvl>
  </w:abstractNum>
  <w:abstractNum w:abstractNumId="337">
    <w:nsid w:val="557E0515"/>
    <w:multiLevelType w:val="hybridMultilevel"/>
    <w:lvl w:ilvl="0">
      <w:lvlJc w:val="left"/>
      <w:lvlText w:val="(%1)"/>
      <w:numFmt w:val="lowerLetter"/>
      <w:start w:val="3"/>
    </w:lvl>
    <w:lvl w:ilvl="1">
      <w:lvlJc w:val="left"/>
      <w:lvlText w:val="%2"/>
      <w:numFmt w:val="lowerRoman"/>
      <w:start w:val="1"/>
    </w:lvl>
  </w:abstractNum>
  <w:abstractNum w:abstractNumId="338">
    <w:nsid w:val="3BA0794B"/>
    <w:multiLevelType w:val="hybridMultilevel"/>
    <w:lvl w:ilvl="0">
      <w:lvlJc w:val="left"/>
      <w:lvlText w:val="(%1)"/>
      <w:numFmt w:val="lowerLetter"/>
      <w:start w:val="1"/>
    </w:lvl>
    <w:lvl w:ilvl="1">
      <w:lvlJc w:val="left"/>
      <w:lvlText w:val="(%2)"/>
      <w:numFmt w:val="lowerRoman"/>
      <w:start w:val="1"/>
    </w:lvl>
  </w:abstractNum>
  <w:abstractNum w:abstractNumId="339">
    <w:nsid w:val="6A0DCE48"/>
    <w:multiLevelType w:val="hybridMultilevel"/>
    <w:lvl w:ilvl="0">
      <w:lvlJc w:val="left"/>
      <w:lvlText w:val="%1"/>
      <w:numFmt w:val="decimal"/>
      <w:start w:val="19"/>
    </w:lvl>
  </w:abstractNum>
  <w:abstractNum w:abstractNumId="340">
    <w:nsid w:val="7237AA96"/>
    <w:multiLevelType w:val="hybridMultilevel"/>
    <w:lvl w:ilvl="0">
      <w:lvlJc w:val="left"/>
      <w:lvlText w:val="(%1)"/>
      <w:numFmt w:val="lowerLetter"/>
      <w:start w:val="1"/>
    </w:lvl>
    <w:lvl w:ilvl="1">
      <w:lvlJc w:val="left"/>
      <w:lvlText w:val="(%2)"/>
      <w:numFmt w:val="lowerRoman"/>
      <w:start w:val="1"/>
    </w:lvl>
  </w:abstractNum>
  <w:abstractNum w:abstractNumId="341">
    <w:nsid w:val="5B1FBC2D"/>
    <w:multiLevelType w:val="hybridMultilevel"/>
    <w:lvl w:ilvl="0">
      <w:lvlJc w:val="left"/>
      <w:lvlText w:val="(%1)"/>
      <w:numFmt w:val="lowerLetter"/>
      <w:start w:val="1"/>
    </w:lvl>
    <w:lvl w:ilvl="1">
      <w:lvlJc w:val="left"/>
      <w:lvlText w:val="(%2)"/>
      <w:numFmt w:val="lowerRoman"/>
      <w:start w:val="1"/>
    </w:lvl>
  </w:abstractNum>
  <w:abstractNum w:abstractNumId="342">
    <w:nsid w:val="33DFCCE8"/>
    <w:multiLevelType w:val="hybridMultilevel"/>
    <w:lvl w:ilvl="0">
      <w:lvlJc w:val="left"/>
      <w:lvlText w:val="(%1)"/>
      <w:numFmt w:val="lowerLetter"/>
      <w:start w:val="1"/>
    </w:lvl>
  </w:abstractNum>
  <w:abstractNum w:abstractNumId="343">
    <w:nsid w:val="18C45E15"/>
    <w:multiLevelType w:val="hybridMultilevel"/>
    <w:lvl w:ilvl="0">
      <w:lvlJc w:val="left"/>
      <w:lvlText w:val="%1"/>
      <w:numFmt w:val="lowerLetter"/>
      <w:start w:val="1"/>
    </w:lvl>
    <w:lvl w:ilvl="1">
      <w:lvlJc w:val="left"/>
      <w:lvlText w:val="(%2)"/>
      <w:numFmt w:val="lowerRoman"/>
      <w:start w:val="1"/>
    </w:lvl>
  </w:abstractNum>
  <w:abstractNum w:abstractNumId="344">
    <w:nsid w:val="6B431F25"/>
    <w:multiLevelType w:val="hybridMultilevel"/>
    <w:lvl w:ilvl="0">
      <w:lvlJc w:val="left"/>
      <w:lvlText w:val="(%1)"/>
      <w:numFmt w:val="lowerLetter"/>
      <w:start w:val="3"/>
    </w:lvl>
    <w:lvl w:ilvl="1">
      <w:lvlJc w:val="left"/>
      <w:lvlText w:val="(%2)"/>
      <w:numFmt w:val="lowerRoman"/>
      <w:start w:val="1"/>
    </w:lvl>
  </w:abstractNum>
  <w:abstractNum w:abstractNumId="345">
    <w:nsid w:val="13CD8DCB"/>
    <w:multiLevelType w:val="hybridMultilevel"/>
    <w:lvl w:ilvl="0">
      <w:lvlJc w:val="left"/>
      <w:lvlText w:val="(%1)"/>
      <w:numFmt w:val="lowerLetter"/>
      <w:start w:val="1"/>
    </w:lvl>
  </w:abstractNum>
  <w:abstractNum w:abstractNumId="346">
    <w:nsid w:val="563A1A5C"/>
    <w:multiLevelType w:val="hybridMultilevel"/>
    <w:lvl w:ilvl="0">
      <w:lvlJc w:val="left"/>
      <w:lvlText w:val="(%1)"/>
      <w:numFmt w:val="lowerLetter"/>
      <w:start w:val="1"/>
    </w:lvl>
  </w:abstractNum>
  <w:abstractNum w:abstractNumId="347">
    <w:nsid w:val="2973F88F"/>
    <w:multiLevelType w:val="hybridMultilevel"/>
    <w:lvl w:ilvl="0">
      <w:lvlJc w:val="left"/>
      <w:lvlText w:val="(%1)"/>
      <w:numFmt w:val="lowerLetter"/>
      <w:start w:val="3"/>
    </w:lvl>
  </w:abstractNum>
  <w:abstractNum w:abstractNumId="348">
    <w:nsid w:val="2C70EDAE"/>
    <w:multiLevelType w:val="hybridMultilevel"/>
    <w:lvl w:ilvl="0">
      <w:lvlJc w:val="left"/>
      <w:lvlText w:val="(%1)"/>
      <w:numFmt w:val="lowerLetter"/>
      <w:start w:val="1"/>
    </w:lvl>
    <w:lvl w:ilvl="1">
      <w:lvlJc w:val="left"/>
      <w:lvlText w:val="(%2)"/>
      <w:numFmt w:val="lowerRoman"/>
      <w:start w:val="1"/>
    </w:lvl>
  </w:abstractNum>
  <w:abstractNum w:abstractNumId="349">
    <w:nsid w:val="44296C6D"/>
    <w:multiLevelType w:val="hybridMultilevel"/>
    <w:lvl w:ilvl="0">
      <w:lvlJc w:val="left"/>
      <w:lvlText w:val="(%1)"/>
      <w:numFmt w:val="lowerLetter"/>
      <w:start w:val="2"/>
    </w:lvl>
    <w:lvl w:ilvl="1">
      <w:lvlJc w:val="left"/>
      <w:lvlText w:val="(%2)"/>
      <w:numFmt w:val="lowerRoman"/>
      <w:start w:val="1"/>
    </w:lvl>
  </w:abstractNum>
  <w:abstractNum w:abstractNumId="350">
    <w:nsid w:val="3A86D445"/>
    <w:multiLevelType w:val="hybridMultilevel"/>
    <w:lvl w:ilvl="0">
      <w:lvlJc w:val="left"/>
      <w:lvlText w:val="(%1)"/>
      <w:numFmt w:val="lowerLetter"/>
      <w:start w:val="4"/>
    </w:lvl>
  </w:abstractNum>
  <w:abstractNum w:abstractNumId="351">
    <w:nsid w:val="51F79246"/>
    <w:multiLevelType w:val="hybridMultilevel"/>
    <w:lvl w:ilvl="0">
      <w:lvlJc w:val="left"/>
      <w:lvlText w:val="(%1)"/>
      <w:numFmt w:val="lowerLetter"/>
      <w:start w:val="1"/>
    </w:lvl>
    <w:lvl w:ilvl="1">
      <w:lvlJc w:val="left"/>
      <w:lvlText w:val="(%2)"/>
      <w:numFmt w:val="lowerRoman"/>
      <w:start w:val="1"/>
    </w:lvl>
  </w:abstractNum>
  <w:abstractNum w:abstractNumId="352">
    <w:nsid w:val="5BC9A827"/>
    <w:multiLevelType w:val="hybridMultilevel"/>
    <w:lvl w:ilvl="0">
      <w:lvlJc w:val="left"/>
      <w:lvlText w:val="(%1)"/>
      <w:numFmt w:val="lowerLetter"/>
      <w:start w:val="2"/>
    </w:lvl>
  </w:abstractNum>
  <w:abstractNum w:abstractNumId="353">
    <w:nsid w:val="3AE37D86"/>
    <w:multiLevelType w:val="hybridMultilevel"/>
    <w:lvl w:ilvl="0">
      <w:lvlJc w:val="left"/>
      <w:lvlText w:val="(%1)"/>
      <w:numFmt w:val="lowerLetter"/>
      <w:start w:val="1"/>
    </w:lvl>
  </w:abstractNum>
  <w:abstractNum w:abstractNumId="354">
    <w:nsid w:val="45440FE5"/>
    <w:multiLevelType w:val="hybridMultilevel"/>
    <w:lvl w:ilvl="0">
      <w:lvlJc w:val="left"/>
      <w:lvlText w:val="(%1)"/>
      <w:numFmt w:val="lowerLetter"/>
      <w:start w:val="1"/>
    </w:lvl>
    <w:lvl w:ilvl="1">
      <w:lvlJc w:val="left"/>
      <w:lvlText w:val="(%2)"/>
      <w:numFmt w:val="lowerRoman"/>
      <w:start w:val="1"/>
    </w:lvl>
  </w:abstractNum>
  <w:abstractNum w:abstractNumId="355">
    <w:nsid w:val="BF783F"/>
    <w:multiLevelType w:val="hybridMultilevel"/>
    <w:lvl w:ilvl="0">
      <w:lvlJc w:val="left"/>
      <w:lvlText w:val="(%1)"/>
      <w:numFmt w:val="lowerRoman"/>
      <w:start w:val="4"/>
    </w:lvl>
  </w:abstractNum>
  <w:abstractNum w:abstractNumId="356">
    <w:nsid w:val="22643EA9"/>
    <w:multiLevelType w:val="hybridMultilevel"/>
    <w:lvl w:ilvl="0">
      <w:lvlJc w:val="left"/>
      <w:lvlText w:val="(%1)"/>
      <w:numFmt w:val="lowerLetter"/>
      <w:start w:val="2"/>
    </w:lvl>
    <w:lvl w:ilvl="1">
      <w:lvlJc w:val="left"/>
      <w:lvlText w:val="(%2)"/>
      <w:numFmt w:val="lowerRoman"/>
      <w:start w:val="1"/>
    </w:lvl>
  </w:abstractNum>
  <w:abstractNum w:abstractNumId="357">
    <w:nsid w:val="1887578D"/>
    <w:multiLevelType w:val="hybridMultilevel"/>
    <w:lvl w:ilvl="0">
      <w:lvlJc w:val="left"/>
      <w:lvlText w:val="%1"/>
      <w:numFmt w:val="decimal"/>
      <w:start w:val="20"/>
    </w:lvl>
  </w:abstractNum>
  <w:abstractNum w:abstractNumId="358">
    <w:nsid w:val="58C05B8A"/>
    <w:multiLevelType w:val="hybridMultilevel"/>
    <w:lvl w:ilvl="0">
      <w:lvlJc w:val="left"/>
      <w:lvlText w:val="(%1)"/>
      <w:numFmt w:val="lowerLetter"/>
      <w:start w:val="1"/>
    </w:lvl>
  </w:abstractNum>
  <w:abstractNum w:abstractNumId="359">
    <w:nsid w:val="38D82E71"/>
    <w:multiLevelType w:val="hybridMultilevel"/>
    <w:lvl w:ilvl="0">
      <w:lvlJc w:val="left"/>
      <w:lvlText w:val="(%1)"/>
      <w:numFmt w:val="lowerLetter"/>
      <w:start w:val="1"/>
    </w:lvl>
  </w:abstractNum>
  <w:abstractNum w:abstractNumId="360">
    <w:nsid w:val="1E41098A"/>
    <w:multiLevelType w:val="hybridMultilevel"/>
    <w:lvl w:ilvl="0">
      <w:lvlJc w:val="left"/>
      <w:lvlText w:val="(%1)"/>
      <w:numFmt w:val="lowerLetter"/>
      <w:start w:val="1"/>
    </w:lvl>
  </w:abstractNum>
  <w:abstractNum w:abstractNumId="361">
    <w:nsid w:val="5398582C"/>
    <w:multiLevelType w:val="hybridMultilevel"/>
    <w:lvl w:ilvl="0">
      <w:lvlJc w:val="left"/>
      <w:lvlText w:val="(%1)"/>
      <w:numFmt w:val="lowerLetter"/>
      <w:start w:val="1"/>
    </w:lvl>
  </w:abstractNum>
  <w:abstractNum w:abstractNumId="362">
    <w:nsid w:val="1C0D4475"/>
    <w:multiLevelType w:val="hybridMultilevel"/>
    <w:lvl w:ilvl="0">
      <w:lvlJc w:val="left"/>
      <w:lvlText w:val="(%1)"/>
      <w:numFmt w:val="lowerLetter"/>
      <w:start w:val="1"/>
    </w:lvl>
  </w:abstractNum>
  <w:abstractNum w:abstractNumId="363">
    <w:nsid w:val="2CB6A6A4"/>
    <w:multiLevelType w:val="hybridMultilevel"/>
    <w:lvl w:ilvl="0">
      <w:lvlJc w:val="left"/>
      <w:lvlText w:val="(%1)"/>
      <w:numFmt w:val="lowerLetter"/>
      <w:start w:val="4"/>
    </w:lvl>
  </w:abstractNum>
  <w:abstractNum w:abstractNumId="364">
    <w:nsid w:val="41D646BC"/>
    <w:multiLevelType w:val="hybridMultilevel"/>
    <w:lvl w:ilvl="0">
      <w:lvlJc w:val="left"/>
      <w:lvlText w:val="%1"/>
      <w:numFmt w:val="decimal"/>
      <w:start w:val="21"/>
    </w:lvl>
    <w:lvl w:ilvl="1">
      <w:lvlJc w:val="left"/>
      <w:lvlText w:val="(%2)"/>
      <w:numFmt w:val="lowerLetter"/>
      <w:start w:val="1"/>
    </w:lvl>
  </w:abstractNum>
  <w:abstractNum w:abstractNumId="365">
    <w:nsid w:val="3694A76A"/>
    <w:multiLevelType w:val="hybridMultilevel"/>
    <w:lvl w:ilvl="0">
      <w:lvlJc w:val="left"/>
      <w:lvlText w:val="(%1)"/>
      <w:numFmt w:val="lowerLetter"/>
      <w:start w:val="1"/>
    </w:lvl>
  </w:abstractNum>
  <w:abstractNum w:abstractNumId="366">
    <w:nsid w:val="2BF876EE"/>
    <w:multiLevelType w:val="hybridMultilevel"/>
    <w:lvl w:ilvl="0">
      <w:lvlJc w:val="left"/>
      <w:lvlText w:val="(%1)"/>
      <w:numFmt w:val="lowerRoman"/>
      <w:start w:val="1"/>
    </w:lvl>
  </w:abstractNum>
  <w:abstractNum w:abstractNumId="367">
    <w:nsid w:val="675ADBA"/>
    <w:multiLevelType w:val="hybridMultilevel"/>
    <w:lvl w:ilvl="0">
      <w:lvlJc w:val="left"/>
      <w:lvlText w:val="(%1)"/>
      <w:numFmt w:val="lowerLetter"/>
      <w:start w:val="1"/>
    </w:lvl>
    <w:lvl w:ilvl="1">
      <w:lvlJc w:val="left"/>
      <w:lvlText w:val="(%2)"/>
      <w:numFmt w:val="lowerRoman"/>
      <w:start w:val="1"/>
    </w:lvl>
  </w:abstractNum>
  <w:abstractNum w:abstractNumId="368">
    <w:nsid w:val="C12AC7F"/>
    <w:multiLevelType w:val="hybridMultilevel"/>
    <w:lvl w:ilvl="0">
      <w:lvlJc w:val="left"/>
      <w:lvlText w:val="(%1)"/>
      <w:numFmt w:val="lowerLetter"/>
      <w:start w:val="1"/>
    </w:lvl>
    <w:lvl w:ilvl="1">
      <w:lvlJc w:val="left"/>
      <w:lvlText w:val="(%2)"/>
      <w:numFmt w:val="lowerRoman"/>
      <w:start w:val="1"/>
    </w:lvl>
  </w:abstractNum>
  <w:abstractNum w:abstractNumId="369">
    <w:nsid w:val="6798F039"/>
    <w:multiLevelType w:val="hybridMultilevel"/>
    <w:lvl w:ilvl="0">
      <w:lvlJc w:val="left"/>
      <w:lvlText w:val="(%1)"/>
      <w:numFmt w:val="lowerLetter"/>
      <w:start w:val="1"/>
    </w:lvl>
  </w:abstractNum>
  <w:abstractNum w:abstractNumId="370">
    <w:nsid w:val="70837C02"/>
    <w:multiLevelType w:val="hybridMultilevel"/>
    <w:lvl w:ilvl="0">
      <w:lvlJc w:val="left"/>
      <w:lvlText w:val="(%1)"/>
      <w:numFmt w:val="lowerRoman"/>
      <w:start w:val="1"/>
    </w:lvl>
  </w:abstractNum>
  <w:abstractNum w:abstractNumId="371">
    <w:nsid w:val="7E4A5715"/>
    <w:multiLevelType w:val="hybridMultilevel"/>
    <w:lvl w:ilvl="0">
      <w:lvlJc w:val="left"/>
      <w:lvlText w:val="(%1)"/>
      <w:numFmt w:val="lowerLetter"/>
      <w:start w:val="2"/>
    </w:lvl>
  </w:abstractNum>
  <w:abstractNum w:abstractNumId="372">
    <w:nsid w:val="42B8AC67"/>
    <w:multiLevelType w:val="hybridMultilevel"/>
    <w:lvl w:ilvl="0">
      <w:lvlJc w:val="left"/>
      <w:lvlText w:val="(%1)"/>
      <w:numFmt w:val="lowerLetter"/>
      <w:start w:val="1"/>
    </w:lvl>
  </w:abstractNum>
  <w:abstractNum w:abstractNumId="373">
    <w:nsid w:val="246348EA"/>
    <w:multiLevelType w:val="hybridMultilevel"/>
    <w:lvl w:ilvl="0">
      <w:lvlJc w:val="left"/>
      <w:lvlText w:val="(%1)"/>
      <w:numFmt w:val="lowerLetter"/>
      <w:start w:val="1"/>
    </w:lvl>
  </w:abstractNum>
  <w:abstractNum w:abstractNumId="374">
    <w:nsid w:val="170EB52B"/>
    <w:multiLevelType w:val="hybridMultilevel"/>
    <w:lvl w:ilvl="0">
      <w:lvlJc w:val="left"/>
      <w:lvlText w:val="(%1)"/>
      <w:numFmt w:val="lowerLetter"/>
      <w:start w:val="1"/>
    </w:lvl>
    <w:lvl w:ilvl="1">
      <w:lvlJc w:val="left"/>
      <w:lvlText w:val="(%2)"/>
      <w:numFmt w:val="lowerRoman"/>
      <w:start w:val="1"/>
    </w:lvl>
  </w:abstractNum>
  <w:abstractNum w:abstractNumId="375">
    <w:nsid w:val="2DFBCB8C"/>
    <w:multiLevelType w:val="hybridMultilevel"/>
    <w:lvl w:ilvl="0">
      <w:lvlJc w:val="left"/>
      <w:lvlText w:val="(%1)"/>
      <w:numFmt w:val="lowerLetter"/>
      <w:start w:val="6"/>
    </w:lvl>
    <w:lvl w:ilvl="1">
      <w:lvlJc w:val="left"/>
      <w:lvlText w:val="(%2)"/>
      <w:numFmt w:val="lowerLetter"/>
      <w:start w:val="1"/>
    </w:lvl>
  </w:abstractNum>
  <w:abstractNum w:abstractNumId="376">
    <w:nsid w:val="3830D6B6"/>
    <w:multiLevelType w:val="hybridMultilevel"/>
    <w:lvl w:ilvl="0">
      <w:lvlJc w:val="left"/>
      <w:lvlText w:val="(%1)"/>
      <w:numFmt w:val="lowerLetter"/>
      <w:start w:val="1"/>
    </w:lvl>
  </w:abstractNum>
  <w:abstractNum w:abstractNumId="377">
    <w:nsid w:val="6D48CF87"/>
    <w:multiLevelType w:val="hybridMultilevel"/>
    <w:lvl w:ilvl="0">
      <w:lvlJc w:val="left"/>
      <w:lvlText w:val="(%1)"/>
      <w:numFmt w:val="lowerLetter"/>
      <w:start w:val="6"/>
    </w:lvl>
  </w:abstractNum>
  <w:abstractNum w:abstractNumId="378">
    <w:nsid w:val="576FC41B"/>
    <w:multiLevelType w:val="hybridMultilevel"/>
    <w:lvl w:ilvl="0">
      <w:lvlJc w:val="left"/>
      <w:lvlText w:val="(%1)"/>
      <w:numFmt w:val="lowerLetter"/>
      <w:start w:val="1"/>
    </w:lvl>
    <w:lvl w:ilvl="1">
      <w:lvlJc w:val="left"/>
      <w:lvlText w:val="(%2)"/>
      <w:numFmt w:val="lowerRoman"/>
      <w:start w:val="1"/>
    </w:lvl>
  </w:abstractNum>
  <w:abstractNum w:abstractNumId="379">
    <w:nsid w:val="64A1C464"/>
    <w:multiLevelType w:val="hybridMultilevel"/>
    <w:lvl w:ilvl="0">
      <w:lvlJc w:val="left"/>
      <w:lvlText w:val="(%1)"/>
      <w:numFmt w:val="lowerLetter"/>
      <w:start w:val="1"/>
    </w:lvl>
  </w:abstractNum>
  <w:abstractNum w:abstractNumId="380">
    <w:nsid w:val="31723BF5"/>
    <w:multiLevelType w:val="hybridMultilevel"/>
    <w:lvl w:ilvl="0">
      <w:lvlJc w:val="left"/>
      <w:lvlText w:val="(%1)"/>
      <w:numFmt w:val="lowerLetter"/>
      <w:start w:val="1"/>
    </w:lvl>
  </w:abstractNum>
  <w:abstractNum w:abstractNumId="381">
    <w:nsid w:val="11F69861"/>
    <w:multiLevelType w:val="hybridMultilevel"/>
    <w:lvl w:ilvl="0">
      <w:lvlJc w:val="left"/>
      <w:lvlText w:val="(%1)"/>
      <w:numFmt w:val="lowerLetter"/>
      <w:start w:val="1"/>
    </w:lvl>
    <w:lvl w:ilvl="1">
      <w:lvlJc w:val="left"/>
      <w:lvlText w:val="(%2)"/>
      <w:numFmt w:val="lowerRoman"/>
      <w:start w:val="1"/>
    </w:lvl>
  </w:abstractNum>
  <w:abstractNum w:abstractNumId="382">
    <w:nsid w:val="369956AB"/>
    <w:multiLevelType w:val="hybridMultilevel"/>
    <w:lvl w:ilvl="0">
      <w:lvlJc w:val="left"/>
      <w:lvlText w:val="(%1)"/>
      <w:numFmt w:val="lowerLetter"/>
      <w:start w:val="1"/>
    </w:lvl>
    <w:lvl w:ilvl="1">
      <w:lvlJc w:val="left"/>
      <w:lvlText w:val="(%2)"/>
      <w:numFmt w:val="lowerRoman"/>
      <w:start w:val="1"/>
    </w:lvl>
  </w:abstractNum>
  <w:abstractNum w:abstractNumId="383">
    <w:nsid w:val="D3BE41C"/>
    <w:multiLevelType w:val="hybridMultilevel"/>
    <w:lvl w:ilvl="0">
      <w:lvlJc w:val="left"/>
      <w:lvlText w:val="(%1)"/>
      <w:numFmt w:val="upperLetter"/>
      <w:start w:val="1"/>
    </w:lvl>
    <w:lvl w:ilvl="1">
      <w:lvlJc w:val="left"/>
      <w:lvlText w:val="(%2)"/>
      <w:numFmt w:val="decimal"/>
      <w:start w:val="1"/>
    </w:lvl>
  </w:abstractNum>
  <w:abstractNum w:abstractNumId="384">
    <w:nsid w:val="4CDA15E7"/>
    <w:multiLevelType w:val="hybridMultilevel"/>
    <w:lvl w:ilvl="0">
      <w:lvlJc w:val="left"/>
      <w:lvlText w:val="%1"/>
      <w:numFmt w:val="lowerRoman"/>
      <w:start w:val="1"/>
    </w:lvl>
    <w:lvl w:ilvl="1">
      <w:lvlJc w:val="left"/>
      <w:lvlText w:val="(%2)"/>
      <w:numFmt w:val="upperLetter"/>
      <w:start w:val="3"/>
    </w:lvl>
  </w:abstractNum>
  <w:abstractNum w:abstractNumId="385">
    <w:nsid w:val="7BDD6690"/>
    <w:multiLevelType w:val="hybridMultilevel"/>
    <w:lvl w:ilvl="0">
      <w:lvlJc w:val="left"/>
      <w:lvlText w:val="(%1)"/>
      <w:numFmt w:val="lowerRoman"/>
      <w:start w:val="2"/>
    </w:lvl>
    <w:lvl w:ilvl="1">
      <w:lvlJc w:val="left"/>
      <w:lvlText w:val="(%2)"/>
      <w:numFmt w:val="upperLetter"/>
      <w:start w:val="1"/>
    </w:lvl>
  </w:abstractNum>
  <w:abstractNum w:abstractNumId="386">
    <w:nsid w:val="DFB5C5B"/>
    <w:multiLevelType w:val="hybridMultilevel"/>
    <w:lvl w:ilvl="0">
      <w:lvlJc w:val="left"/>
      <w:lvlText w:val="(%1)"/>
      <w:numFmt w:val="lowerLetter"/>
      <w:start w:val="1"/>
    </w:lvl>
  </w:abstractNum>
  <w:abstractNum w:abstractNumId="387">
    <w:nsid w:val="6F3E5490"/>
    <w:multiLevelType w:val="hybridMultilevel"/>
    <w:lvl w:ilvl="0">
      <w:lvlJc w:val="left"/>
      <w:lvlText w:val="%1"/>
      <w:numFmt w:val="decimal"/>
      <w:start w:val="23"/>
    </w:lvl>
  </w:abstractNum>
  <w:abstractNum w:abstractNumId="388">
    <w:nsid w:val="1464BE1E"/>
    <w:multiLevelType w:val="hybridMultilevel"/>
    <w:lvl w:ilvl="0">
      <w:lvlJc w:val="left"/>
      <w:lvlText w:val="(%1)"/>
      <w:numFmt w:val="lowerLetter"/>
      <w:start w:val="1"/>
    </w:lvl>
  </w:abstractNum>
  <w:abstractNum w:abstractNumId="389">
    <w:nsid w:val="66BBB7E5"/>
    <w:multiLevelType w:val="hybridMultilevel"/>
    <w:lvl w:ilvl="0">
      <w:lvlJc w:val="left"/>
      <w:lvlText w:val="(%1)"/>
      <w:numFmt w:val="lowerLetter"/>
      <w:start w:val="7"/>
    </w:lvl>
  </w:abstractNum>
  <w:abstractNum w:abstractNumId="390">
    <w:nsid w:val="28168302"/>
    <w:multiLevelType w:val="hybridMultilevel"/>
    <w:lvl w:ilvl="0">
      <w:lvlJc w:val="left"/>
      <w:lvlText w:val="(%1)"/>
      <w:numFmt w:val="lowerLetter"/>
      <w:start w:val="1"/>
    </w:lvl>
  </w:abstractNum>
  <w:abstractNum w:abstractNumId="391">
    <w:nsid w:val="32A5C7A8"/>
    <w:multiLevelType w:val="hybridMultilevel"/>
    <w:lvl w:ilvl="0">
      <w:lvlJc w:val="left"/>
      <w:lvlText w:val="(%1)"/>
      <w:numFmt w:val="lowerLetter"/>
      <w:start w:val="1"/>
    </w:lvl>
    <w:lvl w:ilvl="1">
      <w:lvlJc w:val="left"/>
      <w:lvlText w:val="(%2)"/>
      <w:numFmt w:val="lowerLetter"/>
      <w:start w:val="1"/>
    </w:lvl>
  </w:abstractNum>
  <w:abstractNum w:abstractNumId="392">
    <w:nsid w:val="3A541011"/>
    <w:multiLevelType w:val="hybridMultilevel"/>
    <w:lvl w:ilvl="0">
      <w:lvlJc w:val="left"/>
      <w:lvlText w:val="(%1)"/>
      <w:numFmt w:val="lowerRoman"/>
      <w:start w:val="1"/>
    </w:lvl>
  </w:abstractNum>
  <w:abstractNum w:abstractNumId="393">
    <w:nsid w:val="4423C777"/>
    <w:multiLevelType w:val="hybridMultilevel"/>
    <w:lvl w:ilvl="0">
      <w:lvlJc w:val="left"/>
      <w:lvlText w:val="(%1)"/>
      <w:numFmt w:val="lowerLetter"/>
      <w:start w:val="1"/>
    </w:lvl>
  </w:abstractNum>
  <w:abstractNum w:abstractNumId="394">
    <w:nsid w:val="5F5C6E4D"/>
    <w:multiLevelType w:val="hybridMultilevel"/>
    <w:lvl w:ilvl="0">
      <w:lvlJc w:val="left"/>
      <w:lvlText w:val="(%1)"/>
      <w:numFmt w:val="lowerLetter"/>
      <w:start w:val="3"/>
    </w:lvl>
  </w:abstractNum>
  <w:abstractNum w:abstractNumId="395">
    <w:nsid w:val="7C2A56CD"/>
    <w:multiLevelType w:val="hybridMultilevel"/>
    <w:lvl w:ilvl="0">
      <w:lvlJc w:val="left"/>
      <w:lvlText w:val="(%1)"/>
      <w:numFmt w:val="lowerLetter"/>
      <w:start w:val="1"/>
    </w:lvl>
  </w:abstractNum>
  <w:abstractNum w:abstractNumId="396">
    <w:nsid w:val="7AB86EE1"/>
    <w:multiLevelType w:val="hybridMultilevel"/>
    <w:lvl w:ilvl="0">
      <w:lvlJc w:val="left"/>
      <w:lvlText w:val="(%1)"/>
      <w:numFmt w:val="lowerLetter"/>
      <w:start w:val="1"/>
    </w:lvl>
  </w:abstractNum>
  <w:abstractNum w:abstractNumId="397">
    <w:nsid w:val="B54E53B"/>
    <w:multiLevelType w:val="hybridMultilevel"/>
    <w:lvl w:ilvl="0">
      <w:lvlJc w:val="left"/>
      <w:lvlText w:val="(%1)"/>
      <w:numFmt w:val="lowerLetter"/>
      <w:start w:val="1"/>
    </w:lvl>
  </w:abstractNum>
  <w:abstractNum w:abstractNumId="398">
    <w:nsid w:val="2A00487"/>
    <w:multiLevelType w:val="hybridMultilevel"/>
    <w:lvl w:ilvl="0">
      <w:lvlJc w:val="left"/>
      <w:lvlText w:val="%1"/>
      <w:numFmt w:val="decimal"/>
      <w:start w:val="25"/>
    </w:lvl>
  </w:abstractNum>
  <w:abstractNum w:abstractNumId="399">
    <w:nsid w:val="6CB1B60"/>
    <w:multiLevelType w:val="hybridMultilevel"/>
    <w:lvl w:ilvl="0">
      <w:lvlJc w:val="left"/>
      <w:lvlText w:val="(%1)"/>
      <w:numFmt w:val="lowerLetter"/>
      <w:start w:val="1"/>
    </w:lvl>
  </w:abstractNum>
  <w:abstractNum w:abstractNumId="400">
    <w:nsid w:val="72EDD574"/>
    <w:multiLevelType w:val="hybridMultilevel"/>
    <w:lvl w:ilvl="0">
      <w:lvlJc w:val="left"/>
      <w:lvlText w:val="(%1)"/>
      <w:numFmt w:val="lowerLetter"/>
      <w:start w:val="1"/>
    </w:lvl>
  </w:abstractNum>
  <w:abstractNum w:abstractNumId="401">
    <w:nsid w:val="7323808A"/>
    <w:multiLevelType w:val="hybridMultilevel"/>
    <w:lvl w:ilvl="0">
      <w:lvlJc w:val="left"/>
      <w:lvlText w:val="(%1)"/>
      <w:numFmt w:val="lowerLetter"/>
      <w:start w:val="1"/>
    </w:lvl>
  </w:abstractNum>
  <w:abstractNum w:abstractNumId="402">
    <w:nsid w:val="5157276"/>
    <w:multiLevelType w:val="hybridMultilevel"/>
    <w:lvl w:ilvl="0">
      <w:lvlJc w:val="left"/>
      <w:lvlText w:val="(%1)"/>
      <w:numFmt w:val="lowerLetter"/>
      <w:start w:val="1"/>
    </w:lvl>
  </w:abstractNum>
  <w:abstractNum w:abstractNumId="403">
    <w:nsid w:val="35A681DB"/>
    <w:multiLevelType w:val="hybridMultilevel"/>
    <w:lvl w:ilvl="0">
      <w:lvlJc w:val="left"/>
      <w:lvlText w:val="(%1)"/>
      <w:numFmt w:val="lowerRoman"/>
      <w:start w:val="1"/>
    </w:lvl>
  </w:abstractNum>
  <w:abstractNum w:abstractNumId="404">
    <w:nsid w:val="1786C974"/>
    <w:multiLevelType w:val="hybridMultilevel"/>
    <w:lvl w:ilvl="0">
      <w:lvlJc w:val="left"/>
      <w:lvlText w:val="(%1)"/>
      <w:numFmt w:val="lowerLetter"/>
      <w:start w:val="2"/>
    </w:lvl>
  </w:abstractNum>
  <w:abstractNum w:abstractNumId="405">
    <w:nsid w:val="1C2427A1"/>
    <w:multiLevelType w:val="hybridMultilevel"/>
    <w:lvl w:ilvl="0">
      <w:lvlJc w:val="left"/>
      <w:lvlText w:val="(%1)"/>
      <w:numFmt w:val="lowerLetter"/>
      <w:start w:val="1"/>
    </w:lvl>
  </w:abstractNum>
  <w:abstractNum w:abstractNumId="406">
    <w:nsid w:val="63A24D68"/>
    <w:multiLevelType w:val="hybridMultilevel"/>
    <w:lvl w:ilvl="0">
      <w:lvlJc w:val="left"/>
      <w:lvlText w:val="%1"/>
      <w:numFmt w:val="decimal"/>
      <w:start w:val="26"/>
    </w:lvl>
  </w:abstractNum>
  <w:abstractNum w:abstractNumId="407">
    <w:nsid w:val="4FB7A02A"/>
    <w:multiLevelType w:val="hybridMultilevel"/>
    <w:lvl w:ilvl="0">
      <w:lvlJc w:val="left"/>
      <w:lvlText w:val="(%1)"/>
      <w:numFmt w:val="lowerLetter"/>
      <w:start w:val="1"/>
    </w:lvl>
  </w:abstractNum>
  <w:abstractNum w:abstractNumId="408">
    <w:nsid w:val="96CF728"/>
    <w:multiLevelType w:val="hybridMultilevel"/>
    <w:lvl w:ilvl="0">
      <w:lvlJc w:val="left"/>
      <w:lvlText w:val="(%1)"/>
      <w:numFmt w:val="lowerLetter"/>
      <w:start w:val="1"/>
    </w:lvl>
  </w:abstractNum>
  <w:abstractNum w:abstractNumId="409">
    <w:nsid w:val="3B121183"/>
    <w:multiLevelType w:val="hybridMultilevel"/>
    <w:lvl w:ilvl="0">
      <w:lvlJc w:val="left"/>
      <w:lvlText w:val="(%1)"/>
      <w:numFmt w:val="lowerRoman"/>
      <w:start w:val="3"/>
    </w:lvl>
  </w:abstractNum>
  <w:abstractNum w:abstractNumId="410">
    <w:nsid w:val="3459648F"/>
    <w:multiLevelType w:val="hybridMultilevel"/>
    <w:lvl w:ilvl="0">
      <w:lvlJc w:val="left"/>
      <w:lvlText w:val="(%1)"/>
      <w:numFmt w:val="lowerLetter"/>
      <w:start w:val="1"/>
    </w:lvl>
  </w:abstractNum>
  <w:abstractNum w:abstractNumId="411">
    <w:nsid w:val="3ADF331D"/>
    <w:multiLevelType w:val="hybridMultilevel"/>
    <w:lvl w:ilvl="0">
      <w:lvlJc w:val="left"/>
      <w:lvlText w:val="(%1)"/>
      <w:numFmt w:val="lowerLetter"/>
      <w:start w:val="1"/>
    </w:lvl>
  </w:abstractNum>
  <w:abstractNum w:abstractNumId="412">
    <w:nsid w:val="4D08A9E4"/>
    <w:multiLevelType w:val="hybridMultilevel"/>
    <w:lvl w:ilvl="0">
      <w:lvlJc w:val="left"/>
      <w:lvlText w:val="%1"/>
      <w:numFmt w:val="lowerLetter"/>
      <w:start w:val="1"/>
    </w:lvl>
    <w:lvl w:ilvl="1">
      <w:lvlJc w:val="left"/>
      <w:lvlText w:val="(%2)"/>
      <w:numFmt w:val="lowerRoman"/>
      <w:start w:val="1"/>
    </w:lvl>
  </w:abstractNum>
  <w:abstractNum w:abstractNumId="413">
    <w:nsid w:val="6AF2BB3A"/>
    <w:multiLevelType w:val="hybridMultilevel"/>
    <w:lvl w:ilvl="0">
      <w:lvlJc w:val="left"/>
      <w:lvlText w:val="(%1)"/>
      <w:numFmt w:val="lowerLetter"/>
      <w:start w:val="2"/>
    </w:lvl>
    <w:lvl w:ilvl="1">
      <w:lvlJc w:val="left"/>
      <w:lvlText w:val="%2"/>
      <w:numFmt w:val="lowerRoman"/>
      <w:start w:val="1"/>
    </w:lvl>
  </w:abstractNum>
  <w:abstractNum w:abstractNumId="414">
    <w:nsid w:val="481B1739"/>
    <w:multiLevelType w:val="hybridMultilevel"/>
    <w:lvl w:ilvl="0">
      <w:lvlJc w:val="left"/>
      <w:lvlText w:val="(%1)"/>
      <w:numFmt w:val="lowerLetter"/>
      <w:start w:val="1"/>
    </w:lvl>
  </w:abstractNum>
  <w:abstractNum w:abstractNumId="415">
    <w:nsid w:val="19E2BFCC"/>
    <w:multiLevelType w:val="hybridMultilevel"/>
    <w:lvl w:ilvl="0">
      <w:lvlJc w:val="left"/>
      <w:lvlText w:val="(%1)"/>
      <w:numFmt w:val="lowerLetter"/>
      <w:start w:val="5"/>
    </w:lvl>
    <w:lvl w:ilvl="1">
      <w:lvlJc w:val="left"/>
      <w:lvlText w:val="(%2)"/>
      <w:numFmt w:val="lowerRoman"/>
      <w:start w:val="1"/>
    </w:lvl>
  </w:abstractNum>
  <w:abstractNum w:abstractNumId="416">
    <w:nsid w:val="66D021CA"/>
    <w:multiLevelType w:val="hybridMultilevel"/>
    <w:lvl w:ilvl="0">
      <w:lvlJc w:val="left"/>
      <w:lvlText w:val="(%1)"/>
      <w:numFmt w:val="lowerLetter"/>
      <w:start w:val="1"/>
    </w:lvl>
    <w:lvl w:ilvl="1">
      <w:lvlJc w:val="left"/>
      <w:lvlText w:val="(%2)"/>
      <w:numFmt w:val="lowerRoman"/>
      <w:start w:val="1"/>
    </w:lvl>
  </w:abstractNum>
  <w:abstractNum w:abstractNumId="417">
    <w:nsid w:val="56167394"/>
    <w:multiLevelType w:val="hybridMultilevel"/>
    <w:lvl w:ilvl="0">
      <w:lvlJc w:val="left"/>
      <w:lvlText w:val="(%1)"/>
      <w:numFmt w:val="lowerLetter"/>
      <w:start w:val="7"/>
    </w:lvl>
    <w:lvl w:ilvl="1">
      <w:lvlJc w:val="left"/>
      <w:lvlText w:val="(%2)"/>
      <w:numFmt w:val="lowerRoman"/>
      <w:start w:val="1"/>
    </w:lvl>
  </w:abstractNum>
  <w:abstractNum w:abstractNumId="418">
    <w:nsid w:val="921145C"/>
    <w:multiLevelType w:val="hybridMultilevel"/>
    <w:lvl w:ilvl="0">
      <w:lvlJc w:val="left"/>
      <w:lvlText w:val="%1"/>
      <w:numFmt w:val="decimal"/>
      <w:start w:val="28"/>
    </w:lvl>
  </w:abstractNum>
  <w:abstractNum w:abstractNumId="419">
    <w:nsid w:val="7B34DFE8"/>
    <w:multiLevelType w:val="hybridMultilevel"/>
    <w:lvl w:ilvl="0">
      <w:lvlJc w:val="left"/>
      <w:lvlText w:val="(%1)"/>
      <w:numFmt w:val="lowerLetter"/>
      <w:start w:val="1"/>
    </w:lvl>
    <w:lvl w:ilvl="1">
      <w:lvlJc w:val="left"/>
      <w:lvlText w:val="(%2)"/>
      <w:numFmt w:val="lowerRoman"/>
      <w:start w:val="1"/>
    </w:lvl>
  </w:abstractNum>
  <w:abstractNum w:abstractNumId="420">
    <w:nsid w:val="3CD22B79"/>
    <w:multiLevelType w:val="hybridMultilevel"/>
    <w:lvl w:ilvl="0">
      <w:lvlJc w:val="left"/>
      <w:lvlText w:val="(%1)"/>
      <w:numFmt w:val="lowerLetter"/>
      <w:start w:val="1"/>
    </w:lvl>
  </w:abstractNum>
  <w:abstractNum w:abstractNumId="421">
    <w:nsid w:val="3137975E"/>
    <w:multiLevelType w:val="hybridMultilevel"/>
    <w:lvl w:ilvl="0">
      <w:lvlJc w:val="left"/>
      <w:lvlText w:val="(%1)"/>
      <w:numFmt w:val="lowerLetter"/>
      <w:start w:val="1"/>
    </w:lvl>
  </w:abstractNum>
  <w:abstractNum w:abstractNumId="422">
    <w:nsid w:val="2DDAA791"/>
    <w:multiLevelType w:val="hybridMultilevel"/>
    <w:lvl w:ilvl="0">
      <w:lvlJc w:val="left"/>
      <w:lvlText w:val="(%1)"/>
      <w:numFmt w:val="lowerLetter"/>
      <w:start w:val="1"/>
    </w:lvl>
  </w:abstractNum>
  <w:abstractNum w:abstractNumId="423">
    <w:nsid w:val="77263B8A"/>
    <w:multiLevelType w:val="hybridMultilevel"/>
    <w:lvl w:ilvl="0">
      <w:lvlJc w:val="left"/>
      <w:lvlText w:val="(%1)"/>
      <w:numFmt w:val="lowerLetter"/>
      <w:start w:val="1"/>
    </w:lvl>
  </w:abstractNum>
  <w:abstractNum w:abstractNumId="424">
    <w:nsid w:val="755B5ED6"/>
    <w:multiLevelType w:val="hybridMultilevel"/>
    <w:lvl w:ilvl="0">
      <w:lvlJc w:val="left"/>
      <w:lvlText w:val="(%1)"/>
      <w:numFmt w:val="lowerLetter"/>
      <w:start w:val="1"/>
    </w:lvl>
  </w:abstractNum>
  <w:abstractNum w:abstractNumId="425">
    <w:nsid w:val="D3715DE"/>
    <w:multiLevelType w:val="hybridMultilevel"/>
    <w:lvl w:ilvl="0">
      <w:lvlJc w:val="left"/>
      <w:lvlText w:val="(%1)"/>
      <w:numFmt w:val="lowerLetter"/>
      <w:start w:val="1"/>
    </w:lvl>
  </w:abstractNum>
  <w:abstractNum w:abstractNumId="426">
    <w:nsid w:val="73509257"/>
    <w:multiLevelType w:val="hybridMultilevel"/>
    <w:lvl w:ilvl="0">
      <w:lvlJc w:val="left"/>
      <w:lvlText w:val="(%1)"/>
      <w:numFmt w:val="lowerLetter"/>
      <w:start w:val="1"/>
    </w:lvl>
  </w:abstractNum>
  <w:abstractNum w:abstractNumId="427">
    <w:nsid w:val="7013CDB7"/>
    <w:multiLevelType w:val="hybridMultilevel"/>
    <w:lvl w:ilvl="0">
      <w:lvlJc w:val="left"/>
      <w:lvlText w:val="(%1)"/>
      <w:numFmt w:val="lowerLetter"/>
      <w:start w:val="2"/>
    </w:lvl>
  </w:abstractNum>
  <w:abstractNum w:abstractNumId="428">
    <w:nsid w:val="188BFB19"/>
    <w:multiLevelType w:val="hybridMultilevel"/>
    <w:lvl w:ilvl="0">
      <w:lvlJc w:val="left"/>
      <w:lvlText w:val="(%1)"/>
      <w:numFmt w:val="lowerRoman"/>
      <w:start w:val="1"/>
    </w:lvl>
  </w:abstractNum>
  <w:abstractNum w:abstractNumId="429">
    <w:nsid w:val="75F096DF"/>
    <w:multiLevelType w:val="hybridMultilevel"/>
    <w:lvl w:ilvl="0">
      <w:lvlJc w:val="left"/>
      <w:lvlText w:val="(%1)"/>
      <w:numFmt w:val="lowerLetter"/>
      <w:start w:val="1"/>
    </w:lvl>
    <w:lvl w:ilvl="1">
      <w:lvlJc w:val="left"/>
      <w:lvlText w:val="(%2)"/>
      <w:numFmt w:val="lowerRoman"/>
      <w:start w:val="1"/>
    </w:lvl>
  </w:abstractNum>
  <w:abstractNum w:abstractNumId="430">
    <w:nsid w:val="76DEE918"/>
    <w:multiLevelType w:val="hybridMultilevel"/>
    <w:lvl w:ilvl="0">
      <w:lvlJc w:val="left"/>
      <w:lvlText w:val="(%1)"/>
      <w:numFmt w:val="lowerRoman"/>
      <w:start w:val="3"/>
    </w:lvl>
  </w:abstractNum>
  <w:abstractNum w:abstractNumId="431">
    <w:nsid w:val="B79D08D"/>
    <w:multiLevelType w:val="hybridMultilevel"/>
    <w:lvl w:ilvl="0">
      <w:lvlJc w:val="left"/>
      <w:lvlText w:val="(%1)"/>
      <w:numFmt w:val="lowerLetter"/>
      <w:start w:val="1"/>
    </w:lvl>
  </w:abstractNum>
  <w:abstractNum w:abstractNumId="432">
    <w:nsid w:val="69141769"/>
    <w:multiLevelType w:val="hybridMultilevel"/>
    <w:lvl w:ilvl="0">
      <w:lvlJc w:val="left"/>
      <w:lvlText w:val="(%1)"/>
      <w:numFmt w:val="lowerLetter"/>
      <w:start w:val="1"/>
    </w:lvl>
  </w:abstractNum>
  <w:abstractNum w:abstractNumId="433">
    <w:nsid w:val="7BF45B8E"/>
    <w:multiLevelType w:val="hybridMultilevel"/>
    <w:lvl w:ilvl="0">
      <w:lvlJc w:val="left"/>
      <w:lvlText w:val="(%1)"/>
      <w:numFmt w:val="lowerLetter"/>
      <w:start w:val="1"/>
    </w:lvl>
  </w:abstractNum>
  <w:abstractNum w:abstractNumId="434">
    <w:nsid w:val="41205269"/>
    <w:multiLevelType w:val="hybridMultilevel"/>
    <w:lvl w:ilvl="0">
      <w:lvlJc w:val="left"/>
      <w:lvlText w:val="(%1)"/>
      <w:numFmt w:val="lowerLetter"/>
      <w:start w:val="1"/>
    </w:lvl>
  </w:abstractNum>
  <w:abstractNum w:abstractNumId="435">
    <w:nsid w:val="9AE0DD"/>
    <w:multiLevelType w:val="hybridMultilevel"/>
    <w:lvl w:ilvl="0">
      <w:lvlJc w:val="left"/>
      <w:lvlText w:val="(%1)"/>
      <w:numFmt w:val="lowerLetter"/>
      <w:start w:val="1"/>
    </w:lvl>
    <w:lvl w:ilvl="1">
      <w:lvlJc w:val="left"/>
      <w:lvlText w:val="(%2)"/>
      <w:numFmt w:val="lowerRoman"/>
      <w:start w:val="1"/>
    </w:lvl>
  </w:abstractNum>
  <w:abstractNum w:abstractNumId="436">
    <w:nsid w:val="1818832F"/>
    <w:multiLevelType w:val="hybridMultilevel"/>
    <w:lvl w:ilvl="0">
      <w:lvlJc w:val="left"/>
      <w:lvlText w:val="(%1)"/>
      <w:numFmt w:val="lowerLetter"/>
      <w:start w:val="1"/>
    </w:lvl>
    <w:lvl w:ilvl="1">
      <w:lvlJc w:val="left"/>
      <w:lvlText w:val="(%2)"/>
      <w:numFmt w:val="lowerRoman"/>
      <w:start w:val="1"/>
    </w:lvl>
  </w:abstractNum>
  <w:abstractNum w:abstractNumId="437">
    <w:nsid w:val="24C29FD1"/>
    <w:multiLevelType w:val="hybridMultilevel"/>
    <w:lvl w:ilvl="0">
      <w:lvlJc w:val="left"/>
      <w:lvlText w:val="(%1)"/>
      <w:numFmt w:val="lowerLetter"/>
      <w:start w:val="1"/>
    </w:lvl>
    <w:lvl w:ilvl="1">
      <w:lvlJc w:val="left"/>
      <w:lvlText w:val="(%2)"/>
      <w:numFmt w:val="lowerRoman"/>
      <w:start w:val="1"/>
    </w:lvl>
  </w:abstractNum>
  <w:abstractNum w:abstractNumId="438">
    <w:nsid w:val="50528108"/>
    <w:multiLevelType w:val="hybridMultilevel"/>
    <w:lvl w:ilvl="0">
      <w:lvlJc w:val="left"/>
      <w:lvlText w:val="(%1)"/>
      <w:numFmt w:val="lowerLetter"/>
      <w:start w:val="1"/>
    </w:lvl>
    <w:lvl w:ilvl="1">
      <w:lvlJc w:val="left"/>
      <w:lvlText w:val="(%2)"/>
      <w:numFmt w:val="lowerRoman"/>
      <w:start w:val="1"/>
    </w:lvl>
  </w:abstractNum>
  <w:abstractNum w:abstractNumId="439">
    <w:nsid w:val="21857A57"/>
    <w:multiLevelType w:val="hybridMultilevel"/>
    <w:lvl w:ilvl="0">
      <w:lvlJc w:val="left"/>
      <w:lvlText w:val="(%1)"/>
      <w:numFmt w:val="lowerLetter"/>
      <w:start w:val="1"/>
    </w:lvl>
    <w:lvl w:ilvl="1">
      <w:lvlJc w:val="left"/>
      <w:lvlText w:val="(%2)"/>
      <w:numFmt w:val="lowerRoman"/>
      <w:start w:val="1"/>
    </w:lvl>
  </w:abstractNum>
  <w:abstractNum w:abstractNumId="440">
    <w:nsid w:val="5FD4B154"/>
    <w:multiLevelType w:val="hybridMultilevel"/>
    <w:lvl w:ilvl="0">
      <w:lvlJc w:val="left"/>
      <w:lvlText w:val="(%1)"/>
      <w:numFmt w:val="lowerLetter"/>
      <w:start w:val="1"/>
    </w:lvl>
  </w:abstractNum>
  <w:abstractNum w:abstractNumId="441">
    <w:nsid w:val="4ABE597"/>
    <w:multiLevelType w:val="hybridMultilevel"/>
    <w:lvl w:ilvl="0">
      <w:lvlJc w:val="left"/>
      <w:lvlText w:val="(%1)"/>
      <w:numFmt w:val="lowerLetter"/>
      <w:start w:val="1"/>
    </w:lvl>
  </w:abstractNum>
  <w:abstractNum w:abstractNumId="442">
    <w:nsid w:val="5C64AD75"/>
    <w:multiLevelType w:val="hybridMultilevel"/>
    <w:lvl w:ilvl="0">
      <w:lvlJc w:val="left"/>
      <w:lvlText w:val="(%1)"/>
      <w:numFmt w:val="lowerLetter"/>
      <w:start w:val="1"/>
    </w:lvl>
  </w:abstractNum>
  <w:abstractNum w:abstractNumId="443">
    <w:nsid w:val="2CDD5B39"/>
    <w:multiLevelType w:val="hybridMultilevel"/>
    <w:lvl w:ilvl="0">
      <w:lvlJc w:val="left"/>
      <w:lvlText w:val="(%1)"/>
      <w:numFmt w:val="lowerLetter"/>
      <w:start w:val="1"/>
    </w:lvl>
  </w:abstractNum>
  <w:abstractNum w:abstractNumId="444">
    <w:nsid w:val="6F9EA0D1"/>
    <w:multiLevelType w:val="hybridMultilevel"/>
    <w:lvl w:ilvl="0">
      <w:lvlJc w:val="left"/>
      <w:lvlText w:val="(%1)"/>
      <w:numFmt w:val="lowerLetter"/>
      <w:start w:val="1"/>
    </w:lvl>
    <w:lvl w:ilvl="1">
      <w:lvlJc w:val="left"/>
      <w:lvlText w:val="(%2)"/>
      <w:numFmt w:val="lowerRoman"/>
      <w:start w:val="1"/>
    </w:lvl>
  </w:abstractNum>
  <w:abstractNum w:abstractNumId="445">
    <w:nsid w:val="247FC4AE"/>
    <w:multiLevelType w:val="hybridMultilevel"/>
    <w:lvl w:ilvl="0">
      <w:lvlJc w:val="left"/>
      <w:lvlText w:val="%1"/>
      <w:numFmt w:val="decimal"/>
      <w:start w:val="31"/>
    </w:lvl>
  </w:abstractNum>
  <w:abstractNum w:abstractNumId="446">
    <w:nsid w:val="46C01B05"/>
    <w:multiLevelType w:val="hybridMultilevel"/>
    <w:lvl w:ilvl="0">
      <w:lvlJc w:val="left"/>
      <w:lvlText w:val="(%1)"/>
      <w:numFmt w:val="lowerLetter"/>
      <w:start w:val="1"/>
    </w:lvl>
  </w:abstractNum>
  <w:abstractNum w:abstractNumId="447">
    <w:nsid w:val="566EC29B"/>
    <w:multiLevelType w:val="hybridMultilevel"/>
    <w:lvl w:ilvl="0">
      <w:lvlJc w:val="left"/>
      <w:lvlText w:val="(%1)"/>
      <w:numFmt w:val="lowerLetter"/>
      <w:start w:val="2"/>
    </w:lvl>
    <w:lvl w:ilvl="1">
      <w:lvlJc w:val="left"/>
      <w:lvlText w:val="(%2)"/>
      <w:numFmt w:val="lowerRoman"/>
      <w:start w:val="1"/>
    </w:lvl>
  </w:abstractNum>
  <w:abstractNum w:abstractNumId="448">
    <w:nsid w:val="7A963843"/>
    <w:multiLevelType w:val="hybridMultilevel"/>
    <w:lvl w:ilvl="0">
      <w:lvlJc w:val="left"/>
      <w:lvlText w:val="(%1)"/>
      <w:numFmt w:val="lowerRoman"/>
      <w:start w:val="1"/>
    </w:lvl>
  </w:abstractNum>
  <w:abstractNum w:abstractNumId="449">
    <w:nsid w:val="4FE12F61"/>
    <w:multiLevelType w:val="hybridMultilevel"/>
    <w:lvl w:ilvl="0">
      <w:lvlJc w:val="left"/>
      <w:lvlText w:val="(%1)"/>
      <w:numFmt w:val="lowerRoman"/>
      <w:start w:val="2"/>
    </w:lvl>
    <w:lvl w:ilvl="1">
      <w:lvlJc w:val="left"/>
      <w:lvlText w:val="(%2)"/>
      <w:numFmt w:val="lowerRoman"/>
      <w:start w:val="1"/>
    </w:lvl>
  </w:abstractNum>
  <w:abstractNum w:abstractNumId="450">
    <w:nsid w:val="51A3A284"/>
    <w:multiLevelType w:val="hybridMultilevel"/>
    <w:lvl w:ilvl="0">
      <w:lvlJc w:val="left"/>
      <w:lvlText w:val="(%1)"/>
      <w:numFmt w:val="lowerLetter"/>
      <w:start w:val="1"/>
    </w:lvl>
    <w:lvl w:ilvl="1">
      <w:lvlJc w:val="left"/>
      <w:lvlText w:val="(%2)"/>
      <w:numFmt w:val="lowerRoman"/>
      <w:start w:val="1"/>
    </w:lvl>
  </w:abstractNum>
  <w:abstractNum w:abstractNumId="451">
    <w:nsid w:val="376863BC"/>
    <w:multiLevelType w:val="hybridMultilevel"/>
    <w:lvl w:ilvl="0">
      <w:lvlJc w:val="left"/>
      <w:lvlText w:val="(%1)"/>
      <w:numFmt w:val="lowerLetter"/>
      <w:start w:val="1"/>
    </w:lvl>
    <w:lvl w:ilvl="1">
      <w:lvlJc w:val="left"/>
      <w:lvlText w:val="(%2)"/>
      <w:numFmt w:val="lowerRoman"/>
      <w:start w:val="1"/>
    </w:lvl>
  </w:abstractNum>
  <w:abstractNum w:abstractNumId="452">
    <w:nsid w:val="118C6C0"/>
    <w:multiLevelType w:val="hybridMultilevel"/>
    <w:lvl w:ilvl="0">
      <w:lvlJc w:val="left"/>
      <w:lvlText w:val="(%1)"/>
      <w:numFmt w:val="lowerLetter"/>
      <w:start w:val="2"/>
    </w:lvl>
    <w:lvl w:ilvl="1">
      <w:lvlJc w:val="left"/>
      <w:lvlText w:val="(%2)"/>
      <w:numFmt w:val="lowerRoman"/>
      <w:start w:val="1"/>
    </w:lvl>
  </w:abstractNum>
  <w:abstractNum w:abstractNumId="453">
    <w:nsid w:val="7F7E4A15"/>
    <w:multiLevelType w:val="hybridMultilevel"/>
    <w:lvl w:ilvl="0">
      <w:lvlJc w:val="left"/>
      <w:lvlText w:val="(%1)"/>
      <w:numFmt w:val="lowerLetter"/>
      <w:start w:val="4"/>
    </w:lvl>
  </w:abstractNum>
  <w:abstractNum w:abstractNumId="454">
    <w:nsid w:val="2E8E9F47"/>
    <w:multiLevelType w:val="hybridMultilevel"/>
    <w:lvl w:ilvl="0">
      <w:lvlJc w:val="left"/>
      <w:lvlText w:val="(%1)"/>
      <w:numFmt w:val="lowerLetter"/>
      <w:start w:val="1"/>
    </w:lvl>
  </w:abstractNum>
  <w:abstractNum w:abstractNumId="455">
    <w:nsid w:val="76742596"/>
    <w:multiLevelType w:val="hybridMultilevel"/>
    <w:lvl w:ilvl="0">
      <w:lvlJc w:val="left"/>
      <w:lvlText w:val="(%1)"/>
      <w:numFmt w:val="lowerLetter"/>
      <w:start w:val="1"/>
    </w:lvl>
  </w:abstractNum>
  <w:abstractNum w:abstractNumId="456">
    <w:nsid w:val="CB55FF3"/>
    <w:multiLevelType w:val="hybridMultilevel"/>
    <w:lvl w:ilvl="0">
      <w:lvlJc w:val="left"/>
      <w:lvlText w:val="(%1)"/>
      <w:numFmt w:val="lowerLetter"/>
      <w:start w:val="2"/>
    </w:lvl>
  </w:abstractNum>
  <w:abstractNum w:abstractNumId="457">
    <w:nsid w:val="21DF319E"/>
    <w:multiLevelType w:val="hybridMultilevel"/>
    <w:lvl w:ilvl="0">
      <w:lvlJc w:val="left"/>
      <w:lvlText w:val="(%1)"/>
      <w:numFmt w:val="lowerLetter"/>
      <w:start w:val="1"/>
    </w:lvl>
    <w:lvl w:ilvl="1">
      <w:lvlJc w:val="left"/>
      <w:lvlText w:val="(%2)"/>
      <w:numFmt w:val="lowerRoman"/>
      <w:start w:val="1"/>
    </w:lvl>
  </w:abstractNum>
  <w:abstractNum w:abstractNumId="458">
    <w:nsid w:val="6687F34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9">
    <w:nsid w:val="25415B0C"/>
    <w:multiLevelType w:val="hybridMultilevel"/>
    <w:lvl w:ilvl="0">
      <w:lvlJc w:val="left"/>
      <w:lvlText w:val="(%1)"/>
      <w:numFmt w:val="lowerLetter"/>
      <w:start w:val="1"/>
    </w:lvl>
    <w:lvl w:ilvl="1">
      <w:lvlJc w:val="left"/>
      <w:lvlText w:val="(%2)"/>
      <w:numFmt w:val="lowerRoman"/>
      <w:start w:val="1"/>
    </w:lvl>
  </w:abstractNum>
  <w:abstractNum w:abstractNumId="460">
    <w:nsid w:val="17CFC87D"/>
    <w:multiLevelType w:val="hybridMultilevel"/>
    <w:lvl w:ilvl="0">
      <w:lvlJc w:val="left"/>
      <w:lvlText w:val="(%1)"/>
      <w:numFmt w:val="lowerLetter"/>
      <w:start w:val="1"/>
    </w:lvl>
  </w:abstractNum>
  <w:abstractNum w:abstractNumId="461">
    <w:nsid w:val="5D66DC65"/>
    <w:multiLevelType w:val="hybridMultilevel"/>
    <w:lvl w:ilvl="0">
      <w:lvlJc w:val="left"/>
      <w:lvlText w:val="(%1)"/>
      <w:numFmt w:val="lowerLetter"/>
      <w:start w:val="2"/>
    </w:lvl>
  </w:abstractNum>
  <w:abstractNum w:abstractNumId="462">
    <w:nsid w:val="30BB2B99"/>
    <w:multiLevelType w:val="hybridMultilevel"/>
    <w:lvl w:ilvl="0">
      <w:lvlJc w:val="left"/>
      <w:lvlText w:val="(%1)"/>
      <w:numFmt w:val="lowerRoman"/>
      <w:start w:val="1"/>
    </w:lvl>
  </w:abstractNum>
  <w:abstractNum w:abstractNumId="463">
    <w:nsid w:val="E3DF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4">
    <w:nsid w:val="595B37F3"/>
    <w:multiLevelType w:val="hybridMultilevel"/>
    <w:lvl w:ilvl="0">
      <w:lvlJc w:val="left"/>
      <w:lvlText w:val="(%1)"/>
      <w:numFmt w:val="lowerLetter"/>
      <w:start w:val="1"/>
    </w:lvl>
  </w:abstractNum>
  <w:abstractNum w:abstractNumId="465">
    <w:nsid w:val="71DB7E02"/>
    <w:multiLevelType w:val="hybridMultilevel"/>
    <w:lvl w:ilvl="0">
      <w:lvlJc w:val="left"/>
      <w:lvlText w:val="%1"/>
      <w:numFmt w:val="decimal"/>
      <w:start w:val="33"/>
    </w:lvl>
  </w:abstractNum>
  <w:abstractNum w:abstractNumId="466">
    <w:nsid w:val="17EC0C4"/>
    <w:multiLevelType w:val="hybridMultilevel"/>
    <w:lvl w:ilvl="0">
      <w:lvlJc w:val="left"/>
      <w:lvlText w:val="%1"/>
      <w:numFmt w:val="decimal"/>
      <w:start w:val="34"/>
    </w:lvl>
    <w:lvl w:ilvl="1">
      <w:lvlJc w:val="left"/>
      <w:lvlText w:val="(%2)"/>
      <w:numFmt w:val="lowerLetter"/>
      <w:start w:val="1"/>
    </w:lvl>
  </w:abstractNum>
  <w:abstractNum w:abstractNumId="467">
    <w:nsid w:val="7173BB22"/>
    <w:multiLevelType w:val="hybridMultilevel"/>
    <w:lvl w:ilvl="0">
      <w:lvlJc w:val="left"/>
      <w:lvlText w:val="(%1)"/>
      <w:numFmt w:val="lowerLetter"/>
      <w:start w:val="1"/>
    </w:lvl>
  </w:abstractNum>
  <w:abstractNum w:abstractNumId="468">
    <w:nsid w:val="169E1D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9">
    <w:nsid w:val="51D141CC"/>
    <w:multiLevelType w:val="hybridMultilevel"/>
    <w:lvl w:ilvl="0">
      <w:lvlJc w:val="left"/>
      <w:lvlText w:val="(%1)"/>
      <w:numFmt w:val="lowerLetter"/>
      <w:start w:val="4"/>
    </w:lvl>
    <w:lvl w:ilvl="1">
      <w:lvlJc w:val="left"/>
      <w:lvlText w:val="(%2)"/>
      <w:numFmt w:val="lowerRoman"/>
      <w:start w:val="1"/>
    </w:lvl>
  </w:abstractNum>
  <w:abstractNum w:abstractNumId="470">
    <w:nsid w:val="12F9357A"/>
    <w:multiLevelType w:val="hybridMultilevel"/>
    <w:lvl w:ilvl="0">
      <w:lvlJc w:val="left"/>
      <w:lvlText w:val="(%1)"/>
      <w:numFmt w:val="lowerLetter"/>
      <w:start w:val="1"/>
    </w:lvl>
    <w:lvl w:ilvl="1">
      <w:lvlJc w:val="left"/>
      <w:lvlText w:val="(%2)"/>
      <w:numFmt w:val="lowerRoman"/>
      <w:start w:val="1"/>
    </w:lvl>
  </w:abstractNum>
  <w:abstractNum w:abstractNumId="471">
    <w:nsid w:val="7672CF28"/>
    <w:multiLevelType w:val="hybridMultilevel"/>
    <w:lvl w:ilvl="0">
      <w:lvlJc w:val="left"/>
      <w:lvlText w:val="(%1)"/>
      <w:numFmt w:val="lowerLetter"/>
      <w:start w:val="3"/>
    </w:lvl>
  </w:abstractNum>
  <w:abstractNum w:abstractNumId="472">
    <w:nsid w:val="567D2763"/>
    <w:multiLevelType w:val="hybridMultilevel"/>
    <w:lvl w:ilvl="0">
      <w:lvlJc w:val="left"/>
      <w:lvlText w:val="(%1)"/>
      <w:numFmt w:val="lowerLetter"/>
      <w:start w:val="1"/>
    </w:lvl>
    <w:lvl w:ilvl="1">
      <w:lvlJc w:val="left"/>
      <w:lvlText w:val="(%2)"/>
      <w:numFmt w:val="lowerRoman"/>
      <w:start w:val="1"/>
    </w:lvl>
  </w:abstractNum>
  <w:abstractNum w:abstractNumId="473">
    <w:nsid w:val="6F5DE2E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74">
    <w:nsid w:val="23502A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5">
    <w:nsid w:val="461BC834"/>
    <w:multiLevelType w:val="hybridMultilevel"/>
    <w:lvl w:ilvl="0">
      <w:lvlJc w:val="left"/>
      <w:lvlText w:val="(%1)"/>
      <w:numFmt w:val="lowerLetter"/>
      <w:start w:val="6"/>
    </w:lvl>
    <w:lvl w:ilvl="1">
      <w:lvlJc w:val="left"/>
      <w:lvlText w:val="(%2)"/>
      <w:numFmt w:val="lowerRoman"/>
      <w:start w:val="1"/>
    </w:lvl>
  </w:abstractNum>
  <w:abstractNum w:abstractNumId="476">
    <w:nsid w:val="13DDA79D"/>
    <w:multiLevelType w:val="hybridMultilevel"/>
    <w:lvl w:ilvl="0">
      <w:lvlJc w:val="left"/>
      <w:lvlText w:val="(%1)"/>
      <w:numFmt w:val="lowerLetter"/>
      <w:start w:val="7"/>
    </w:lvl>
    <w:lvl w:ilvl="1">
      <w:lvlJc w:val="left"/>
      <w:lvlText w:val="(%2)"/>
      <w:numFmt w:val="lowerRoman"/>
      <w:start w:val="1"/>
    </w:lvl>
  </w:abstractNum>
  <w:abstractNum w:abstractNumId="477">
    <w:nsid w:val="6A104566"/>
    <w:multiLevelType w:val="hybridMultilevel"/>
    <w:lvl w:ilvl="0">
      <w:lvlJc w:val="left"/>
      <w:lvlText w:val="(%1)"/>
      <w:numFmt w:val="lowerLetter"/>
      <w:start w:val="9"/>
    </w:lvl>
  </w:abstractNum>
  <w:abstractNum w:abstractNumId="478">
    <w:nsid w:val="1C8A8ACF"/>
    <w:multiLevelType w:val="hybridMultilevel"/>
    <w:lvl w:ilvl="0">
      <w:lvlJc w:val="left"/>
      <w:lvlText w:val="(%1)"/>
      <w:numFmt w:val="lowerLetter"/>
      <w:start w:val="1"/>
    </w:lvl>
  </w:abstractNum>
  <w:abstractNum w:abstractNumId="479">
    <w:nsid w:val="E73DFE0"/>
    <w:multiLevelType w:val="hybridMultilevel"/>
    <w:lvl w:ilvl="0">
      <w:lvlJc w:val="left"/>
      <w:lvlText w:val="(%1)"/>
      <w:numFmt w:val="lowerLetter"/>
      <w:start w:val="2"/>
    </w:lvl>
  </w:abstractNum>
  <w:abstractNum w:abstractNumId="480">
    <w:nsid w:val="39F174C7"/>
    <w:multiLevelType w:val="hybridMultilevel"/>
    <w:lvl w:ilvl="0">
      <w:lvlJc w:val="left"/>
      <w:lvlText w:val="(%1)"/>
      <w:numFmt w:val="lowerLetter"/>
      <w:start w:val="1"/>
    </w:lvl>
  </w:abstractNum>
  <w:abstractNum w:abstractNumId="481">
    <w:nsid w:val="6E2E2D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2">
    <w:nsid w:val="45DC439D"/>
    <w:multiLevelType w:val="hybridMultilevel"/>
    <w:lvl w:ilvl="0">
      <w:lvlJc w:val="left"/>
      <w:lvlText w:val="(%1)"/>
      <w:numFmt w:val="lowerLetter"/>
      <w:start w:val="2"/>
    </w:lvl>
    <w:lvl w:ilvl="1">
      <w:lvlJc w:val="left"/>
      <w:lvlText w:val="(%2)"/>
      <w:numFmt w:val="lowerRoman"/>
      <w:start w:val="1"/>
    </w:lvl>
  </w:abstractNum>
  <w:abstractNum w:abstractNumId="483">
    <w:nsid w:val="3B0A3B87"/>
    <w:multiLevelType w:val="hybridMultilevel"/>
    <w:lvl w:ilvl="0">
      <w:lvlJc w:val="left"/>
      <w:lvlText w:val="(%1)"/>
      <w:numFmt w:val="lowerLetter"/>
      <w:start w:val="5"/>
    </w:lvl>
  </w:abstractNum>
  <w:abstractNum w:abstractNumId="484">
    <w:nsid w:val="6DAC7768"/>
    <w:multiLevelType w:val="hybridMultilevel"/>
    <w:lvl w:ilvl="0">
      <w:lvlJc w:val="left"/>
      <w:lvlText w:val="(%1)"/>
      <w:numFmt w:val="lowerLetter"/>
      <w:start w:val="1"/>
    </w:lvl>
  </w:abstractNum>
  <w:abstractNum w:abstractNumId="485">
    <w:nsid w:val="746AE2E4"/>
    <w:multiLevelType w:val="hybridMultilevel"/>
    <w:lvl w:ilvl="0">
      <w:lvlJc w:val="left"/>
      <w:lvlText w:val="(%1)"/>
      <w:numFmt w:val="lowerLetter"/>
      <w:start w:val="2"/>
    </w:lvl>
  </w:abstractNum>
  <w:abstractNum w:abstractNumId="486">
    <w:nsid w:val="317E611D"/>
    <w:multiLevelType w:val="hybridMultilevel"/>
    <w:lvl w:ilvl="0">
      <w:lvlJc w:val="left"/>
      <w:lvlText w:val="(%1)"/>
      <w:numFmt w:val="lowerLetter"/>
      <w:start w:val="1"/>
    </w:lvl>
  </w:abstractNum>
  <w:abstractNum w:abstractNumId="487">
    <w:nsid w:val="7A61D75B"/>
    <w:multiLevelType w:val="hybridMultilevel"/>
    <w:lvl w:ilvl="0">
      <w:lvlJc w:val="left"/>
      <w:lvlText w:val="(%1)"/>
      <w:numFmt w:val="lowerLetter"/>
      <w:start w:val="6"/>
    </w:lvl>
    <w:lvl w:ilvl="1">
      <w:lvlJc w:val="left"/>
      <w:lvlText w:val="(%2)"/>
      <w:numFmt w:val="lowerRoman"/>
      <w:start w:val="1"/>
    </w:lvl>
  </w:abstractNum>
  <w:abstractNum w:abstractNumId="488">
    <w:nsid w:val="164A1482"/>
    <w:multiLevelType w:val="hybridMultilevel"/>
    <w:lvl w:ilvl="0">
      <w:lvlJc w:val="left"/>
      <w:lvlText w:val="(%1)"/>
      <w:numFmt w:val="lowerRoman"/>
      <w:start w:val="1"/>
    </w:lvl>
  </w:abstractNum>
  <w:abstractNum w:abstractNumId="489">
    <w:nsid w:val="1806546B"/>
    <w:multiLevelType w:val="hybridMultilevel"/>
    <w:lvl w:ilvl="0">
      <w:lvlJc w:val="left"/>
      <w:lvlText w:val="(%1)"/>
      <w:numFmt w:val="lowerLetter"/>
      <w:start w:val="1"/>
    </w:lvl>
  </w:abstractNum>
  <w:abstractNum w:abstractNumId="490">
    <w:nsid w:val="1FA33267"/>
    <w:multiLevelType w:val="hybridMultilevel"/>
    <w:lvl w:ilvl="0">
      <w:lvlJc w:val="left"/>
      <w:lvlText w:val="(%1)"/>
      <w:numFmt w:val="lowerLetter"/>
      <w:start w:val="3"/>
    </w:lvl>
  </w:abstractNum>
  <w:abstractNum w:abstractNumId="491">
    <w:nsid w:val="2E19DD00"/>
    <w:multiLevelType w:val="hybridMultilevel"/>
    <w:lvl w:ilvl="0">
      <w:lvlJc w:val="left"/>
      <w:lvlText w:val="(%1)"/>
      <w:numFmt w:val="lowerLetter"/>
      <w:start w:val="1"/>
    </w:lvl>
  </w:abstractNum>
  <w:abstractNum w:abstractNumId="492">
    <w:nsid w:val="756D30D0"/>
    <w:multiLevelType w:val="hybridMultilevel"/>
    <w:lvl w:ilvl="0">
      <w:lvlJc w:val="left"/>
      <w:lvlText w:val="(%1)"/>
      <w:numFmt w:val="lowerLetter"/>
      <w:start w:val="1"/>
    </w:lvl>
    <w:lvl w:ilvl="1">
      <w:lvlJc w:val="left"/>
      <w:lvlText w:val="(%2)"/>
      <w:numFmt w:val="lowerRoman"/>
      <w:start w:val="1"/>
    </w:lvl>
  </w:abstractNum>
  <w:abstractNum w:abstractNumId="493">
    <w:nsid w:val="505E5E01"/>
    <w:multiLevelType w:val="hybridMultilevel"/>
    <w:lvl w:ilvl="0">
      <w:lvlJc w:val="left"/>
      <w:lvlText w:val="(%1)"/>
      <w:numFmt w:val="lowerLetter"/>
      <w:start w:val="2"/>
    </w:lvl>
  </w:abstractNum>
  <w:abstractNum w:abstractNumId="494">
    <w:nsid w:val="2EFDBCE6"/>
    <w:multiLevelType w:val="hybridMultilevel"/>
    <w:lvl w:ilvl="0">
      <w:lvlJc w:val="left"/>
      <w:lvlText w:val="(%1)"/>
      <w:numFmt w:val="lowerLetter"/>
      <w:start w:val="1"/>
    </w:lvl>
  </w:abstractNum>
  <w:abstractNum w:abstractNumId="495">
    <w:nsid w:val="4EC868C4"/>
    <w:multiLevelType w:val="hybridMultilevel"/>
    <w:lvl w:ilvl="0">
      <w:lvlJc w:val="left"/>
      <w:lvlText w:val="(%1)"/>
      <w:numFmt w:val="lowerLetter"/>
      <w:start w:val="1"/>
    </w:lvl>
    <w:lvl w:ilvl="1">
      <w:lvlJc w:val="left"/>
      <w:lvlText w:val="(%2)"/>
      <w:numFmt w:val="upperLetter"/>
      <w:start w:val="1"/>
    </w:lvl>
  </w:abstractNum>
  <w:abstractNum w:abstractNumId="496">
    <w:nsid w:val="4239DC03"/>
    <w:multiLevelType w:val="hybridMultilevel"/>
    <w:lvl w:ilvl="0">
      <w:lvlJc w:val="left"/>
      <w:lvlText w:val="(%1)"/>
      <w:numFmt w:val="lowerLetter"/>
      <w:start w:val="3"/>
    </w:lvl>
  </w:abstractNum>
  <w:abstractNum w:abstractNumId="497">
    <w:nsid w:val="307C7DAA"/>
    <w:multiLevelType w:val="hybridMultilevel"/>
    <w:lvl w:ilvl="0">
      <w:lvlJc w:val="left"/>
      <w:lvlText w:val="%1"/>
      <w:numFmt w:val="decimal"/>
      <w:start w:val="35"/>
    </w:lvl>
    <w:lvl w:ilvl="1">
      <w:lvlJc w:val="left"/>
      <w:lvlText w:val="(%2)"/>
      <w:numFmt w:val="lowerLetter"/>
      <w:start w:val="1"/>
    </w:lvl>
  </w:abstractNum>
  <w:abstractNum w:abstractNumId="498">
    <w:nsid w:val="403C23E6"/>
    <w:multiLevelType w:val="hybridMultilevel"/>
    <w:lvl w:ilvl="0">
      <w:lvlJc w:val="left"/>
      <w:lvlText w:val="(%1)"/>
      <w:numFmt w:val="lowerLetter"/>
      <w:start w:val="1"/>
    </w:lvl>
  </w:abstractNum>
  <w:abstractNum w:abstractNumId="499">
    <w:nsid w:val="58D7F9D7"/>
    <w:multiLevelType w:val="hybridMultilevel"/>
    <w:lvl w:ilvl="0">
      <w:lvlJc w:val="left"/>
      <w:lvlText w:val="(%1)"/>
      <w:numFmt w:val="lowerLetter"/>
      <w:start w:val="2"/>
    </w:lvl>
  </w:abstractNum>
  <w:abstractNum w:abstractNumId="500">
    <w:nsid w:val="24DBF76"/>
    <w:multiLevelType w:val="hybridMultilevel"/>
    <w:lvl w:ilvl="0">
      <w:lvlJc w:val="left"/>
      <w:lvlText w:val="(%1)"/>
      <w:numFmt w:val="lowerLetter"/>
      <w:start w:val="1"/>
    </w:lvl>
    <w:lvl w:ilvl="1">
      <w:lvlJc w:val="left"/>
      <w:lvlText w:val="(%2)"/>
      <w:numFmt w:val="lowerRoman"/>
      <w:start w:val="1"/>
    </w:lvl>
  </w:abstractNum>
  <w:abstractNum w:abstractNumId="501">
    <w:nsid w:val="53355960"/>
    <w:multiLevelType w:val="hybridMultilevel"/>
    <w:lvl w:ilvl="0">
      <w:lvlJc w:val="left"/>
      <w:lvlText w:val="(%1)"/>
      <w:numFmt w:val="lowerLetter"/>
      <w:start w:val="2"/>
    </w:lvl>
  </w:abstractNum>
  <w:abstractNum w:abstractNumId="502">
    <w:nsid w:val="4F4AC8FF"/>
    <w:multiLevelType w:val="hybridMultilevel"/>
    <w:lvl w:ilvl="0">
      <w:lvlJc w:val="left"/>
      <w:lvlText w:val="(%1)"/>
      <w:numFmt w:val="lowerLetter"/>
      <w:start w:val="1"/>
    </w:lvl>
  </w:abstractNum>
  <w:abstractNum w:abstractNumId="503">
    <w:nsid w:val="58CAE6D9"/>
    <w:multiLevelType w:val="hybridMultilevel"/>
    <w:lvl w:ilvl="0">
      <w:lvlJc w:val="left"/>
      <w:lvlText w:val="(%1)"/>
      <w:numFmt w:val="lowerLetter"/>
      <w:start w:val="1"/>
    </w:lvl>
    <w:lvl w:ilvl="1">
      <w:lvlJc w:val="left"/>
      <w:lvlText w:val="(%2)"/>
      <w:numFmt w:val="lowerRoman"/>
      <w:start w:val="1"/>
    </w:lvl>
  </w:abstractNum>
  <w:abstractNum w:abstractNumId="504">
    <w:nsid w:val="42933C4F"/>
    <w:multiLevelType w:val="hybridMultilevel"/>
    <w:lvl w:ilvl="0">
      <w:lvlJc w:val="left"/>
      <w:lvlText w:val="(%1)"/>
      <w:numFmt w:val="lowerLetter"/>
      <w:start w:val="2"/>
    </w:lvl>
  </w:abstractNum>
  <w:abstractNum w:abstractNumId="505">
    <w:nsid w:val="729AF360"/>
    <w:multiLevelType w:val="hybridMultilevel"/>
    <w:lvl w:ilvl="0">
      <w:lvlJc w:val="left"/>
      <w:lvlText w:val="(%1)"/>
      <w:numFmt w:val="lowerLetter"/>
      <w:start w:val="1"/>
    </w:lvl>
  </w:abstractNum>
  <w:abstractNum w:abstractNumId="506">
    <w:nsid w:val="1EE6AF0D"/>
    <w:multiLevelType w:val="hybridMultilevel"/>
    <w:lvl w:ilvl="0">
      <w:lvlJc w:val="left"/>
      <w:lvlText w:val="(%1)"/>
      <w:numFmt w:val="lowerLetter"/>
      <w:start w:val="1"/>
    </w:lvl>
    <w:lvl w:ilvl="1">
      <w:lvlJc w:val="left"/>
      <w:lvlText w:val="(%2)"/>
      <w:numFmt w:val="lowerRoman"/>
      <w:start w:val="1"/>
    </w:lvl>
  </w:abstractNum>
  <w:abstractNum w:abstractNumId="507">
    <w:nsid w:val="5670E3ED"/>
    <w:multiLevelType w:val="hybridMultilevel"/>
    <w:lvl w:ilvl="0">
      <w:lvlJc w:val="left"/>
      <w:lvlText w:val="%1"/>
      <w:numFmt w:val="decimal"/>
      <w:start w:val="36"/>
    </w:lvl>
    <w:lvl w:ilvl="1">
      <w:lvlJc w:val="left"/>
      <w:lvlText w:val="(%2)"/>
      <w:numFmt w:val="lowerLetter"/>
      <w:start w:val="1"/>
    </w:lvl>
  </w:abstractNum>
  <w:abstractNum w:abstractNumId="508">
    <w:nsid w:val="5CAB38C6"/>
    <w:multiLevelType w:val="hybridMultilevel"/>
    <w:lvl w:ilvl="0">
      <w:lvlJc w:val="left"/>
      <w:lvlText w:val="(%1)"/>
      <w:numFmt w:val="lowerLetter"/>
      <w:start w:val="1"/>
    </w:lvl>
    <w:lvl w:ilvl="1">
      <w:lvlJc w:val="left"/>
      <w:lvlText w:val="(%2)"/>
      <w:numFmt w:val="lowerRoman"/>
      <w:start w:val="1"/>
    </w:lvl>
  </w:abstractNum>
  <w:abstractNum w:abstractNumId="509">
    <w:nsid w:val="3B7139DD"/>
    <w:multiLevelType w:val="hybridMultilevel"/>
    <w:lvl w:ilvl="0">
      <w:lvlJc w:val="left"/>
      <w:lvlText w:val="(%1)"/>
      <w:numFmt w:val="lowerLetter"/>
      <w:start w:val="4"/>
    </w:lvl>
  </w:abstractNum>
  <w:abstractNum w:abstractNumId="510">
    <w:nsid w:val="64E4C3CD"/>
    <w:multiLevelType w:val="hybridMultilevel"/>
    <w:lvl w:ilvl="0">
      <w:lvlJc w:val="left"/>
      <w:lvlText w:val="%1"/>
      <w:numFmt w:val="decimal"/>
      <w:start w:val="37"/>
    </w:lvl>
  </w:abstractNum>
  <w:abstractNum w:abstractNumId="511">
    <w:nsid w:val="169CAD8D"/>
    <w:multiLevelType w:val="hybridMultilevel"/>
    <w:lvl w:ilvl="0">
      <w:lvlJc w:val="left"/>
      <w:lvlText w:val="(%1)"/>
      <w:numFmt w:val="lowerLetter"/>
      <w:start w:val="1"/>
    </w:lvl>
  </w:abstractNum>
  <w:abstractNum w:abstractNumId="512">
    <w:nsid w:val="299F6730"/>
    <w:multiLevelType w:val="hybridMultilevel"/>
    <w:lvl w:ilvl="0">
      <w:lvlJc w:val="left"/>
      <w:lvlText w:val="(%1)"/>
      <w:numFmt w:val="lowerLetter"/>
      <w:start w:val="1"/>
    </w:lvl>
  </w:abstractNum>
  <w:abstractNum w:abstractNumId="513">
    <w:nsid w:val="2AC1076A"/>
    <w:multiLevelType w:val="hybridMultilevel"/>
    <w:lvl w:ilvl="0">
      <w:lvlJc w:val="left"/>
      <w:lvlText w:val="(%1)"/>
      <w:numFmt w:val="lowerLetter"/>
      <w:start w:val="1"/>
    </w:lvl>
    <w:lvl w:ilvl="1">
      <w:lvlJc w:val="left"/>
      <w:lvlText w:val="(%2)"/>
      <w:numFmt w:val="lowerRoman"/>
      <w:start w:val="1"/>
    </w:lvl>
  </w:abstractNum>
  <w:abstractNum w:abstractNumId="514">
    <w:nsid w:val="51A6E915"/>
    <w:multiLevelType w:val="hybridMultilevel"/>
    <w:lvl w:ilvl="0">
      <w:lvlJc w:val="left"/>
      <w:lvlText w:val="(%1)"/>
      <w:numFmt w:val="lowerLetter"/>
      <w:start w:val="2"/>
    </w:lvl>
    <w:lvl w:ilvl="1">
      <w:lvlJc w:val="left"/>
      <w:lvlText w:val="(%2)"/>
      <w:numFmt w:val="lowerRoman"/>
      <w:start w:val="1"/>
    </w:lvl>
  </w:abstractNum>
  <w:abstractNum w:abstractNumId="515">
    <w:nsid w:val="174BDE99"/>
    <w:multiLevelType w:val="hybridMultilevel"/>
    <w:lvl w:ilvl="0">
      <w:lvlJc w:val="left"/>
      <w:lvlText w:val="(%1)"/>
      <w:numFmt w:val="lowerLetter"/>
      <w:start w:val="1"/>
    </w:lvl>
  </w:abstractNum>
  <w:abstractNum w:abstractNumId="516">
    <w:nsid w:val="1F2BEA4E"/>
    <w:multiLevelType w:val="hybridMultilevel"/>
    <w:lvl w:ilvl="0">
      <w:lvlJc w:val="left"/>
      <w:lvlText w:val="(%1)"/>
      <w:numFmt w:val="lowerLetter"/>
      <w:start w:val="1"/>
    </w:lvl>
  </w:abstractNum>
  <w:abstractNum w:abstractNumId="517">
    <w:nsid w:val="3254A32"/>
    <w:multiLevelType w:val="hybridMultilevel"/>
    <w:lvl w:ilvl="0">
      <w:lvlJc w:val="left"/>
      <w:lvlText w:val="(%1)"/>
      <w:numFmt w:val="lowerLetter"/>
      <w:start w:val="2"/>
    </w:lvl>
  </w:abstractNum>
  <w:abstractNum w:abstractNumId="518">
    <w:nsid w:val="11ADB5F4"/>
    <w:multiLevelType w:val="hybridMultilevel"/>
    <w:lvl w:ilvl="0">
      <w:lvlJc w:val="left"/>
      <w:lvlText w:val="(%1)"/>
      <w:numFmt w:val="lowerLetter"/>
      <w:start w:val="1"/>
    </w:lvl>
  </w:abstractNum>
  <w:abstractNum w:abstractNumId="519">
    <w:nsid w:val="3575FED1"/>
    <w:multiLevelType w:val="hybridMultilevel"/>
    <w:lvl w:ilvl="0">
      <w:lvlJc w:val="left"/>
      <w:lvlText w:val="(%1)"/>
      <w:numFmt w:val="lowerLetter"/>
      <w:start w:val="1"/>
    </w:lvl>
  </w:abstractNum>
  <w:abstractNum w:abstractNumId="520">
    <w:nsid w:val="1B2B9E9D"/>
    <w:multiLevelType w:val="hybridMultilevel"/>
    <w:lvl w:ilvl="0">
      <w:lvlJc w:val="left"/>
      <w:lvlText w:val="(%1)"/>
      <w:numFmt w:val="lowerLetter"/>
      <w:start w:val="5"/>
    </w:lvl>
  </w:abstractNum>
  <w:abstractNum w:abstractNumId="521">
    <w:nsid w:val="3150E85C"/>
    <w:multiLevelType w:val="hybridMultilevel"/>
    <w:lvl w:ilvl="0">
      <w:lvlJc w:val="left"/>
      <w:lvlText w:val="%1"/>
      <w:numFmt w:val="decimal"/>
      <w:start w:val="38"/>
    </w:lvl>
    <w:lvl w:ilvl="1">
      <w:lvlJc w:val="left"/>
      <w:lvlText w:val="(%2)"/>
      <w:numFmt w:val="lowerLetter"/>
      <w:start w:val="1"/>
    </w:lvl>
  </w:abstractNum>
  <w:abstractNum w:abstractNumId="522">
    <w:nsid w:val="638FDBD1"/>
    <w:multiLevelType w:val="hybridMultilevel"/>
    <w:lvl w:ilvl="0">
      <w:lvlJc w:val="left"/>
      <w:lvlText w:val="(%1)"/>
      <w:numFmt w:val="lowerLetter"/>
      <w:start w:val="1"/>
    </w:lvl>
  </w:abstractNum>
  <w:abstractNum w:abstractNumId="523">
    <w:nsid w:val="1098CF6E"/>
    <w:multiLevelType w:val="hybridMultilevel"/>
    <w:lvl w:ilvl="0">
      <w:lvlJc w:val="left"/>
      <w:lvlText w:val="(%1)"/>
      <w:numFmt w:val="lowerLetter"/>
      <w:start w:val="1"/>
    </w:lvl>
  </w:abstractNum>
  <w:abstractNum w:abstractNumId="524">
    <w:nsid w:val="1AF465D"/>
    <w:multiLevelType w:val="hybridMultilevel"/>
    <w:lvl w:ilvl="0">
      <w:lvlJc w:val="left"/>
      <w:lvlText w:val="(%1)"/>
      <w:numFmt w:val="lowerLetter"/>
      <w:start w:val="1"/>
    </w:lvl>
  </w:abstractNum>
  <w:abstractNum w:abstractNumId="525">
    <w:nsid w:val="128D98B7"/>
    <w:multiLevelType w:val="hybridMultilevel"/>
    <w:lvl w:ilvl="0">
      <w:lvlJc w:val="left"/>
      <w:lvlText w:val="(%1)"/>
      <w:numFmt w:val="lowerLetter"/>
      <w:start w:val="3"/>
    </w:lvl>
  </w:abstractNum>
  <w:abstractNum w:abstractNumId="526">
    <w:nsid w:val="5F613832"/>
    <w:multiLevelType w:val="hybridMultilevel"/>
    <w:lvl w:ilvl="0">
      <w:lvlJc w:val="left"/>
      <w:lvlText w:val="%1"/>
      <w:numFmt w:val="decimal"/>
      <w:start w:val="39"/>
    </w:lvl>
  </w:abstractNum>
  <w:abstractNum w:abstractNumId="527">
    <w:nsid w:val="43E92260"/>
    <w:multiLevelType w:val="hybridMultilevel"/>
    <w:lvl w:ilvl="0">
      <w:lvlJc w:val="left"/>
      <w:lvlText w:val="(%1)"/>
      <w:numFmt w:val="lowerLetter"/>
      <w:start w:val="1"/>
    </w:lvl>
  </w:abstractNum>
  <w:abstractNum w:abstractNumId="528">
    <w:nsid w:val="430A1662"/>
    <w:multiLevelType w:val="hybridMultilevel"/>
    <w:lvl w:ilvl="0">
      <w:lvlJc w:val="left"/>
      <w:lvlText w:val="(%1)"/>
      <w:numFmt w:val="lowerLetter"/>
      <w:start w:val="1"/>
    </w:lvl>
  </w:abstractNum>
  <w:abstractNum w:abstractNumId="529">
    <w:nsid w:val="1F9D5C18"/>
    <w:multiLevelType w:val="hybridMultilevel"/>
    <w:lvl w:ilvl="0">
      <w:lvlJc w:val="left"/>
      <w:lvlText w:val="(%1)"/>
      <w:numFmt w:val="lowerLetter"/>
      <w:start w:val="1"/>
    </w:lvl>
    <w:lvl w:ilvl="1">
      <w:lvlJc w:val="left"/>
      <w:lvlText w:val="(%2)"/>
      <w:numFmt w:val="lowerRoman"/>
      <w:start w:val="1"/>
    </w:lvl>
  </w:abstractNum>
  <w:abstractNum w:abstractNumId="530">
    <w:nsid w:val="1CC11C37"/>
    <w:multiLevelType w:val="hybridMultilevel"/>
    <w:lvl w:ilvl="0">
      <w:lvlJc w:val="left"/>
      <w:lvlText w:val="%1"/>
      <w:numFmt w:val="decimal"/>
      <w:start w:val="40"/>
    </w:lvl>
    <w:lvl w:ilvl="1">
      <w:lvlJc w:val="left"/>
      <w:lvlText w:val="(%2)"/>
      <w:numFmt w:val="lowerLetter"/>
      <w:start w:val="1"/>
    </w:lvl>
  </w:abstractNum>
  <w:abstractNum w:abstractNumId="531">
    <w:nsid w:val="4557D5D8"/>
    <w:multiLevelType w:val="hybridMultilevel"/>
    <w:lvl w:ilvl="0">
      <w:lvlJc w:val="left"/>
      <w:lvlText w:val="(%1)"/>
      <w:numFmt w:val="lowerLetter"/>
      <w:start w:val="1"/>
    </w:lvl>
    <w:lvl w:ilvl="1">
      <w:lvlJc w:val="left"/>
      <w:lvlText w:val="(%2)"/>
      <w:numFmt w:val="lowerRoman"/>
      <w:start w:val="1"/>
    </w:lvl>
  </w:abstractNum>
  <w:abstractNum w:abstractNumId="532">
    <w:nsid w:val="72D2B579"/>
    <w:multiLevelType w:val="hybridMultilevel"/>
    <w:lvl w:ilvl="0">
      <w:lvlJc w:val="left"/>
      <w:lvlText w:val="(%1)"/>
      <w:numFmt w:val="lowerRoman"/>
      <w:start w:val="2"/>
    </w:lvl>
  </w:abstractNum>
  <w:abstractNum w:abstractNumId="533">
    <w:nsid w:val="6C0BE536"/>
    <w:multiLevelType w:val="hybridMultilevel"/>
    <w:lvl w:ilvl="0">
      <w:lvlJc w:val="left"/>
      <w:lvlText w:val="(%1)"/>
      <w:numFmt w:val="lowerLetter"/>
      <w:start w:val="1"/>
    </w:lvl>
    <w:lvl w:ilvl="1">
      <w:lvlJc w:val="left"/>
      <w:lvlText w:val="(%2)"/>
      <w:numFmt w:val="lowerRoman"/>
      <w:start w:val="1"/>
    </w:lvl>
  </w:abstractNum>
  <w:abstractNum w:abstractNumId="534">
    <w:nsid w:val="1E22BCB2"/>
    <w:multiLevelType w:val="hybridMultilevel"/>
    <w:lvl w:ilvl="0">
      <w:lvlJc w:val="left"/>
      <w:lvlText w:val="(%1)"/>
      <w:numFmt w:val="lowerLetter"/>
      <w:start w:val="2"/>
    </w:lvl>
    <w:lvl w:ilvl="1">
      <w:lvlJc w:val="left"/>
      <w:lvlText w:val="(%2)"/>
      <w:numFmt w:val="lowerRoman"/>
      <w:start w:val="1"/>
    </w:lvl>
  </w:abstractNum>
  <w:abstractNum w:abstractNumId="535">
    <w:nsid w:val="3565F1C8"/>
    <w:multiLevelType w:val="hybridMultilevel"/>
    <w:lvl w:ilvl="0">
      <w:lvlJc w:val="left"/>
      <w:lvlText w:val="(%1)"/>
      <w:numFmt w:val="lowerLetter"/>
      <w:start w:val="1"/>
    </w:lvl>
    <w:lvl w:ilvl="1">
      <w:lvlJc w:val="left"/>
      <w:lvlText w:val="(%2)"/>
      <w:numFmt w:val="lowerRoman"/>
      <w:start w:val="1"/>
    </w:lvl>
  </w:abstractNum>
  <w:abstractNum w:abstractNumId="536">
    <w:nsid w:val="5EA6D89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37">
    <w:nsid w:val="3D096BB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8">
    <w:nsid w:val="BD6D5B5"/>
    <w:multiLevelType w:val="hybridMultilevel"/>
    <w:lvl w:ilvl="0">
      <w:lvlJc w:val="left"/>
      <w:lvlText w:val="(%1)"/>
      <w:numFmt w:val="lowerLetter"/>
      <w:start w:val="1"/>
    </w:lvl>
  </w:abstractNum>
  <w:abstractNum w:abstractNumId="539">
    <w:nsid w:val="3B52115C"/>
    <w:multiLevelType w:val="hybridMultilevel"/>
    <w:lvl w:ilvl="0">
      <w:lvlJc w:val="left"/>
      <w:lvlText w:val="(%1)"/>
      <w:numFmt w:val="lowerLetter"/>
      <w:start w:val="1"/>
    </w:lvl>
  </w:abstractNum>
  <w:abstractNum w:abstractNumId="540">
    <w:nsid w:val="787AA59C"/>
    <w:multiLevelType w:val="hybridMultilevel"/>
    <w:lvl w:ilvl="0">
      <w:lvlJc w:val="left"/>
      <w:lvlText w:val="(%1)"/>
      <w:numFmt w:val="lowerLetter"/>
      <w:start w:val="4"/>
    </w:lvl>
  </w:abstractNum>
  <w:abstractNum w:abstractNumId="541">
    <w:nsid w:val="70BB9983"/>
    <w:multiLevelType w:val="hybridMultilevel"/>
    <w:lvl w:ilvl="0">
      <w:lvlJc w:val="left"/>
      <w:lvlText w:val="(%1)"/>
      <w:numFmt w:val="lowerLetter"/>
      <w:start w:val="1"/>
    </w:lvl>
    <w:lvl w:ilvl="1">
      <w:lvlJc w:val="left"/>
      <w:lvlText w:val="(%2)"/>
      <w:numFmt w:val="lowerRoman"/>
      <w:start w:val="1"/>
    </w:lvl>
  </w:abstractNum>
  <w:abstractNum w:abstractNumId="542">
    <w:nsid w:val="51EEBEEA"/>
    <w:multiLevelType w:val="hybridMultilevel"/>
    <w:lvl w:ilvl="0">
      <w:lvlJc w:val="left"/>
      <w:lvlText w:val="(%1)"/>
      <w:numFmt w:val="lowerLetter"/>
      <w:start w:val="1"/>
    </w:lvl>
  </w:abstractNum>
  <w:abstractNum w:abstractNumId="543">
    <w:nsid w:val="221A0CCD"/>
    <w:multiLevelType w:val="hybridMultilevel"/>
    <w:lvl w:ilvl="0">
      <w:lvlJc w:val="left"/>
      <w:lvlText w:val="%1"/>
      <w:numFmt w:val="decimal"/>
      <w:start w:val="41"/>
    </w:lvl>
  </w:abstractNum>
  <w:abstractNum w:abstractNumId="544">
    <w:nsid w:val="1B7CA0ED"/>
    <w:multiLevelType w:val="hybridMultilevel"/>
    <w:lvl w:ilvl="0">
      <w:lvlJc w:val="left"/>
      <w:lvlText w:val="(%1)"/>
      <w:numFmt w:val="lowerLetter"/>
      <w:start w:val="1"/>
    </w:lvl>
  </w:abstractNum>
  <w:abstractNum w:abstractNumId="545">
    <w:nsid w:val="2395A7FF"/>
    <w:multiLevelType w:val="hybridMultilevel"/>
    <w:lvl w:ilvl="0">
      <w:lvlJc w:val="left"/>
      <w:lvlText w:val="(%1)"/>
      <w:numFmt w:val="lowerLetter"/>
      <w:start w:val="1"/>
    </w:lvl>
  </w:abstractNum>
  <w:abstractNum w:abstractNumId="546">
    <w:nsid w:val="3965EB66"/>
    <w:multiLevelType w:val="hybridMultilevel"/>
    <w:lvl w:ilvl="0">
      <w:lvlJc w:val="left"/>
      <w:lvlText w:val="(%1)"/>
      <w:numFmt w:val="lowerLetter"/>
      <w:start w:val="1"/>
    </w:lvl>
  </w:abstractNum>
  <w:abstractNum w:abstractNumId="547">
    <w:nsid w:val="3AA88B3C"/>
    <w:multiLevelType w:val="hybridMultilevel"/>
    <w:lvl w:ilvl="0">
      <w:lvlJc w:val="left"/>
      <w:lvlText w:val="(%1)"/>
      <w:numFmt w:val="lowerLetter"/>
      <w:start w:val="3"/>
    </w:lvl>
  </w:abstractNum>
  <w:abstractNum w:abstractNumId="548">
    <w:nsid w:val="26BAF231"/>
    <w:multiLevelType w:val="hybridMultilevel"/>
    <w:lvl w:ilvl="0">
      <w:lvlJc w:val="left"/>
      <w:lvlText w:val="(%1)"/>
      <w:numFmt w:val="lowerLetter"/>
      <w:start w:val="1"/>
    </w:lvl>
    <w:lvl w:ilvl="1">
      <w:lvlJc w:val="left"/>
      <w:lvlText w:val="(%2)"/>
      <w:numFmt w:val="lowerRoman"/>
      <w:start w:val="1"/>
    </w:lvl>
  </w:abstractNum>
  <w:abstractNum w:abstractNumId="549">
    <w:nsid w:val="4B13A15A"/>
    <w:multiLevelType w:val="hybridMultilevel"/>
    <w:lvl w:ilvl="0">
      <w:lvlJc w:val="left"/>
      <w:lvlText w:val="%1"/>
      <w:numFmt w:val="lowerLetter"/>
      <w:start w:val="1"/>
    </w:lvl>
    <w:lvl w:ilvl="1">
      <w:lvlJc w:val="left"/>
      <w:lvlText w:val="(%2)"/>
      <w:numFmt w:val="lowerLetter"/>
      <w:start w:val="22"/>
    </w:lvl>
  </w:abstractNum>
  <w:abstractNum w:abstractNumId="550">
    <w:nsid w:val="701E8A0D"/>
    <w:multiLevelType w:val="hybridMultilevel"/>
    <w:lvl w:ilvl="0">
      <w:lvlJc w:val="left"/>
      <w:lvlText w:val="(%1)"/>
      <w:numFmt w:val="lowerLetter"/>
      <w:start w:val="5"/>
    </w:lvl>
    <w:lvl w:ilvl="1">
      <w:lvlJc w:val="left"/>
      <w:lvlText w:val="%2"/>
      <w:numFmt w:val="lowerLetter"/>
      <w:start w:val="1"/>
    </w:lvl>
  </w:abstractNum>
  <w:abstractNum w:abstractNumId="551">
    <w:nsid w:val="41E690CF"/>
    <w:multiLevelType w:val="hybridMultilevel"/>
    <w:lvl w:ilvl="0">
      <w:lvlJc w:val="left"/>
      <w:lvlText w:val="(%1)"/>
      <w:numFmt w:val="lowerLetter"/>
      <w:start w:val="1"/>
    </w:lvl>
    <w:lvl w:ilvl="1">
      <w:lvlJc w:val="left"/>
      <w:lvlText w:val="(%2)"/>
      <w:numFmt w:val="lowerRoman"/>
      <w:start w:val="1"/>
    </w:lvl>
  </w:abstractNum>
  <w:abstractNum w:abstractNumId="552">
    <w:nsid w:val="7C6489B6"/>
    <w:multiLevelType w:val="hybridMultilevel"/>
    <w:lvl w:ilvl="0">
      <w:lvlJc w:val="left"/>
      <w:lvlText w:val="%1"/>
      <w:numFmt w:val="decimal"/>
      <w:start w:val="43"/>
    </w:lvl>
  </w:abstractNum>
  <w:abstractNum w:abstractNumId="553">
    <w:nsid w:val="53AE65DE"/>
    <w:multiLevelType w:val="hybridMultilevel"/>
    <w:lvl w:ilvl="0">
      <w:lvlJc w:val="left"/>
      <w:lvlText w:val="(%1)"/>
      <w:numFmt w:val="lowerLetter"/>
      <w:start w:val="1"/>
    </w:lvl>
  </w:abstractNum>
  <w:abstractNum w:abstractNumId="554">
    <w:nsid w:val="527F603D"/>
    <w:multiLevelType w:val="hybridMultilevel"/>
    <w:lvl w:ilvl="0">
      <w:lvlJc w:val="left"/>
      <w:lvlText w:val="(%1)"/>
      <w:numFmt w:val="lowerRoman"/>
      <w:start w:val="1"/>
    </w:lvl>
  </w:abstractNum>
  <w:abstractNum w:abstractNumId="555">
    <w:nsid w:val="7E13D013"/>
    <w:multiLevelType w:val="hybridMultilevel"/>
    <w:lvl w:ilvl="0">
      <w:lvlJc w:val="left"/>
      <w:lvlText w:val="(%1)"/>
      <w:numFmt w:val="lowerLetter"/>
      <w:start w:val="2"/>
    </w:lvl>
  </w:abstractNum>
  <w:abstractNum w:abstractNumId="556">
    <w:nsid w:val="663BFE95"/>
    <w:multiLevelType w:val="hybridMultilevel"/>
    <w:lvl w:ilvl="0">
      <w:lvlJc w:val="left"/>
      <w:lvlText w:val="%1"/>
      <w:numFmt w:val="decimal"/>
      <w:start w:val="44"/>
    </w:lvl>
  </w:abstractNum>
  <w:abstractNum w:abstractNumId="557">
    <w:nsid w:val="31E0986F"/>
    <w:multiLevelType w:val="hybridMultilevel"/>
    <w:lvl w:ilvl="0">
      <w:lvlJc w:val="left"/>
      <w:lvlText w:val="(%1)"/>
      <w:numFmt w:val="lowerLetter"/>
      <w:start w:val="1"/>
    </w:lvl>
  </w:abstractNum>
  <w:abstractNum w:abstractNumId="558">
    <w:nsid w:val="41FCF274"/>
    <w:multiLevelType w:val="hybridMultilevel"/>
    <w:lvl w:ilvl="0">
      <w:lvlJc w:val="left"/>
      <w:lvlText w:val="(%1)"/>
      <w:numFmt w:val="lowerLetter"/>
      <w:start w:val="1"/>
    </w:lvl>
  </w:abstractNum>
  <w:abstractNum w:abstractNumId="559">
    <w:nsid w:val="294614F7"/>
    <w:multiLevelType w:val="hybridMultilevel"/>
    <w:lvl w:ilvl="0">
      <w:lvlJc w:val="left"/>
      <w:lvlText w:val="(%1)"/>
      <w:numFmt w:val="lowerLetter"/>
      <w:start w:val="4"/>
    </w:lvl>
    <w:lvl w:ilvl="1">
      <w:lvlJc w:val="left"/>
      <w:lvlText w:val="(%2)"/>
      <w:numFmt w:val="lowerRoman"/>
      <w:start w:val="1"/>
    </w:lvl>
  </w:abstractNum>
  <w:abstractNum w:abstractNumId="560">
    <w:nsid w:val="517DF487"/>
    <w:multiLevelType w:val="hybridMultilevel"/>
    <w:lvl w:ilvl="0">
      <w:lvlJc w:val="left"/>
      <w:lvlText w:val="(%1)"/>
      <w:numFmt w:val="lowerLetter"/>
      <w:start w:val="1"/>
    </w:lvl>
  </w:abstractNum>
  <w:abstractNum w:abstractNumId="561">
    <w:nsid w:val="5EBE0EAB"/>
    <w:multiLevelType w:val="hybridMultilevel"/>
    <w:lvl w:ilvl="0">
      <w:lvlJc w:val="left"/>
      <w:lvlText w:val="(%1)"/>
      <w:numFmt w:val="lowerLetter"/>
      <w:start w:val="3"/>
    </w:lvl>
  </w:abstractNum>
  <w:abstractNum w:abstractNumId="562">
    <w:nsid w:val="6E9DEAD0"/>
    <w:multiLevelType w:val="hybridMultilevel"/>
    <w:lvl w:ilvl="0">
      <w:lvlJc w:val="left"/>
      <w:lvlText w:val="(%1)"/>
      <w:numFmt w:val="lowerLetter"/>
      <w:start w:val="1"/>
    </w:lvl>
  </w:abstractNum>
  <w:abstractNum w:abstractNumId="563">
    <w:nsid w:val="4450AA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4">
    <w:nsid w:val="4AC9F3E2"/>
    <w:multiLevelType w:val="hybridMultilevel"/>
    <w:lvl w:ilvl="0">
      <w:lvlJc w:val="left"/>
      <w:lvlText w:val="(%1)"/>
      <w:numFmt w:val="lowerLetter"/>
      <w:start w:val="2"/>
    </w:lvl>
    <w:lvl w:ilvl="1">
      <w:lvlJc w:val="left"/>
      <w:lvlText w:val="(%2)"/>
      <w:numFmt w:val="lowerRoman"/>
      <w:start w:val="1"/>
    </w:lvl>
  </w:abstractNum>
  <w:abstractNum w:abstractNumId="565">
    <w:nsid w:val="CC0A782"/>
    <w:multiLevelType w:val="hybridMultilevel"/>
    <w:lvl w:ilvl="0">
      <w:lvlJc w:val="left"/>
      <w:lvlText w:val="(%1)"/>
      <w:numFmt w:val="lowerLetter"/>
      <w:start w:val="1"/>
    </w:lvl>
  </w:abstractNum>
  <w:abstractNum w:abstractNumId="566">
    <w:nsid w:val="79B69BC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7">
    <w:nsid w:val="2970CC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8">
    <w:nsid w:val="49CA1341"/>
    <w:multiLevelType w:val="hybridMultilevel"/>
    <w:lvl w:ilvl="0">
      <w:lvlJc w:val="left"/>
      <w:lvlText w:val="(%1)"/>
      <w:numFmt w:val="lowerLetter"/>
      <w:start w:val="1"/>
    </w:lvl>
  </w:abstractNum>
  <w:abstractNum w:abstractNumId="569">
    <w:nsid w:val="58D717E"/>
    <w:multiLevelType w:val="hybridMultilevel"/>
    <w:lvl w:ilvl="0">
      <w:lvlJc w:val="left"/>
      <w:lvlText w:val="(%1)"/>
      <w:numFmt w:val="lowerLetter"/>
      <w:start w:val="2"/>
    </w:lvl>
  </w:abstractNum>
  <w:abstractNum w:abstractNumId="570">
    <w:nsid w:val="64C2DDD5"/>
    <w:multiLevelType w:val="hybridMultilevel"/>
    <w:lvl w:ilvl="0">
      <w:lvlJc w:val="left"/>
      <w:lvlText w:val="(%1)"/>
      <w:numFmt w:val="lowerLetter"/>
      <w:start w:val="1"/>
    </w:lvl>
    <w:lvl w:ilvl="1">
      <w:lvlJc w:val="left"/>
      <w:lvlText w:val="(%2)"/>
      <w:numFmt w:val="lowerRoman"/>
      <w:start w:val="1"/>
    </w:lvl>
  </w:abstractNum>
  <w:abstractNum w:abstractNumId="571">
    <w:nsid w:val="4244B8DE"/>
    <w:multiLevelType w:val="hybridMultilevel"/>
    <w:lvl w:ilvl="0">
      <w:lvlJc w:val="left"/>
      <w:lvlText w:val="(%1)"/>
      <w:numFmt w:val="upperLetter"/>
      <w:start w:val="1"/>
    </w:lvl>
    <w:lvl w:ilvl="1">
      <w:lvlJc w:val="left"/>
      <w:lvlText w:val="(%2)"/>
      <w:numFmt w:val="decimal"/>
      <w:start w:val="1"/>
    </w:lvl>
  </w:abstractNum>
  <w:abstractNum w:abstractNumId="572">
    <w:nsid w:val="76490B01"/>
    <w:multiLevelType w:val="hybridMultilevel"/>
    <w:lvl w:ilvl="0">
      <w:lvlJc w:val="left"/>
      <w:lvlText w:val="(%1)"/>
      <w:numFmt w:val="lowerLetter"/>
      <w:start w:val="2"/>
    </w:lvl>
    <w:lvl w:ilvl="1">
      <w:lvlJc w:val="left"/>
      <w:lvlText w:val="(%2)"/>
      <w:numFmt w:val="lowerRoman"/>
      <w:start w:val="1"/>
    </w:lvl>
  </w:abstractNum>
  <w:abstractNum w:abstractNumId="573">
    <w:nsid w:val="36B19CBF"/>
    <w:multiLevelType w:val="hybridMultilevel"/>
    <w:lvl w:ilvl="0">
      <w:lvlJc w:val="left"/>
      <w:lvlText w:val="(%1)"/>
      <w:numFmt w:val="lowerLetter"/>
      <w:start w:val="4"/>
    </w:lvl>
    <w:lvl w:ilvl="1">
      <w:lvlJc w:val="left"/>
      <w:lvlText w:val="(%2)"/>
      <w:numFmt w:val="lowerRoman"/>
      <w:start w:val="1"/>
    </w:lvl>
  </w:abstractNum>
  <w:abstractNum w:abstractNumId="574">
    <w:nsid w:val="645EC5AB"/>
    <w:multiLevelType w:val="hybridMultilevel"/>
    <w:lvl w:ilvl="0">
      <w:lvlJc w:val="left"/>
      <w:lvlText w:val="(%1)"/>
      <w:numFmt w:val="lowerLetter"/>
      <w:start w:val="1"/>
    </w:lvl>
    <w:lvl w:ilvl="1">
      <w:lvlJc w:val="left"/>
      <w:lvlText w:val="(%2)"/>
      <w:numFmt w:val="lowerRoman"/>
      <w:start w:val="1"/>
    </w:lvl>
  </w:abstractNum>
  <w:abstractNum w:abstractNumId="575">
    <w:nsid w:val="11C5ABEF"/>
    <w:multiLevelType w:val="hybridMultilevel"/>
    <w:lvl w:ilvl="0">
      <w:lvlJc w:val="left"/>
      <w:lvlText w:val="(%1)"/>
      <w:numFmt w:val="lowerLetter"/>
      <w:start w:val="1"/>
    </w:lvl>
    <w:lvl w:ilvl="1">
      <w:lvlJc w:val="left"/>
      <w:lvlText w:val="(%2)"/>
      <w:numFmt w:val="lowerLetter"/>
      <w:start w:val="9"/>
    </w:lvl>
  </w:abstractNum>
  <w:abstractNum w:abstractNumId="576">
    <w:nsid w:val="5A4744BE"/>
    <w:multiLevelType w:val="hybridMultilevel"/>
    <w:lvl w:ilvl="0">
      <w:lvlJc w:val="left"/>
      <w:lvlText w:val="(%1)"/>
      <w:numFmt w:val="upperLetter"/>
      <w:start w:val="1"/>
    </w:lvl>
  </w:abstractNum>
  <w:abstractNum w:abstractNumId="577">
    <w:nsid w:val="1DC4B111"/>
    <w:multiLevelType w:val="hybridMultilevel"/>
    <w:lvl w:ilvl="0">
      <w:lvlJc w:val="left"/>
      <w:lvlText w:val="(%1)"/>
      <w:numFmt w:val="lowerLetter"/>
      <w:start w:val="3"/>
    </w:lvl>
    <w:lvl w:ilvl="1">
      <w:lvlJc w:val="left"/>
      <w:lvlText w:val="(%2)"/>
      <w:numFmt w:val="lowerRoman"/>
      <w:start w:val="1"/>
    </w:lvl>
  </w:abstractNum>
  <w:abstractNum w:abstractNumId="578">
    <w:nsid w:val="4C6E372B"/>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579">
    <w:nsid w:val="10236EF"/>
    <w:multiLevelType w:val="hybridMultilevel"/>
    <w:lvl w:ilvl="0">
      <w:lvlJc w:val="left"/>
      <w:lvlText w:val="(%1)"/>
      <w:numFmt w:val="lowerLetter"/>
      <w:start w:val="2"/>
    </w:lvl>
  </w:abstractNum>
  <w:abstractNum w:abstractNumId="580">
    <w:nsid w:val="68D8526B"/>
    <w:multiLevelType w:val="hybridMultilevel"/>
    <w:lvl w:ilvl="0">
      <w:lvlJc w:val="left"/>
      <w:lvlText w:val="(%1)"/>
      <w:numFmt w:val="lowerRoman"/>
      <w:start w:val="1"/>
    </w:lvl>
  </w:abstractNum>
  <w:abstractNum w:abstractNumId="581">
    <w:nsid w:val="3C8CC138"/>
    <w:multiLevelType w:val="hybridMultilevel"/>
    <w:lvl w:ilvl="0">
      <w:lvlJc w:val="left"/>
      <w:lvlText w:val="(%1)"/>
      <w:numFmt w:val="decimal"/>
      <w:start w:val="1"/>
    </w:lvl>
  </w:abstractNum>
  <w:abstractNum w:abstractNumId="582">
    <w:nsid w:val="42E8C7BE"/>
    <w:multiLevelType w:val="hybridMultilevel"/>
    <w:lvl w:ilvl="0">
      <w:lvlJc w:val="left"/>
      <w:lvlText w:val="%1"/>
      <w:numFmt w:val="lowerRoman"/>
      <w:start w:val="1"/>
    </w:lvl>
    <w:lvl w:ilvl="1">
      <w:lvlJc w:val="left"/>
      <w:lvlText w:val="(%2)"/>
      <w:numFmt w:val="upperLetter"/>
      <w:start w:val="2"/>
    </w:lvl>
  </w:abstractNum>
  <w:abstractNum w:abstractNumId="583">
    <w:nsid w:val="653CDC22"/>
    <w:multiLevelType w:val="hybridMultilevel"/>
    <w:lvl w:ilvl="0">
      <w:lvlJc w:val="left"/>
      <w:lvlText w:val="(%1)"/>
      <w:numFmt w:val="lowerRoman"/>
      <w:start w:val="3"/>
    </w:lvl>
    <w:lvl w:ilvl="1">
      <w:lvlJc w:val="left"/>
      <w:lvlText w:val="(%2)"/>
      <w:numFmt w:val="upperLetter"/>
      <w:start w:val="1"/>
    </w:lvl>
  </w:abstractNum>
  <w:abstractNum w:abstractNumId="584">
    <w:nsid w:val="103B2716"/>
    <w:multiLevelType w:val="hybridMultilevel"/>
    <w:lvl w:ilvl="0">
      <w:lvlJc w:val="left"/>
      <w:lvlText w:val="(%1)"/>
      <w:numFmt w:val="lowerLetter"/>
      <w:start w:val="1"/>
    </w:lvl>
    <w:lvl w:ilvl="1">
      <w:lvlJc w:val="left"/>
      <w:lvlText w:val="(%2)"/>
      <w:numFmt w:val="lowerRoman"/>
      <w:start w:val="1"/>
    </w:lvl>
  </w:abstractNum>
  <w:abstractNum w:abstractNumId="585">
    <w:nsid w:val="156827FB"/>
    <w:multiLevelType w:val="hybridMultilevel"/>
    <w:lvl w:ilvl="0">
      <w:lvlJc w:val="left"/>
      <w:lvlText w:val="%1"/>
      <w:numFmt w:val="decimal"/>
      <w:start w:val="47"/>
    </w:lvl>
  </w:abstractNum>
  <w:abstractNum w:abstractNumId="586">
    <w:nsid w:val="6350AC35"/>
    <w:multiLevelType w:val="hybridMultilevel"/>
    <w:lvl w:ilvl="0">
      <w:lvlJc w:val="left"/>
      <w:lvlText w:val="(%1)"/>
      <w:numFmt w:val="lowerLetter"/>
      <w:start w:val="1"/>
    </w:lvl>
    <w:lvl w:ilvl="1">
      <w:lvlJc w:val="left"/>
      <w:lvlText w:val="(%2)"/>
      <w:numFmt w:val="lowerRoman"/>
      <w:start w:val="1"/>
    </w:lvl>
  </w:abstractNum>
  <w:abstractNum w:abstractNumId="587">
    <w:nsid w:val="767725AB"/>
    <w:multiLevelType w:val="hybridMultilevel"/>
    <w:lvl w:ilvl="0">
      <w:lvlJc w:val="left"/>
      <w:lvlText w:val="(%1)"/>
      <w:numFmt w:val="lowerRoman"/>
      <w:start w:val="4"/>
    </w:lvl>
    <w:lvl w:ilvl="1">
      <w:lvlJc w:val="left"/>
      <w:lvlText w:val="(%2)"/>
      <w:numFmt w:val="lowerRoman"/>
      <w:start w:val="2"/>
    </w:lvl>
  </w:abstractNum>
  <w:abstractNum w:abstractNumId="588">
    <w:nsid w:val="4748C06A"/>
    <w:multiLevelType w:val="hybridMultilevel"/>
    <w:lvl w:ilvl="0">
      <w:lvlJc w:val="left"/>
      <w:lvlText w:val="%1"/>
      <w:numFmt w:val="lowerRoman"/>
      <w:start w:val="1"/>
    </w:lvl>
    <w:lvl w:ilvl="1">
      <w:lvlJc w:val="left"/>
      <w:lvlText w:val="(%2)"/>
      <w:numFmt w:val="upperLetter"/>
      <w:start w:val="1"/>
    </w:lvl>
  </w:abstractNum>
  <w:abstractNum w:abstractNumId="589">
    <w:nsid w:val="254D9EA9"/>
    <w:multiLevelType w:val="hybridMultilevel"/>
    <w:lvl w:ilvl="0">
      <w:lvlJc w:val="left"/>
      <w:lvlText w:val="(%1)"/>
      <w:numFmt w:val="lowerRoman"/>
      <w:start w:val="11"/>
    </w:lvl>
    <w:lvl w:ilvl="1">
      <w:lvlJc w:val="left"/>
      <w:lvlText w:val="%2"/>
      <w:numFmt w:val="upperLetter"/>
      <w:start w:val="1"/>
    </w:lvl>
  </w:abstractNum>
  <w:abstractNum w:abstractNumId="590">
    <w:nsid w:val="1FBD3AA3"/>
    <w:multiLevelType w:val="hybridMultilevel"/>
    <w:lvl w:ilvl="0">
      <w:lvlJc w:val="left"/>
      <w:lvlText w:val="(%1)"/>
      <w:numFmt w:val="lowerRoman"/>
      <w:start w:val="12"/>
    </w:lvl>
  </w:abstractNum>
  <w:abstractNum w:abstractNumId="591">
    <w:nsid w:val="18C6B4F2"/>
    <w:multiLevelType w:val="hybridMultilevel"/>
    <w:lvl w:ilvl="0">
      <w:lvlJc w:val="left"/>
      <w:lvlText w:val="(%1)"/>
      <w:numFmt w:val="lowerLetter"/>
      <w:start w:val="1"/>
    </w:lvl>
    <w:lvl w:ilvl="1">
      <w:lvlJc w:val="left"/>
      <w:lvlText w:val="(%2)"/>
      <w:numFmt w:val="lowerRoman"/>
      <w:start w:val="1"/>
    </w:lvl>
  </w:abstractNum>
  <w:abstractNum w:abstractNumId="592">
    <w:nsid w:val="40BAD55"/>
    <w:multiLevelType w:val="hybridMultilevel"/>
    <w:lvl w:ilvl="0">
      <w:lvlJc w:val="left"/>
      <w:lvlText w:val="(%1)"/>
      <w:numFmt w:val="lowerRoman"/>
      <w:start w:val="12"/>
    </w:lvl>
  </w:abstractNum>
  <w:abstractNum w:abstractNumId="593">
    <w:nsid w:val="E5B2573"/>
    <w:multiLevelType w:val="hybridMultilevel"/>
    <w:lvl w:ilvl="0">
      <w:lvlJc w:val="left"/>
      <w:lvlText w:val="(%1)"/>
      <w:numFmt w:val="lowerRoman"/>
      <w:start w:val="14"/>
    </w:lvl>
  </w:abstractNum>
  <w:abstractNum w:abstractNumId="594">
    <w:nsid w:val="5D175EF2"/>
    <w:multiLevelType w:val="hybridMultilevel"/>
    <w:lvl w:ilvl="0">
      <w:lvlJc w:val="left"/>
      <w:lvlText w:val="(%1)"/>
      <w:numFmt w:val="lowerLetter"/>
      <w:start w:val="2"/>
    </w:lvl>
    <w:lvl w:ilvl="1">
      <w:lvlJc w:val="left"/>
      <w:lvlText w:val="(%2)"/>
      <w:numFmt w:val="lowerRoman"/>
      <w:start w:val="1"/>
    </w:lvl>
  </w:abstractNum>
  <w:abstractNum w:abstractNumId="595">
    <w:nsid w:val="4ED5A137"/>
    <w:multiLevelType w:val="hybridMultilevel"/>
    <w:lvl w:ilvl="0">
      <w:lvlJc w:val="left"/>
      <w:lvlText w:val="(%1)"/>
      <w:numFmt w:val="lowerRoman"/>
      <w:start w:val="2"/>
    </w:lvl>
  </w:abstractNum>
  <w:abstractNum w:abstractNumId="596">
    <w:nsid w:val="1B1BCCF5"/>
    <w:multiLevelType w:val="hybridMultilevel"/>
    <w:lvl w:ilvl="0">
      <w:lvlJc w:val="left"/>
      <w:lvlText w:val="(%1)"/>
      <w:numFmt w:val="lowerLetter"/>
      <w:start w:val="1"/>
    </w:lvl>
  </w:abstractNum>
  <w:abstractNum w:abstractNumId="597">
    <w:nsid w:val="56CDFABB"/>
    <w:multiLevelType w:val="hybridMultilevel"/>
    <w:lvl w:ilvl="0">
      <w:lvlJc w:val="left"/>
      <w:lvlText w:val="(%1)"/>
      <w:numFmt w:val="lowerLetter"/>
      <w:start w:val="1"/>
    </w:lvl>
  </w:abstractNum>
  <w:abstractNum w:abstractNumId="598">
    <w:nsid w:val="78466DAF"/>
    <w:multiLevelType w:val="hybridMultilevel"/>
    <w:lvl w:ilvl="0">
      <w:lvlJc w:val="left"/>
      <w:lvlText w:val="(%1)"/>
      <w:numFmt w:val="lowerLetter"/>
      <w:start w:val="1"/>
    </w:lvl>
  </w:abstractNum>
  <w:abstractNum w:abstractNumId="599">
    <w:nsid w:val="64E5E036"/>
    <w:multiLevelType w:val="hybridMultilevel"/>
    <w:lvl w:ilvl="0">
      <w:lvlJc w:val="left"/>
      <w:lvlText w:val="(%1)"/>
      <w:numFmt w:val="lowerLetter"/>
      <w:start w:val="2"/>
    </w:lvl>
  </w:abstractNum>
  <w:abstractNum w:abstractNumId="600">
    <w:nsid w:val="5C5B6C3A"/>
    <w:multiLevelType w:val="hybridMultilevel"/>
    <w:lvl w:ilvl="0">
      <w:lvlJc w:val="left"/>
      <w:lvlText w:val="(%1)"/>
      <w:numFmt w:val="lowerLetter"/>
      <w:start w:val="1"/>
    </w:lvl>
    <w:lvl w:ilvl="1">
      <w:lvlJc w:val="left"/>
      <w:lvlText w:val="(%2)"/>
      <w:numFmt w:val="lowerRoman"/>
      <w:start w:val="1"/>
    </w:lvl>
  </w:abstractNum>
  <w:abstractNum w:abstractNumId="601">
    <w:nsid w:val="5D094B84"/>
    <w:multiLevelType w:val="hybridMultilevel"/>
    <w:lvl w:ilvl="0">
      <w:lvlJc w:val="left"/>
      <w:lvlText w:val="%1"/>
      <w:numFmt w:val="decimal"/>
      <w:start w:val="48"/>
    </w:lvl>
  </w:abstractNum>
  <w:abstractNum w:abstractNumId="602">
    <w:nsid w:val="272A9914"/>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abstractNum>
  <w:abstractNum w:abstractNumId="603">
    <w:nsid w:val="52A4773B"/>
    <w:multiLevelType w:val="hybridMultilevel"/>
    <w:lvl w:ilvl="0">
      <w:lvlJc w:val="left"/>
      <w:lvlText w:val="%1"/>
      <w:numFmt w:val="decimal"/>
      <w:start w:val="50"/>
    </w:lvl>
  </w:abstractNum>
  <w:abstractNum w:abstractNumId="604">
    <w:nsid w:val="13BAE843"/>
    <w:multiLevelType w:val="hybridMultilevel"/>
    <w:lvl w:ilvl="0">
      <w:lvlJc w:val="left"/>
      <w:lvlText w:val="(%1)"/>
      <w:numFmt w:val="lowerLetter"/>
      <w:start w:val="1"/>
    </w:lvl>
  </w:abstractNum>
  <w:abstractNum w:abstractNumId="605">
    <w:nsid w:val="B895EBF"/>
    <w:multiLevelType w:val="hybridMultilevel"/>
    <w:lvl w:ilvl="0">
      <w:lvlJc w:val="left"/>
      <w:lvlText w:val="(%1)"/>
      <w:numFmt w:val="lowerLetter"/>
      <w:start w:val="1"/>
    </w:lvl>
  </w:abstractNum>
  <w:abstractNum w:abstractNumId="606">
    <w:nsid w:val="646A232A"/>
    <w:multiLevelType w:val="hybridMultilevel"/>
    <w:lvl w:ilvl="0">
      <w:lvlJc w:val="left"/>
      <w:lvlText w:val="%1"/>
      <w:numFmt w:val="decimal"/>
      <w:start w:val="25"/>
    </w:lvl>
  </w:abstractNum>
  <w:abstractNum w:abstractNumId="607">
    <w:nsid w:val="6E022D01"/>
    <w:multiLevelType w:val="hybridMultilevel"/>
    <w:lvl w:ilvl="0">
      <w:lvlJc w:val="left"/>
      <w:lvlText w:val="%1"/>
      <w:numFmt w:val="decimal"/>
      <w:start w:val="25"/>
    </w:lvl>
  </w:abstractNum>
  <w:abstractNum w:abstractNumId="608">
    <w:nsid w:val="294E0FD0"/>
    <w:multiLevelType w:val="hybridMultilevel"/>
    <w:lvl w:ilvl="0">
      <w:lvlJc w:val="left"/>
      <w:lvlText w:val="%1"/>
      <w:numFmt w:val="decimal"/>
      <w:start w:val="25"/>
    </w:lvl>
  </w:abstractNum>
  <w:abstractNum w:abstractNumId="609">
    <w:nsid w:val="30D85A55"/>
    <w:multiLevelType w:val="hybridMultilevel"/>
    <w:lvl w:ilvl="0">
      <w:lvlJc w:val="left"/>
      <w:lvlText w:val="%1"/>
      <w:numFmt w:val="decimal"/>
      <w:start w:val="25"/>
    </w:lvl>
  </w:abstractNum>
  <w:abstractNum w:abstractNumId="610">
    <w:nsid w:val="6F0463F1"/>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611">
    <w:nsid w:val="1226623C"/>
    <w:multiLevelType w:val="hybridMultilevel"/>
    <w:lvl w:ilvl="0">
      <w:lvlJc w:val="left"/>
      <w:lvlText w:val="2"/>
      <w:numFmt w:val="bullet"/>
      <w:start w:val="1"/>
    </w:lvl>
    <w:lvl w:ilvl="1">
      <w:lvlJc w:val="left"/>
      <w:lvlText w:val="(%2)"/>
      <w:numFmt w:val="lowerLetter"/>
      <w:start w:val="1"/>
    </w:lvl>
  </w:abstractNum>
  <w:abstractNum w:abstractNumId="612">
    <w:nsid w:val="6D651B8D"/>
    <w:multiLevelType w:val="hybridMultilevel"/>
    <w:lvl w:ilvl="0">
      <w:lvlJc w:val="left"/>
      <w:lvlText w:val="(%1)"/>
      <w:numFmt w:val="lowerLetter"/>
      <w:start w:val="2"/>
    </w:lvl>
  </w:abstractNum>
  <w:abstractNum w:abstractNumId="613">
    <w:nsid w:val="31ED2BAF"/>
    <w:multiLevelType w:val="hybridMultilevel"/>
    <w:lvl w:ilvl="0">
      <w:lvlJc w:val="left"/>
      <w:lvlText w:val="3"/>
      <w:numFmt w:val="bullet"/>
      <w:start w:val="1"/>
    </w:lvl>
    <w:lvl w:ilvl="1">
      <w:lvlJc w:val="left"/>
      <w:lvlText w:val="(%2)"/>
      <w:numFmt w:val="lowerLetter"/>
      <w:start w:val="1"/>
    </w:lvl>
  </w:abstractNum>
  <w:abstractNum w:abstractNumId="614">
    <w:nsid w:val="77633E5E"/>
    <w:multiLevelType w:val="hybridMultilevel"/>
    <w:lvl w:ilvl="0">
      <w:lvlJc w:val="left"/>
      <w:lvlText w:val="4"/>
      <w:numFmt w:val="bullet"/>
      <w:start w:val="1"/>
    </w:lvl>
  </w:abstractNum>
  <w:abstractNum w:abstractNumId="615">
    <w:nsid w:val="7DA042A3"/>
    <w:multiLevelType w:val="hybridMultilevel"/>
    <w:lvl w:ilvl="0">
      <w:lvlJc w:val="left"/>
      <w:lvlText w:val="5"/>
      <w:numFmt w:val="bullet"/>
      <w:start w:val="1"/>
    </w:lvl>
  </w:abstractNum>
  <w:abstractNum w:abstractNumId="616">
    <w:nsid w:val="475553AB"/>
    <w:multiLevelType w:val="hybridMultilevel"/>
    <w:lvl w:ilvl="0">
      <w:lvlJc w:val="left"/>
      <w:lvlText w:val="6"/>
      <w:numFmt w:val="bullet"/>
      <w:start w:val="1"/>
    </w:lvl>
  </w:abstractNum>
  <w:abstractNum w:abstractNumId="617">
    <w:nsid w:val="5AB3EA93"/>
    <w:multiLevelType w:val="hybridMultilevel"/>
    <w:lvl w:ilvl="0">
      <w:lvlJc w:val="left"/>
      <w:lvlText w:val="1"/>
      <w:numFmt w:val="bullet"/>
      <w:start w:val="1"/>
    </w:lvl>
    <w:lvl w:ilvl="1">
      <w:lvlJc w:val="left"/>
      <w:lvlText w:val="(%2)"/>
      <w:numFmt w:val="lowerLetter"/>
      <w:start w:val="1"/>
    </w:lvl>
  </w:abstractNum>
  <w:abstractNum w:abstractNumId="618">
    <w:nsid w:val="7417684F"/>
    <w:multiLevelType w:val="hybridMultilevel"/>
    <w:lvl w:ilvl="0">
      <w:lvlJc w:val="left"/>
      <w:lvlText w:val="2"/>
      <w:numFmt w:val="bullet"/>
      <w:start w:val="1"/>
    </w:lvl>
    <w:lvl w:ilvl="1">
      <w:lvlJc w:val="left"/>
      <w:lvlText w:val="(%2)"/>
      <w:numFmt w:val="lowerLetter"/>
      <w:start w:val="1"/>
    </w:lvl>
  </w:abstractNum>
  <w:abstractNum w:abstractNumId="619">
    <w:nsid w:val="E9E1415"/>
    <w:multiLevelType w:val="hybridMultilevel"/>
    <w:lvl w:ilvl="0">
      <w:lvlJc w:val="left"/>
      <w:lvlText w:val="3"/>
      <w:numFmt w:val="bullet"/>
      <w:start w:val="1"/>
    </w:lvl>
    <w:lvl w:ilvl="1">
      <w:lvlJc w:val="left"/>
      <w:lvlText w:val="(%2)"/>
      <w:numFmt w:val="lowerLetter"/>
      <w:start w:val="1"/>
    </w:lvl>
  </w:abstractNum>
  <w:abstractNum w:abstractNumId="620">
    <w:nsid w:val="1893D"/>
    <w:multiLevelType w:val="hybridMultilevel"/>
    <w:lvl w:ilvl="0">
      <w:lvlJc w:val="left"/>
      <w:lvlText w:val="4"/>
      <w:numFmt w:val="bullet"/>
      <w:start w:val="1"/>
    </w:lvl>
  </w:abstractNum>
  <w:abstractNum w:abstractNumId="621">
    <w:nsid w:val="13D4A2F2"/>
    <w:multiLevelType w:val="hybridMultilevel"/>
    <w:lvl w:ilvl="0">
      <w:lvlJc w:val="left"/>
      <w:lvlText w:val="5"/>
      <w:numFmt w:val="bullet"/>
      <w:start w:val="1"/>
    </w:lvl>
    <w:lvl w:ilvl="1">
      <w:lvlJc w:val="left"/>
      <w:lvlText w:val="(%2)"/>
      <w:numFmt w:val="lowerLetter"/>
      <w:start w:val="1"/>
    </w:lvl>
  </w:abstractNum>
  <w:abstractNum w:abstractNumId="622">
    <w:nsid w:val="2764C907"/>
    <w:multiLevelType w:val="hybridMultilevel"/>
    <w:lvl w:ilvl="0">
      <w:lvlJc w:val="left"/>
      <w:lvlText w:val="6"/>
      <w:numFmt w:val="bullet"/>
      <w:start w:val="1"/>
    </w:lvl>
    <w:lvl w:ilvl="1">
      <w:lvlJc w:val="left"/>
      <w:lvlText w:val="(%2)"/>
      <w:numFmt w:val="lowerLetter"/>
      <w:start w:val="1"/>
    </w:lvl>
  </w:abstractNum>
  <w:abstractNum w:abstractNumId="623">
    <w:nsid w:val="40D3692"/>
    <w:multiLevelType w:val="hybridMultilevel"/>
    <w:lvl w:ilvl="0">
      <w:lvlJc w:val="left"/>
      <w:lvlText w:val="7"/>
      <w:numFmt w:val="bullet"/>
      <w:start w:val="1"/>
    </w:lvl>
    <w:lvl w:ilvl="1">
      <w:lvlJc w:val="left"/>
      <w:lvlText w:val="(%2)"/>
      <w:numFmt w:val="lowerLetter"/>
      <w:start w:val="1"/>
    </w:lvl>
  </w:abstractNum>
  <w:abstractNum w:abstractNumId="624">
    <w:nsid w:val="222FC865"/>
    <w:multiLevelType w:val="hybridMultilevel"/>
    <w:lvl w:ilvl="0">
      <w:lvlJc w:val="left"/>
      <w:lvlText w:val="8"/>
      <w:numFmt w:val="bullet"/>
      <w:start w:val="1"/>
    </w:lvl>
  </w:abstractNum>
  <w:abstractNum w:abstractNumId="625">
    <w:nsid w:val="47C27FA"/>
    <w:multiLevelType w:val="hybridMultilevel"/>
    <w:lvl w:ilvl="0">
      <w:lvlJc w:val="left"/>
      <w:lvlText w:val="9"/>
      <w:numFmt w:val="bullet"/>
      <w:start w:val="1"/>
    </w:lvl>
  </w:abstractNum>
  <w:abstractNum w:abstractNumId="626">
    <w:nsid w:val="52E2D7C9"/>
    <w:multiLevelType w:val="hybridMultilevel"/>
    <w:lvl w:ilvl="0">
      <w:lvlJc w:val="left"/>
      <w:lvlText w:val="%1"/>
      <w:numFmt w:val="decimal"/>
      <w:start w:val="10"/>
    </w:lvl>
    <w:lvl w:ilvl="1">
      <w:lvlJc w:val="left"/>
      <w:lvlText w:val="(%2)"/>
      <w:numFmt w:val="lowerLetter"/>
      <w:start w:val="1"/>
    </w:lvl>
  </w:abstractNum>
  <w:abstractNum w:abstractNumId="627">
    <w:nsid w:val="3D4B955A"/>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628">
    <w:nsid w:val="5B4A22B5"/>
    <w:multiLevelType w:val="hybridMultilevel"/>
    <w:lvl w:ilvl="0">
      <w:lvlJc w:val="left"/>
      <w:lvlText w:val="(%1)"/>
      <w:numFmt w:val="lowerLetter"/>
      <w:start w:val="1"/>
    </w:lvl>
  </w:abstractNum>
  <w:abstractNum w:abstractNumId="629">
    <w:nsid w:val="4B294578"/>
    <w:multiLevelType w:val="hybridMultilevel"/>
    <w:lvl w:ilvl="0">
      <w:lvlJc w:val="left"/>
      <w:lvlText w:val="(%1)"/>
      <w:numFmt w:val="lowerLetter"/>
      <w:start w:val="1"/>
    </w:lvl>
    <w:lvl w:ilvl="1">
      <w:lvlJc w:val="left"/>
      <w:lvlText w:val="(%2)"/>
      <w:numFmt w:val="lowerRoman"/>
      <w:start w:val="1"/>
    </w:lvl>
  </w:abstractNum>
  <w:abstractNum w:abstractNumId="630">
    <w:nsid w:val="22317590"/>
    <w:multiLevelType w:val="hybridMultilevel"/>
    <w:lvl w:ilvl="0">
      <w:lvlJc w:val="left"/>
      <w:lvlText w:val="(%1)"/>
      <w:numFmt w:val="lowerLetter"/>
      <w:start w:val="1"/>
    </w:lvl>
  </w:abstractNum>
  <w:abstractNum w:abstractNumId="631">
    <w:nsid w:val="37A58EEF"/>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abstractNum>
  <w:abstractNum w:abstractNumId="632">
    <w:nsid w:val="283290FD"/>
    <w:multiLevelType w:val="hybridMultilevel"/>
    <w:lvl w:ilvl="0">
      <w:lvlJc w:val="left"/>
      <w:lvlText w:val="3"/>
      <w:numFmt w:val="bullet"/>
      <w:start w:val="1"/>
    </w:lvl>
    <w:lvl w:ilvl="1">
      <w:lvlJc w:val="left"/>
      <w:lvlText w:val="(%2)"/>
      <w:numFmt w:val="lowerLetter"/>
      <w:start w:val="1"/>
    </w:lvl>
  </w:abstractNum>
  <w:abstractNum w:abstractNumId="633">
    <w:nsid w:val="495C0EA5"/>
    <w:multiLevelType w:val="hybridMultilevel"/>
    <w:lvl w:ilvl="0">
      <w:lvlJc w:val="left"/>
      <w:lvlText w:val="·"/>
      <w:numFmt w:val="bullet"/>
      <w:start w:val="1"/>
    </w:lvl>
  </w:abstractNum>
  <w:abstractNum w:abstractNumId="634">
    <w:nsid w:val="A4A062B"/>
    <w:multiLevelType w:val="hybridMultilevel"/>
    <w:lvl w:ilvl="0">
      <w:lvlJc w:val="left"/>
      <w:lvlText w:val="·"/>
      <w:numFmt w:val="bullet"/>
      <w:start w:val="1"/>
    </w:lvl>
  </w:abstractNum>
  <w:abstractNum w:abstractNumId="635">
    <w:nsid w:val="3BED7940"/>
    <w:multiLevelType w:val="hybridMultilevel"/>
    <w:lvl w:ilvl="0">
      <w:lvlJc w:val="left"/>
      <w:lvlText w:val="1"/>
      <w:numFmt w:val="bullet"/>
      <w:start w:val="1"/>
    </w:lvl>
  </w:abstractNum>
  <w:abstractNum w:abstractNumId="636">
    <w:nsid w:val="54E56D64"/>
    <w:multiLevelType w:val="hybridMultilevel"/>
    <w:lvl w:ilvl="0">
      <w:lvlJc w:val="left"/>
      <w:lvlText w:val="2"/>
      <w:numFmt w:val="bullet"/>
      <w:start w:val="1"/>
    </w:lvl>
  </w:abstractNum>
  <w:abstractNum w:abstractNumId="637">
    <w:nsid w:val="6EB42955"/>
    <w:multiLevelType w:val="hybridMultilevel"/>
    <w:lvl w:ilvl="0">
      <w:lvlJc w:val="left"/>
      <w:lvlText w:val="%1."/>
      <w:numFmt w:val="decimal"/>
      <w:start w:val="1"/>
    </w:lvl>
    <w:lvl w:ilvl="1">
      <w:lvlJc w:val="left"/>
      <w:lvlText w:val="(%2)"/>
      <w:numFmt w:val="lowerLetter"/>
      <w:start w:val="1"/>
    </w:lvl>
  </w:abstractNum>
  <w:abstractNum w:abstractNumId="638">
    <w:nsid w:val="29EFA642"/>
    <w:multiLevelType w:val="hybridMultilevel"/>
    <w:lvl w:ilvl="0">
      <w:lvlJc w:val="left"/>
      <w:lvlText w:val="%1."/>
      <w:numFmt w:val="decimal"/>
      <w:start w:val="1"/>
    </w:lvl>
    <w:lvl w:ilvl="1">
      <w:lvlJc w:val="left"/>
      <w:lvlText w:val="(%2)"/>
      <w:numFmt w:val="lowerLetter"/>
      <w:start w:val="1"/>
    </w:lvl>
  </w:abstractNum>
  <w:abstractNum w:abstractNumId="639">
    <w:nsid w:val="7E337D35"/>
    <w:multiLevelType w:val="hybridMultilevel"/>
    <w:lvl w:ilvl="0">
      <w:lvlJc w:val="left"/>
      <w:lvlText w:val="%1."/>
      <w:numFmt w:val="decimal"/>
      <w:start w:val="1"/>
    </w:lvl>
  </w:abstractNum>
  <w:abstractNum w:abstractNumId="640">
    <w:nsid w:val="1F8C83AB"/>
    <w:multiLevelType w:val="hybridMultilevel"/>
    <w:lvl w:ilvl="0">
      <w:lvlJc w:val="left"/>
      <w:lvlText w:val="%1."/>
      <w:numFmt w:val="decimal"/>
      <w:start w:val="1"/>
    </w:lvl>
  </w:abstractNum>
  <w:abstractNum w:abstractNumId="641">
    <w:nsid w:val="18F40A33"/>
    <w:multiLevelType w:val="hybridMultilevel"/>
    <w:lvl w:ilvl="0">
      <w:lvlJc w:val="left"/>
      <w:lvlText w:val="%1."/>
      <w:numFmt w:val="decimal"/>
      <w:start w:val="1"/>
    </w:lvl>
  </w:abstractNum>
  <w:abstractNum w:abstractNumId="642">
    <w:nsid w:val="1059DF71"/>
    <w:multiLevelType w:val="hybridMultilevel"/>
    <w:lvl w:ilvl="0">
      <w:lvlJc w:val="left"/>
      <w:lvlText w:val="%1."/>
      <w:numFmt w:val="decimal"/>
      <w:start w:val="2"/>
    </w:lvl>
  </w:abstractNum>
  <w:abstractNum w:abstractNumId="643">
    <w:nsid w:val="CF19F38"/>
    <w:multiLevelType w:val="hybridMultilevel"/>
    <w:lvl w:ilvl="0">
      <w:lvlJc w:val="left"/>
      <w:lvlText w:val="%1."/>
      <w:numFmt w:val="decimal"/>
      <w:start w:val="3"/>
    </w:lvl>
  </w:abstractNum>
  <w:abstractNum w:abstractNumId="644">
    <w:nsid w:val="4AE135E2"/>
    <w:multiLevelType w:val="hybridMultilevel"/>
    <w:lvl w:ilvl="0">
      <w:lvlJc w:val="left"/>
      <w:lvlText w:val="%1."/>
      <w:numFmt w:val="decimal"/>
      <w:start w:val="4"/>
    </w:lvl>
  </w:abstractNum>
  <w:abstractNum w:abstractNumId="645">
    <w:nsid w:val="7BD1DCF"/>
    <w:multiLevelType w:val="hybridMultilevel"/>
    <w:lvl w:ilvl="0">
      <w:lvlJc w:val="left"/>
      <w:lvlText w:val="%1."/>
      <w:numFmt w:val="decimal"/>
      <w:start w:val="5"/>
    </w:lvl>
  </w:abstractNum>
  <w:abstractNum w:abstractNumId="646">
    <w:nsid w:val="A91E1DC"/>
    <w:multiLevelType w:val="hybridMultilevel"/>
    <w:lvl w:ilvl="0">
      <w:lvlJc w:val="left"/>
      <w:lvlText w:val="%1."/>
      <w:numFmt w:val="decimal"/>
      <w:start w:val="6"/>
    </w:lvl>
  </w:abstractNum>
  <w:abstractNum w:abstractNumId="647">
    <w:nsid w:val="1236898D"/>
    <w:multiLevelType w:val="hybridMultilevel"/>
    <w:lvl w:ilvl="0">
      <w:lvlJc w:val="left"/>
      <w:lvlText w:val="%1."/>
      <w:numFmt w:val="decimal"/>
      <w:start w:val="7"/>
    </w:lvl>
  </w:abstractNum>
  <w:abstractNum w:abstractNumId="648">
    <w:nsid w:val="62710862"/>
    <w:multiLevelType w:val="hybridMultilevel"/>
    <w:lvl w:ilvl="0">
      <w:lvlJc w:val="left"/>
      <w:lvlText w:val="(%1)"/>
      <w:numFmt w:val="lowerRoman"/>
      <w:start w:val="1"/>
    </w:lvl>
  </w:abstractNum>
  <w:abstractNum w:abstractNumId="649">
    <w:nsid w:val="7EA94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jpe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jpeg"/><Relationship Id="rId416" Type="http://schemas.openxmlformats.org/officeDocument/2006/relationships/image" Target="media/image402.png"/><Relationship Id="rId417" Type="http://schemas.openxmlformats.org/officeDocument/2006/relationships/image" Target="media/image403.jpeg"/><Relationship Id="rId418" Type="http://schemas.openxmlformats.org/officeDocument/2006/relationships/image" Target="media/image404.png"/><Relationship Id="rId419" Type="http://schemas.openxmlformats.org/officeDocument/2006/relationships/image" Target="media/image405.jpeg"/><Relationship Id="rId420" Type="http://schemas.openxmlformats.org/officeDocument/2006/relationships/image" Target="media/image406.png"/><Relationship Id="rId421" Type="http://schemas.openxmlformats.org/officeDocument/2006/relationships/image" Target="media/image407.jpeg"/><Relationship Id="rId422" Type="http://schemas.openxmlformats.org/officeDocument/2006/relationships/image" Target="media/image408.png"/><Relationship Id="rId423" Type="http://schemas.openxmlformats.org/officeDocument/2006/relationships/image" Target="media/image409.jpeg"/><Relationship Id="rId424" Type="http://schemas.openxmlformats.org/officeDocument/2006/relationships/image" Target="media/image410.png"/><Relationship Id="rId425" Type="http://schemas.openxmlformats.org/officeDocument/2006/relationships/image" Target="media/image411.jpeg"/><Relationship Id="rId426" Type="http://schemas.openxmlformats.org/officeDocument/2006/relationships/image" Target="media/image412.png"/><Relationship Id="rId427" Type="http://schemas.openxmlformats.org/officeDocument/2006/relationships/image" Target="media/image413.jpeg"/><Relationship Id="rId428" Type="http://schemas.openxmlformats.org/officeDocument/2006/relationships/image" Target="media/image414.png"/><Relationship Id="rId429" Type="http://schemas.openxmlformats.org/officeDocument/2006/relationships/image" Target="media/image415.jpeg"/><Relationship Id="rId430" Type="http://schemas.openxmlformats.org/officeDocument/2006/relationships/image" Target="media/image416.png"/><Relationship Id="rId431" Type="http://schemas.openxmlformats.org/officeDocument/2006/relationships/image" Target="media/image417.jpeg"/><Relationship Id="rId432" Type="http://schemas.openxmlformats.org/officeDocument/2006/relationships/image" Target="media/image418.png"/><Relationship Id="rId433" Type="http://schemas.openxmlformats.org/officeDocument/2006/relationships/image" Target="media/image419.jpeg"/><Relationship Id="rId434" Type="http://schemas.openxmlformats.org/officeDocument/2006/relationships/image" Target="media/image420.png"/><Relationship Id="rId435" Type="http://schemas.openxmlformats.org/officeDocument/2006/relationships/image" Target="media/image421.jpeg"/><Relationship Id="rId436" Type="http://schemas.openxmlformats.org/officeDocument/2006/relationships/image" Target="media/image422.png"/><Relationship Id="rId437" Type="http://schemas.openxmlformats.org/officeDocument/2006/relationships/image" Target="media/image423.jpeg"/><Relationship Id="rId438" Type="http://schemas.openxmlformats.org/officeDocument/2006/relationships/image" Target="media/image424.png"/><Relationship Id="rId439" Type="http://schemas.openxmlformats.org/officeDocument/2006/relationships/image" Target="media/image425.jpeg"/><Relationship Id="rId440" Type="http://schemas.openxmlformats.org/officeDocument/2006/relationships/image" Target="media/image426.png"/><Relationship Id="rId441" Type="http://schemas.openxmlformats.org/officeDocument/2006/relationships/image" Target="media/image427.jpeg"/><Relationship Id="rId442" Type="http://schemas.openxmlformats.org/officeDocument/2006/relationships/image" Target="media/image428.png"/><Relationship Id="rId443" Type="http://schemas.openxmlformats.org/officeDocument/2006/relationships/image" Target="media/image429.jpeg"/><Relationship Id="rId444" Type="http://schemas.openxmlformats.org/officeDocument/2006/relationships/image" Target="media/image430.png"/><Relationship Id="rId445" Type="http://schemas.openxmlformats.org/officeDocument/2006/relationships/image" Target="media/image431.jpeg"/><Relationship Id="rId446" Type="http://schemas.openxmlformats.org/officeDocument/2006/relationships/image" Target="media/image432.png"/><Relationship Id="rId447" Type="http://schemas.openxmlformats.org/officeDocument/2006/relationships/image" Target="media/image433.jpeg"/><Relationship Id="rId448" Type="http://schemas.openxmlformats.org/officeDocument/2006/relationships/image" Target="media/image434.png"/><Relationship Id="rId449" Type="http://schemas.openxmlformats.org/officeDocument/2006/relationships/image" Target="media/image435.jpeg"/><Relationship Id="rId450" Type="http://schemas.openxmlformats.org/officeDocument/2006/relationships/image" Target="media/image436.png"/><Relationship Id="rId451" Type="http://schemas.openxmlformats.org/officeDocument/2006/relationships/image" Target="media/image437.jpeg"/><Relationship Id="rId452" Type="http://schemas.openxmlformats.org/officeDocument/2006/relationships/image" Target="media/image438.png"/><Relationship Id="rId453" Type="http://schemas.openxmlformats.org/officeDocument/2006/relationships/image" Target="media/image439.jpeg"/><Relationship Id="rId454" Type="http://schemas.openxmlformats.org/officeDocument/2006/relationships/image" Target="media/image440.png"/><Relationship Id="rId455" Type="http://schemas.openxmlformats.org/officeDocument/2006/relationships/image" Target="media/image441.jpeg"/><Relationship Id="rId456" Type="http://schemas.openxmlformats.org/officeDocument/2006/relationships/image" Target="media/image442.png"/><Relationship Id="rId457" Type="http://schemas.openxmlformats.org/officeDocument/2006/relationships/image" Target="media/image443.jpeg"/><Relationship Id="rId458" Type="http://schemas.openxmlformats.org/officeDocument/2006/relationships/image" Target="media/image444.png"/><Relationship Id="rId459" Type="http://schemas.openxmlformats.org/officeDocument/2006/relationships/image" Target="media/image445.jpe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jpeg"/><Relationship Id="rId469" Type="http://schemas.openxmlformats.org/officeDocument/2006/relationships/image" Target="media/image455.jpeg"/><Relationship Id="rId470" Type="http://schemas.openxmlformats.org/officeDocument/2006/relationships/image" Target="media/image456.jpe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jpe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jpe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jpe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jpe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jpe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jpe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jpe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jpe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129" Type="http://schemas.openxmlformats.org/officeDocument/2006/relationships/hyperlink" Target="https://www.sec.gov/Archives/edgar/data/1534126/000093041312001544/c67840_ex3-1.htm" TargetMode="External"/><Relationship Id="rId130" Type="http://schemas.openxmlformats.org/officeDocument/2006/relationships/hyperlink" Target="https://www.sec.gov/Archives/edgar/data/1534126/000093041312001544/c67840_ex3-2.htm" TargetMode="External"/><Relationship Id="rId131" Type="http://schemas.openxmlformats.org/officeDocument/2006/relationships/hyperlink" Target="https://www.sec.gov/Archives/edgar/data/1534126/000110465922032040/glog-20211231xex2d2.htm" TargetMode="External"/><Relationship Id="rId132" Type="http://schemas.openxmlformats.org/officeDocument/2006/relationships/hyperlink" Target="https://www.sec.gov/Archives/edgar/data/1534126/000093041312001544/c67840_ex10-20.htm" TargetMode="External"/><Relationship Id="rId133" Type="http://schemas.openxmlformats.org/officeDocument/2006/relationships/hyperlink" Target="https://www.sec.gov/Archives/edgar/data/1534126/000093041316006011/c84192_ex4-5.htm" TargetMode="External"/><Relationship Id="rId134" Type="http://schemas.openxmlformats.org/officeDocument/2006/relationships/hyperlink" Target="https://www.sec.gov/Archives/edgar/data/1534126/000093041312001612/c67840_ex10-23.htm" TargetMode="External"/><Relationship Id="rId135" Type="http://schemas.openxmlformats.org/officeDocument/2006/relationships/hyperlink" Target="https://www.sec.gov/Archives/edgar/data/1534126/000095015721000283/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2024-03-07T05:35:20Z</dcterms:created>
  <dcterms:modified xsi:type="dcterms:W3CDTF">2024-03-07T05:35:20Z</dcterms:modified>
</cp:coreProperties>
</file>