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For the month of March 2020</w:t>
            </w:r>
          </w:p>
        </w:tc>
        <w:tc>
          <w:tcPr>
            <w:tcW w:w="136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360" w:type="dxa"/>
            <w:vAlign w:val="bottom"/>
          </w:tcPr>
          <w:p>
            <w:pPr>
              <w:spacing w:after="0"/>
              <w:rPr>
                <w:sz w:val="24"/>
                <w:szCs w:val="24"/>
                <w:color w:val="auto"/>
              </w:rPr>
            </w:pPr>
          </w:p>
        </w:tc>
      </w:tr>
      <w:tr>
        <w:trPr>
          <w:trHeight w:val="418"/>
        </w:trPr>
        <w:tc>
          <w:tcPr>
            <w:tcW w:w="99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GasLog Ltd</w:t>
            </w:r>
          </w:p>
        </w:tc>
        <w:tc>
          <w:tcPr>
            <w:tcW w:w="1360" w:type="dxa"/>
            <w:vAlign w:val="bottom"/>
          </w:tcPr>
          <w:p>
            <w:pPr>
              <w:spacing w:after="0"/>
              <w:rPr>
                <w:sz w:val="24"/>
                <w:szCs w:val="24"/>
                <w:color w:val="auto"/>
              </w:rPr>
            </w:pPr>
          </w:p>
        </w:tc>
      </w:tr>
      <w:tr>
        <w:trPr>
          <w:trHeight w:val="230"/>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91"/>
              </w:rPr>
              <w:t>(Translation of registrant’s name into English)</w:t>
            </w:r>
          </w:p>
        </w:tc>
        <w:tc>
          <w:tcPr>
            <w:tcW w:w="1360" w:type="dxa"/>
            <w:vAlign w:val="bottom"/>
          </w:tcPr>
          <w:p>
            <w:pPr>
              <w:spacing w:after="0"/>
              <w:rPr>
                <w:sz w:val="20"/>
                <w:szCs w:val="20"/>
                <w:color w:val="auto"/>
              </w:rPr>
            </w:pPr>
          </w:p>
        </w:tc>
      </w:tr>
      <w:tr>
        <w:trPr>
          <w:trHeight w:val="418"/>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92"/>
              </w:rPr>
              <w:t>C/o GasLog Services LNG Ltd.</w:t>
            </w:r>
          </w:p>
        </w:tc>
        <w:tc>
          <w:tcPr>
            <w:tcW w:w="1360" w:type="dxa"/>
            <w:vAlign w:val="bottom"/>
          </w:tcPr>
          <w:p>
            <w:pPr>
              <w:spacing w:after="0"/>
              <w:rPr>
                <w:sz w:val="24"/>
                <w:szCs w:val="24"/>
                <w:color w:val="auto"/>
              </w:rPr>
            </w:pPr>
          </w:p>
        </w:tc>
      </w:tr>
      <w:tr>
        <w:trPr>
          <w:trHeight w:val="216"/>
        </w:trPr>
        <w:tc>
          <w:tcPr>
            <w:tcW w:w="9920" w:type="dxa"/>
            <w:vAlign w:val="bottom"/>
          </w:tcPr>
          <w:p>
            <w:pPr>
              <w:jc w:val="center"/>
              <w:ind w:left="1250"/>
              <w:spacing w:after="0"/>
              <w:rPr>
                <w:sz w:val="20"/>
                <w:szCs w:val="20"/>
                <w:color w:val="auto"/>
              </w:rPr>
            </w:pPr>
            <w:r>
              <w:rPr>
                <w:rFonts w:ascii="Arial" w:cs="Arial" w:eastAsia="Arial" w:hAnsi="Arial"/>
                <w:sz w:val="18"/>
                <w:szCs w:val="18"/>
                <w:color w:val="auto"/>
                <w:w w:val="96"/>
              </w:rPr>
              <w:t>69 Akti Miaouli 18537</w:t>
            </w:r>
          </w:p>
        </w:tc>
        <w:tc>
          <w:tcPr>
            <w:tcW w:w="1360" w:type="dxa"/>
            <w:vAlign w:val="bottom"/>
          </w:tcPr>
          <w:p>
            <w:pPr>
              <w:spacing w:after="0"/>
              <w:rPr>
                <w:sz w:val="18"/>
                <w:szCs w:val="18"/>
                <w:color w:val="auto"/>
              </w:rPr>
            </w:pPr>
          </w:p>
        </w:tc>
      </w:tr>
      <w:tr>
        <w:trPr>
          <w:trHeight w:val="216"/>
        </w:trPr>
        <w:tc>
          <w:tcPr>
            <w:tcW w:w="9920" w:type="dxa"/>
            <w:vAlign w:val="bottom"/>
          </w:tcPr>
          <w:p>
            <w:pPr>
              <w:jc w:val="center"/>
              <w:ind w:left="1230"/>
              <w:spacing w:after="0"/>
              <w:rPr>
                <w:sz w:val="20"/>
                <w:szCs w:val="20"/>
                <w:color w:val="auto"/>
              </w:rPr>
            </w:pPr>
            <w:r>
              <w:rPr>
                <w:rFonts w:ascii="Arial" w:cs="Arial" w:eastAsia="Arial" w:hAnsi="Arial"/>
                <w:sz w:val="18"/>
                <w:szCs w:val="18"/>
                <w:color w:val="auto"/>
                <w:w w:val="86"/>
              </w:rPr>
              <w:t>Piraeus Greece</w:t>
            </w:r>
          </w:p>
        </w:tc>
        <w:tc>
          <w:tcPr>
            <w:tcW w:w="1360" w:type="dxa"/>
            <w:vAlign w:val="bottom"/>
          </w:tcPr>
          <w:p>
            <w:pPr>
              <w:spacing w:after="0"/>
              <w:rPr>
                <w:sz w:val="18"/>
                <w:szCs w:val="18"/>
                <w:color w:val="auto"/>
              </w:rPr>
            </w:pPr>
          </w:p>
        </w:tc>
      </w:tr>
      <w:tr>
        <w:trPr>
          <w:trHeight w:val="230"/>
        </w:trPr>
        <w:tc>
          <w:tcPr>
            <w:tcW w:w="9920" w:type="dxa"/>
            <w:vAlign w:val="bottom"/>
          </w:tcPr>
          <w:p>
            <w:pPr>
              <w:jc w:val="center"/>
              <w:ind w:left="1250"/>
              <w:spacing w:after="0"/>
              <w:rPr>
                <w:sz w:val="20"/>
                <w:szCs w:val="20"/>
                <w:color w:val="auto"/>
              </w:rPr>
            </w:pPr>
            <w:r>
              <w:rPr>
                <w:rFonts w:ascii="Arial" w:cs="Arial" w:eastAsia="Arial" w:hAnsi="Arial"/>
                <w:sz w:val="18"/>
                <w:szCs w:val="18"/>
                <w:color w:val="auto"/>
                <w:w w:val="92"/>
              </w:rPr>
              <w:t>(Address of principal executive office)</w:t>
            </w:r>
          </w:p>
        </w:tc>
        <w:tc>
          <w:tcPr>
            <w:tcW w:w="136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60" w:type="dxa"/>
            <w:vAlign w:val="bottom"/>
          </w:tcPr>
          <w:p>
            <w:pPr>
              <w:spacing w:after="0"/>
              <w:rPr>
                <w:sz w:val="24"/>
                <w:szCs w:val="24"/>
                <w:color w:val="auto"/>
              </w:rPr>
            </w:pPr>
          </w:p>
        </w:tc>
      </w:tr>
      <w:tr>
        <w:trPr>
          <w:trHeight w:val="452"/>
        </w:trPr>
        <w:tc>
          <w:tcPr>
            <w:tcW w:w="99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60" w:type="dxa"/>
            <w:vAlign w:val="bottom"/>
          </w:tcPr>
          <w:p>
            <w:pPr>
              <w:spacing w:after="0"/>
              <w:rPr>
                <w:sz w:val="24"/>
                <w:szCs w:val="24"/>
                <w:color w:val="auto"/>
              </w:rPr>
            </w:pPr>
          </w:p>
        </w:tc>
      </w:tr>
      <w:tr>
        <w:trPr>
          <w:trHeight w:val="41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60" w:type="dxa"/>
            <w:vAlign w:val="bottom"/>
          </w:tcPr>
          <w:p>
            <w:pPr>
              <w:ind w:left="1000"/>
              <w:spacing w:after="0"/>
              <w:rPr>
                <w:sz w:val="20"/>
                <w:szCs w:val="20"/>
                <w:color w:val="auto"/>
              </w:rPr>
            </w:pPr>
            <w:r>
              <w:rPr>
                <w:rFonts w:ascii="Arial" w:cs="Arial" w:eastAsia="Arial" w:hAnsi="Arial"/>
                <w:sz w:val="18"/>
                <w:szCs w:val="18"/>
                <w:color w:val="auto"/>
              </w:rPr>
              <w:t>o</w:t>
            </w:r>
          </w:p>
        </w:tc>
      </w:tr>
      <w:tr>
        <w:trPr>
          <w:trHeight w:val="459"/>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60" w:type="dxa"/>
            <w:vAlign w:val="bottom"/>
          </w:tcPr>
          <w:p>
            <w:pPr>
              <w:ind w:left="1000"/>
              <w:spacing w:after="0"/>
              <w:rPr>
                <w:sz w:val="20"/>
                <w:szCs w:val="20"/>
                <w:color w:val="auto"/>
              </w:rPr>
            </w:pPr>
            <w:r>
              <w:rPr>
                <w:rFonts w:ascii="Arial" w:cs="Arial" w:eastAsia="Arial" w:hAnsi="Arial"/>
                <w:sz w:val="18"/>
                <w:szCs w:val="18"/>
                <w:color w:val="auto"/>
              </w:rPr>
              <w:t>o</w:t>
            </w:r>
          </w:p>
        </w:tc>
      </w:tr>
      <w:tr>
        <w:trPr>
          <w:trHeight w:val="361"/>
        </w:trPr>
        <w:tc>
          <w:tcPr>
            <w:tcW w:w="99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59" w:right="29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The press release issued by GasLog Ltd on March 16, 2020 announcing that GasLog Ltd. has declared a dividend on its Series A Preference Shares is attached hereto as Exhibit 99.1.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00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Declares Dividend on Series A Preference Shares</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Piraeus, Greece, March 16, 2020 — </w:t>
      </w:r>
      <w:r>
        <w:rPr>
          <w:rFonts w:ascii="Arial" w:cs="Arial" w:eastAsia="Arial" w:hAnsi="Arial"/>
          <w:sz w:val="18"/>
          <w:szCs w:val="18"/>
          <w:color w:val="auto"/>
        </w:rPr>
        <w:t>The Board of Directors of GasLog Ltd. (“GasLog” or “Company”) (NYSE: GLOG), approved and declared a</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of $0.546875 per share on its 8.75% Series A Cumulative Redeemable Perpetual Preference Shares, payable on April 1, 2020 for all shareholders of record as of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(12 on the water and seven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2020-03-16T05:54:14Z</dcterms:created>
  <dcterms:modified xsi:type="dcterms:W3CDTF">2020-03-16T05:54:14Z</dcterms:modified>
</cp:coreProperties>
</file>