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rPr>
      </w:pPr>
      <w:bookmarkStart w:id="0" w:name="s8-pos.htm"/>
      <w:bookmarkStart w:id="1" w:name="kss8pos"/>
      <w:bookmarkEnd w:id="0"/>
      <w:bookmarkEnd w:id="1"/>
      <w:r>
        <w:rPr>
          <w:rFonts w:ascii="Times New Roman" w:hAnsi="Times New Roman"/>
          <w:b/>
        </w:rPr>
        <w:t>As filed with the Securities and Exchange Commission on June 29, 2023</w:t>
      </w:r>
    </w:p>
    <w:p>
      <w:pPr>
        <w:pStyle w:val="TextBody"/>
        <w:bidi w:val="0"/>
        <w:spacing w:before="0" w:after="0"/>
        <w:jc w:val="right"/>
        <w:rPr>
          <w:rFonts w:ascii="Times New Roman" w:hAnsi="Times New Roman"/>
          <w:b/>
        </w:rPr>
      </w:pPr>
      <w:r>
        <w:rPr>
          <w:rFonts w:ascii="Times New Roman" w:hAnsi="Times New Roman"/>
          <w:b/>
          <w:color w:val="231F20"/>
        </w:rPr>
        <w:t>Registration No. 333-</w:t>
      </w:r>
      <w:r>
        <w:rPr>
          <w:rFonts w:ascii="Times New Roman" w:hAnsi="Times New Roman"/>
          <w:b/>
        </w:rPr>
        <w:t>187020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8"/>
        </w:rPr>
      </w:pPr>
      <w:r>
        <w:rPr>
          <w:rFonts w:ascii="Times New Roman" w:hAnsi="Times New Roman"/>
          <w:b/>
          <w:sz w:val="28"/>
        </w:rPr>
        <w:t>UNITED STATES</w:t>
      </w:r>
    </w:p>
    <w:p>
      <w:pPr>
        <w:pStyle w:val="TextBody"/>
        <w:bidi w:val="0"/>
        <w:spacing w:before="0" w:after="0"/>
        <w:jc w:val="center"/>
        <w:rPr>
          <w:rFonts w:ascii="Times New Roman" w:hAnsi="Times New Roman"/>
          <w:b/>
          <w:sz w:val="28"/>
        </w:rPr>
      </w:pPr>
      <w:r>
        <w:rPr>
          <w:rFonts w:ascii="Times New Roman" w:hAnsi="Times New Roman"/>
          <w:b/>
          <w:sz w:val="28"/>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center"/>
        <w:rPr>
          <w:b/>
          <w:sz w:val="14"/>
        </w:rPr>
      </w:pPr>
      <w:r>
        <w:rPr>
          <w:b/>
          <w:sz w:val="14"/>
        </w:rPr>
      </w:r>
    </w:p>
    <w:p>
      <w:pPr>
        <w:pStyle w:val="HorizontalLine"/>
        <w:pBdr>
          <w:bottom w:val="single" w:sz="12" w:space="0" w:color="808080"/>
        </w:pBdr>
        <w:bidi w:val="0"/>
        <w:jc w:val="left"/>
        <w:rPr/>
      </w:pPr>
      <w:r>
        <w:rPr/>
      </w:r>
    </w:p>
    <w:p>
      <w:pPr>
        <w:pStyle w:val="TextBody"/>
        <w:bidi w:val="0"/>
        <w:spacing w:before="0" w:after="0"/>
        <w:jc w:val="left"/>
        <w:rPr>
          <w:sz w:val="14"/>
        </w:rPr>
      </w:pPr>
      <w:r>
        <w:rPr>
          <w:sz w:val="14"/>
        </w:rPr>
      </w:r>
    </w:p>
    <w:p>
      <w:pPr>
        <w:pStyle w:val="TextBody"/>
        <w:bidi w:val="0"/>
        <w:spacing w:before="0" w:after="0"/>
        <w:jc w:val="center"/>
        <w:rPr>
          <w:rFonts w:ascii="Times New Roman" w:hAnsi="Times New Roman"/>
          <w:b/>
          <w:sz w:val="32"/>
        </w:rPr>
      </w:pPr>
      <w:r>
        <w:rPr>
          <w:rFonts w:ascii="Times New Roman" w:hAnsi="Times New Roman"/>
          <w:b/>
          <w:sz w:val="32"/>
        </w:rPr>
        <w:t>Post-Effective Amendment No. 1 to</w:t>
      </w:r>
    </w:p>
    <w:p>
      <w:pPr>
        <w:pStyle w:val="TextBody"/>
        <w:bidi w:val="0"/>
        <w:spacing w:before="0" w:after="0"/>
        <w:jc w:val="center"/>
        <w:rPr>
          <w:rFonts w:ascii="Times New Roman" w:hAnsi="Times New Roman"/>
          <w:b/>
          <w:sz w:val="32"/>
        </w:rPr>
      </w:pPr>
      <w:r>
        <w:rPr>
          <w:rFonts w:ascii="Times New Roman" w:hAnsi="Times New Roman"/>
          <w:b/>
          <w:sz w:val="32"/>
        </w:rPr>
        <w:t>FORM S-8</w:t>
      </w:r>
    </w:p>
    <w:p>
      <w:pPr>
        <w:pStyle w:val="TextBody"/>
        <w:bidi w:val="0"/>
        <w:spacing w:before="0" w:after="0"/>
        <w:jc w:val="center"/>
        <w:rPr>
          <w:rFonts w:ascii="Times New Roman" w:hAnsi="Times New Roman"/>
          <w:b/>
          <w:sz w:val="32"/>
        </w:rPr>
      </w:pPr>
      <w:r>
        <w:rPr>
          <w:rFonts w:ascii="Times New Roman" w:hAnsi="Times New Roman"/>
          <w:b/>
          <w:sz w:val="32"/>
        </w:rPr>
        <w:t>REGISTRATION STATEMENT</w:t>
      </w:r>
    </w:p>
    <w:p>
      <w:pPr>
        <w:pStyle w:val="TextBody"/>
        <w:bidi w:val="0"/>
        <w:spacing w:before="0" w:after="0"/>
        <w:jc w:val="center"/>
        <w:rPr>
          <w:rFonts w:ascii="Times New Roman" w:hAnsi="Times New Roman"/>
          <w:b/>
          <w:sz w:val="22"/>
        </w:rPr>
      </w:pPr>
      <w:r>
        <w:rPr>
          <w:rFonts w:ascii="Times New Roman" w:hAnsi="Times New Roman"/>
          <w:b/>
          <w:sz w:val="22"/>
        </w:rPr>
        <w:t>UNDER</w:t>
      </w:r>
    </w:p>
    <w:p>
      <w:pPr>
        <w:pStyle w:val="TextBody"/>
        <w:bidi w:val="0"/>
        <w:spacing w:before="0" w:after="0"/>
        <w:jc w:val="center"/>
        <w:rPr>
          <w:rFonts w:ascii="Times New Roman" w:hAnsi="Times New Roman"/>
          <w:b/>
          <w:sz w:val="22"/>
        </w:rPr>
      </w:pPr>
      <w:r>
        <w:rPr>
          <w:rFonts w:ascii="Times New Roman" w:hAnsi="Times New Roman"/>
          <w:b/>
          <w:sz w:val="22"/>
        </w:rPr>
        <w:t>THE SECURITIES ACT OF 1933</w:t>
      </w:r>
    </w:p>
    <w:p>
      <w:pPr>
        <w:pStyle w:val="TextBody"/>
        <w:bidi w:val="0"/>
        <w:spacing w:before="0" w:after="0"/>
        <w:jc w:val="center"/>
        <w:rPr>
          <w:b/>
          <w:sz w:val="14"/>
        </w:rPr>
      </w:pPr>
      <w:r>
        <w:rPr>
          <w:b/>
          <w:sz w:val="14"/>
        </w:rPr>
      </w:r>
    </w:p>
    <w:p>
      <w:pPr>
        <w:pStyle w:val="HorizontalLine"/>
        <w:pBdr>
          <w:bottom w:val="single" w:sz="12" w:space="0" w:color="808080"/>
        </w:pBdr>
        <w:bidi w:val="0"/>
        <w:jc w:val="left"/>
        <w:rPr/>
      </w:pPr>
      <w:r>
        <w:rPr/>
      </w:r>
    </w:p>
    <w:p>
      <w:pPr>
        <w:pStyle w:val="TextBody"/>
        <w:bidi w:val="0"/>
        <w:spacing w:before="0" w:after="0"/>
        <w:jc w:val="left"/>
        <w:rPr>
          <w:sz w:val="14"/>
        </w:rPr>
      </w:pPr>
      <w:r>
        <w:rPr>
          <w:sz w:val="14"/>
        </w:rPr>
      </w:r>
    </w:p>
    <w:p>
      <w:pPr>
        <w:pStyle w:val="TextBody"/>
        <w:bidi w:val="0"/>
        <w:spacing w:before="0" w:after="0"/>
        <w:jc w:val="center"/>
        <w:rPr>
          <w:rFonts w:ascii="Times New Roman" w:hAnsi="Times New Roman"/>
          <w:b/>
          <w:sz w:val="48"/>
        </w:rPr>
      </w:pPr>
      <w:r>
        <w:rPr>
          <w:rFonts w:ascii="Times New Roman" w:hAnsi="Times New Roman"/>
          <w:b/>
          <w:sz w:val="48"/>
        </w:rPr>
        <w:t>GasLog Ltd.</w:t>
      </w:r>
    </w:p>
    <w:p>
      <w:pPr>
        <w:pStyle w:val="TextBody"/>
        <w:bidi w:val="0"/>
        <w:spacing w:before="0" w:after="0"/>
        <w:jc w:val="center"/>
        <w:rPr>
          <w:rFonts w:ascii="Times New Roman" w:hAnsi="Times New Roman"/>
          <w:b/>
        </w:rPr>
      </w:pPr>
      <w:r>
        <w:rPr>
          <w:rFonts w:ascii="Times New Roman" w:hAnsi="Times New Roman"/>
          <w:b/>
        </w:rPr>
        <w:t>(Exact name of registrant as specified in its charter)</w:t>
      </w:r>
    </w:p>
    <w:p>
      <w:pPr>
        <w:pStyle w:val="TextBody"/>
        <w:bidi w:val="0"/>
        <w:spacing w:before="0" w:after="0"/>
        <w:jc w:val="left"/>
        <w:rPr>
          <w:sz w:val="14"/>
        </w:rPr>
      </w:pPr>
      <w:r>
        <w:rPr>
          <w:sz w:val="14"/>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2" w:name="zc14b6335062c48aab26a739993eca46d"/>
      <w:bookmarkStart w:id="3" w:name="zc14b6335062c48aab26a739993eca46d"/>
      <w:bookmarkEnd w:id="3"/>
    </w:p>
    <w:tbl>
      <w:tblPr>
        <w:tblW w:w="4780" w:type="dxa"/>
        <w:jc w:val="left"/>
        <w:tblInd w:w="0" w:type="dxa"/>
        <w:tblLayout w:type="fixed"/>
        <w:tblCellMar>
          <w:top w:w="0" w:type="dxa"/>
          <w:left w:w="0" w:type="dxa"/>
          <w:bottom w:w="0" w:type="dxa"/>
          <w:right w:w="0" w:type="dxa"/>
        </w:tblCellMar>
      </w:tblPr>
      <w:tblGrid>
        <w:gridCol w:w="2840"/>
        <w:gridCol w:w="60"/>
        <w:gridCol w:w="60"/>
        <w:gridCol w:w="60"/>
        <w:gridCol w:w="1760"/>
      </w:tblGrid>
      <w:tr>
        <w:trPr/>
        <w:tc>
          <w:tcPr>
            <w:tcW w:w="2840" w:type="dxa"/>
            <w:tcBorders/>
            <w:vAlign w:val="center"/>
          </w:tcPr>
          <w:p>
            <w:pPr>
              <w:pStyle w:val="TableContents"/>
              <w:bidi w:val="0"/>
              <w:spacing w:before="0" w:after="0"/>
              <w:jc w:val="center"/>
              <w:rPr>
                <w:rFonts w:ascii="Times New Roman" w:hAnsi="Times New Roman"/>
                <w:b/>
              </w:rPr>
            </w:pPr>
            <w:r>
              <w:rPr>
                <w:rFonts w:ascii="Times New Roman" w:hAnsi="Times New Roman"/>
                <w:b/>
              </w:rPr>
              <w:t>Bermuda</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center"/>
              <w:rPr>
                <w:rFonts w:ascii="Times New Roman" w:hAnsi="Times New Roman"/>
                <w:b/>
              </w:rPr>
            </w:pPr>
            <w:r>
              <w:rPr>
                <w:rFonts w:ascii="Times New Roman" w:hAnsi="Times New Roman"/>
                <w:b/>
              </w:rPr>
              <w:t>N/A</w:t>
            </w:r>
          </w:p>
        </w:tc>
      </w:tr>
      <w:tr>
        <w:trPr/>
        <w:tc>
          <w:tcPr>
            <w:tcW w:w="2840" w:type="dxa"/>
            <w:tcBorders/>
            <w:vAlign w:val="center"/>
          </w:tcPr>
          <w:p>
            <w:pPr>
              <w:pStyle w:val="TableContents"/>
              <w:bidi w:val="0"/>
              <w:spacing w:before="0" w:after="0"/>
              <w:jc w:val="center"/>
              <w:rPr>
                <w:rFonts w:ascii="Times New Roman" w:hAnsi="Times New Roman"/>
              </w:rPr>
            </w:pPr>
            <w:r>
              <w:rPr>
                <w:rFonts w:ascii="Times New Roman" w:hAnsi="Times New Roman"/>
              </w:rPr>
              <w:t>(State or other jurisdiction of</w:t>
            </w:r>
          </w:p>
          <w:p>
            <w:pPr>
              <w:pStyle w:val="TableContents"/>
              <w:bidi w:val="0"/>
              <w:spacing w:before="0" w:after="0"/>
              <w:jc w:val="center"/>
              <w:rPr>
                <w:rFonts w:ascii="Times New Roman" w:hAnsi="Times New Roman"/>
              </w:rPr>
            </w:pPr>
            <w:r>
              <w:rPr>
                <w:rFonts w:ascii="Times New Roman" w:hAnsi="Times New Roman"/>
              </w:rPr>
              <w:t>incorporation or organization)</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center"/>
              <w:rPr>
                <w:rFonts w:ascii="Times New Roman" w:hAnsi="Times New Roman"/>
              </w:rPr>
            </w:pPr>
            <w:r>
              <w:rPr>
                <w:rFonts w:ascii="Times New Roman" w:hAnsi="Times New Roman"/>
              </w:rPr>
              <w:t>(I.R.S. Employer</w:t>
            </w:r>
          </w:p>
          <w:p>
            <w:pPr>
              <w:pStyle w:val="TableContents"/>
              <w:bidi w:val="0"/>
              <w:spacing w:before="0" w:after="0"/>
              <w:jc w:val="center"/>
              <w:rPr>
                <w:rFonts w:ascii="Times New Roman" w:hAnsi="Times New Roman"/>
              </w:rPr>
            </w:pPr>
            <w:r>
              <w:rPr>
                <w:rFonts w:ascii="Times New Roman" w:hAnsi="Times New Roman"/>
              </w:rPr>
              <w:t>Identification No.)</w:t>
            </w:r>
          </w:p>
        </w:tc>
      </w:tr>
    </w:tbl>
    <w:p>
      <w:pPr>
        <w:pStyle w:val="TextBody"/>
        <w:bidi w:val="0"/>
        <w:spacing w:before="0" w:after="0"/>
        <w:jc w:val="left"/>
        <w:rPr>
          <w:sz w:val="14"/>
        </w:rPr>
      </w:pPr>
      <w:r>
        <w:rPr>
          <w:sz w:val="14"/>
        </w:rPr>
      </w:r>
    </w:p>
    <w:p>
      <w:pPr>
        <w:pStyle w:val="TextBody"/>
        <w:bidi w:val="0"/>
        <w:spacing w:before="0" w:after="0"/>
        <w:jc w:val="center"/>
        <w:rPr>
          <w:rFonts w:ascii="Times New Roman" w:hAnsi="Times New Roman"/>
          <w:b/>
        </w:rPr>
      </w:pPr>
      <w:r>
        <w:rPr>
          <w:rFonts w:ascii="Times New Roman" w:hAnsi="Times New Roman"/>
          <w:b/>
        </w:rPr>
        <w:t>GasLog Ltd.</w:t>
      </w:r>
    </w:p>
    <w:p>
      <w:pPr>
        <w:pStyle w:val="TextBody"/>
        <w:bidi w:val="0"/>
        <w:spacing w:before="0" w:after="0"/>
        <w:jc w:val="center"/>
        <w:rPr>
          <w:rFonts w:ascii="Times New Roman" w:hAnsi="Times New Roman"/>
          <w:b/>
        </w:rPr>
      </w:pPr>
      <w:r>
        <w:rPr>
          <w:rFonts w:ascii="Times New Roman" w:hAnsi="Times New Roman"/>
          <w:b/>
        </w:rPr>
        <w:t>c/o GasLog LNG Services Ltd</w:t>
      </w:r>
    </w:p>
    <w:p>
      <w:pPr>
        <w:pStyle w:val="TextBody"/>
        <w:bidi w:val="0"/>
        <w:spacing w:before="0" w:after="0"/>
        <w:jc w:val="center"/>
        <w:rPr>
          <w:rFonts w:ascii="Times New Roman" w:hAnsi="Times New Roman"/>
          <w:b/>
        </w:rPr>
      </w:pPr>
      <w:r>
        <w:rPr>
          <w:rFonts w:ascii="Times New Roman" w:hAnsi="Times New Roman"/>
          <w:b/>
        </w:rPr>
        <w:t>69 Akti Miaouli</w:t>
      </w:r>
    </w:p>
    <w:p>
      <w:pPr>
        <w:pStyle w:val="TextBody"/>
        <w:bidi w:val="0"/>
        <w:spacing w:before="0" w:after="0"/>
        <w:jc w:val="center"/>
        <w:rPr>
          <w:rFonts w:ascii="Times New Roman" w:hAnsi="Times New Roman"/>
          <w:b/>
        </w:rPr>
      </w:pPr>
      <w:r>
        <w:rPr>
          <w:rFonts w:ascii="Times New Roman" w:hAnsi="Times New Roman"/>
          <w:b/>
        </w:rPr>
        <w:t>18537 Piraeus Greece</w:t>
      </w:r>
    </w:p>
    <w:p>
      <w:pPr>
        <w:pStyle w:val="TextBody"/>
        <w:bidi w:val="0"/>
        <w:spacing w:before="0" w:after="0"/>
        <w:jc w:val="center"/>
        <w:rPr>
          <w:rFonts w:ascii="Times New Roman" w:hAnsi="Times New Roman"/>
          <w:b w:val="false"/>
        </w:rPr>
      </w:pPr>
      <w:r>
        <w:rPr>
          <w:rFonts w:ascii="Times New Roman" w:hAnsi="Times New Roman"/>
          <w:b w:val="false"/>
        </w:rPr>
        <w:t>(Address of registrant’s principal executive offices)</w:t>
      </w:r>
    </w:p>
    <w:p>
      <w:pPr>
        <w:pStyle w:val="TextBody"/>
        <w:bidi w:val="0"/>
        <w:spacing w:before="0" w:after="0"/>
        <w:jc w:val="left"/>
        <w:rPr>
          <w:sz w:val="14"/>
        </w:rPr>
      </w:pPr>
      <w:r>
        <w:rPr>
          <w:sz w:val="14"/>
        </w:rPr>
      </w:r>
    </w:p>
    <w:p>
      <w:pPr>
        <w:pStyle w:val="HorizontalLine"/>
        <w:pBdr>
          <w:bottom w:val="single" w:sz="12" w:space="0" w:color="808080"/>
        </w:pBdr>
        <w:bidi w:val="0"/>
        <w:jc w:val="left"/>
        <w:rPr/>
      </w:pPr>
      <w:r>
        <w:rPr/>
      </w:r>
    </w:p>
    <w:p>
      <w:pPr>
        <w:pStyle w:val="TextBody"/>
        <w:bidi w:val="0"/>
        <w:spacing w:before="0" w:after="0"/>
        <w:jc w:val="left"/>
        <w:rPr>
          <w:sz w:val="14"/>
        </w:rPr>
      </w:pPr>
      <w:r>
        <w:rPr>
          <w:sz w:val="14"/>
        </w:rPr>
      </w:r>
    </w:p>
    <w:p>
      <w:pPr>
        <w:pStyle w:val="TextBody"/>
        <w:bidi w:val="0"/>
        <w:spacing w:before="0" w:after="0"/>
        <w:jc w:val="center"/>
        <w:rPr>
          <w:rFonts w:ascii="Times New Roman" w:hAnsi="Times New Roman"/>
          <w:b/>
        </w:rPr>
      </w:pPr>
      <w:r>
        <w:rPr>
          <w:rFonts w:ascii="Times New Roman" w:hAnsi="Times New Roman"/>
          <w:b/>
        </w:rPr>
        <w:t>GasLog Ltd. 2013 Omnibus Incentive Compensation Plan</w:t>
      </w:r>
    </w:p>
    <w:p>
      <w:pPr>
        <w:pStyle w:val="TextBody"/>
        <w:bidi w:val="0"/>
        <w:spacing w:before="0" w:after="0"/>
        <w:jc w:val="center"/>
        <w:rPr>
          <w:rFonts w:ascii="Times New Roman" w:hAnsi="Times New Roman"/>
          <w:b w:val="false"/>
        </w:rPr>
      </w:pPr>
      <w:r>
        <w:rPr>
          <w:rFonts w:ascii="Times New Roman" w:hAnsi="Times New Roman"/>
          <w:b w:val="false"/>
        </w:rPr>
        <w:t>(Full titles of the plans)</w:t>
      </w:r>
    </w:p>
    <w:p>
      <w:pPr>
        <w:pStyle w:val="TextBody"/>
        <w:bidi w:val="0"/>
        <w:spacing w:before="0" w:after="0"/>
        <w:jc w:val="left"/>
        <w:rPr>
          <w:sz w:val="14"/>
        </w:rPr>
      </w:pPr>
      <w:r>
        <w:rPr>
          <w:sz w:val="14"/>
        </w:rPr>
      </w:r>
    </w:p>
    <w:p>
      <w:pPr>
        <w:pStyle w:val="HorizontalLine"/>
        <w:pBdr>
          <w:bottom w:val="single" w:sz="12" w:space="0" w:color="808080"/>
        </w:pBdr>
        <w:bidi w:val="0"/>
        <w:jc w:val="left"/>
        <w:rPr/>
      </w:pPr>
      <w:r>
        <w:rPr/>
      </w:r>
    </w:p>
    <w:p>
      <w:pPr>
        <w:pStyle w:val="TextBody"/>
        <w:bidi w:val="0"/>
        <w:spacing w:before="0" w:after="0"/>
        <w:jc w:val="left"/>
        <w:rPr>
          <w:sz w:val="14"/>
        </w:rPr>
      </w:pPr>
      <w:r>
        <w:rPr>
          <w:sz w:val="14"/>
        </w:rPr>
      </w:r>
    </w:p>
    <w:p>
      <w:pPr>
        <w:pStyle w:val="TextBody"/>
        <w:bidi w:val="0"/>
        <w:spacing w:before="0" w:after="0"/>
        <w:jc w:val="center"/>
        <w:rPr>
          <w:rFonts w:ascii="Times New Roman" w:hAnsi="Times New Roman"/>
          <w:b/>
        </w:rPr>
      </w:pPr>
      <w:r>
        <w:rPr>
          <w:rFonts w:ascii="Times New Roman" w:hAnsi="Times New Roman"/>
          <w:b/>
        </w:rPr>
        <w:t>Mr. Donald J. Puglisi</w:t>
      </w:r>
    </w:p>
    <w:p>
      <w:pPr>
        <w:pStyle w:val="TextBody"/>
        <w:bidi w:val="0"/>
        <w:spacing w:before="0" w:after="0"/>
        <w:jc w:val="center"/>
        <w:rPr>
          <w:rFonts w:ascii="Times New Roman" w:hAnsi="Times New Roman"/>
          <w:b/>
        </w:rPr>
      </w:pPr>
      <w:r>
        <w:rPr>
          <w:rFonts w:ascii="Times New Roman" w:hAnsi="Times New Roman"/>
          <w:b/>
        </w:rPr>
        <w:t>Managing Director</w:t>
      </w:r>
    </w:p>
    <w:p>
      <w:pPr>
        <w:pStyle w:val="TextBody"/>
        <w:bidi w:val="0"/>
        <w:spacing w:before="0" w:after="0"/>
        <w:jc w:val="center"/>
        <w:rPr>
          <w:rFonts w:ascii="Times New Roman" w:hAnsi="Times New Roman"/>
          <w:b/>
        </w:rPr>
      </w:pPr>
      <w:r>
        <w:rPr>
          <w:rFonts w:ascii="Times New Roman" w:hAnsi="Times New Roman"/>
          <w:b/>
        </w:rPr>
        <w:t>Puglisi &amp; Associates</w:t>
      </w:r>
    </w:p>
    <w:p>
      <w:pPr>
        <w:pStyle w:val="TextBody"/>
        <w:bidi w:val="0"/>
        <w:spacing w:before="0" w:after="0"/>
        <w:jc w:val="center"/>
        <w:rPr>
          <w:rFonts w:ascii="Times New Roman" w:hAnsi="Times New Roman"/>
          <w:b/>
        </w:rPr>
      </w:pPr>
      <w:r>
        <w:rPr>
          <w:rFonts w:ascii="Times New Roman" w:hAnsi="Times New Roman"/>
          <w:b/>
        </w:rPr>
        <w:t>850 Library Avenue, Suite 204</w:t>
      </w:r>
    </w:p>
    <w:p>
      <w:pPr>
        <w:pStyle w:val="TextBody"/>
        <w:bidi w:val="0"/>
        <w:spacing w:before="0" w:after="0"/>
        <w:jc w:val="center"/>
        <w:rPr>
          <w:rFonts w:ascii="Times New Roman" w:hAnsi="Times New Roman"/>
          <w:b/>
        </w:rPr>
      </w:pPr>
      <w:r>
        <w:rPr>
          <w:rFonts w:ascii="Times New Roman" w:hAnsi="Times New Roman"/>
          <w:b/>
        </w:rPr>
        <w:t>Newark, Delaware 19711</w:t>
      </w:r>
    </w:p>
    <w:p>
      <w:pPr>
        <w:pStyle w:val="TextBody"/>
        <w:bidi w:val="0"/>
        <w:spacing w:before="0" w:after="0"/>
        <w:jc w:val="center"/>
        <w:rPr>
          <w:rFonts w:ascii="Times New Roman" w:hAnsi="Times New Roman"/>
          <w:b/>
        </w:rPr>
      </w:pPr>
      <w:r>
        <w:rPr>
          <w:rFonts w:ascii="Times New Roman" w:hAnsi="Times New Roman"/>
          <w:b/>
        </w:rPr>
        <w:t>+1 302-738-6680</w:t>
      </w:r>
    </w:p>
    <w:p>
      <w:pPr>
        <w:pStyle w:val="TextBody"/>
        <w:bidi w:val="0"/>
        <w:spacing w:before="0" w:after="0"/>
        <w:jc w:val="center"/>
        <w:rPr>
          <w:rFonts w:ascii="Times New Roman" w:hAnsi="Times New Roman"/>
          <w:b w:val="false"/>
        </w:rPr>
      </w:pPr>
      <w:r>
        <w:rPr>
          <w:rFonts w:ascii="Times New Roman" w:hAnsi="Times New Roman"/>
          <w:b w:val="false"/>
        </w:rPr>
        <w:t>(Name, address and telephone number of agent for service)</w:t>
      </w:r>
    </w:p>
    <w:p>
      <w:pPr>
        <w:pStyle w:val="TextBody"/>
        <w:bidi w:val="0"/>
        <w:spacing w:before="0" w:after="0"/>
        <w:jc w:val="left"/>
        <w:rPr>
          <w:sz w:val="14"/>
        </w:rPr>
      </w:pPr>
      <w:r>
        <w:rPr>
          <w:sz w:val="14"/>
        </w:rPr>
      </w:r>
    </w:p>
    <w:p>
      <w:pPr>
        <w:pStyle w:val="HorizontalLine"/>
        <w:pBdr>
          <w:bottom w:val="single" w:sz="12" w:space="0" w:color="808080"/>
        </w:pBdr>
        <w:bidi w:val="0"/>
        <w:jc w:val="left"/>
        <w:rPr/>
      </w:pPr>
      <w:r>
        <w:rPr/>
      </w:r>
    </w:p>
    <w:p>
      <w:pPr>
        <w:pStyle w:val="TextBody"/>
        <w:bidi w:val="0"/>
        <w:spacing w:before="0" w:after="0"/>
        <w:jc w:val="center"/>
        <w:rPr>
          <w:i/>
          <w:sz w:val="14"/>
        </w:rPr>
      </w:pPr>
      <w:r>
        <w:rPr>
          <w:i/>
          <w:sz w:val="14"/>
        </w:rPr>
      </w:r>
    </w:p>
    <w:p>
      <w:pPr>
        <w:pStyle w:val="TextBody"/>
        <w:bidi w:val="0"/>
        <w:spacing w:before="0" w:after="0"/>
        <w:jc w:val="center"/>
        <w:rPr>
          <w:rFonts w:ascii="Times New Roman" w:hAnsi="Times New Roman"/>
          <w:b w:val="false"/>
          <w:i/>
        </w:rPr>
      </w:pPr>
      <w:r>
        <w:rPr>
          <w:rFonts w:ascii="Times New Roman" w:hAnsi="Times New Roman"/>
          <w:b w:val="false"/>
          <w:i/>
        </w:rPr>
        <w:t>Copies to:</w:t>
      </w:r>
    </w:p>
    <w:p>
      <w:pPr>
        <w:pStyle w:val="TextBody"/>
        <w:bidi w:val="0"/>
        <w:spacing w:before="0" w:after="0"/>
        <w:jc w:val="left"/>
        <w:rPr>
          <w:sz w:val="14"/>
        </w:rPr>
      </w:pPr>
      <w:r>
        <w:rPr>
          <w:sz w:val="14"/>
        </w:rPr>
      </w:r>
    </w:p>
    <w:p>
      <w:pPr>
        <w:pStyle w:val="Normal"/>
        <w:bidi w:val="0"/>
        <w:spacing w:before="0" w:after="0"/>
        <w:jc w:val="left"/>
        <w:rPr>
          <w:sz w:val="4"/>
          <w:szCs w:val="4"/>
        </w:rPr>
      </w:pPr>
      <w:r>
        <w:rPr>
          <w:sz w:val="4"/>
          <w:szCs w:val="4"/>
        </w:rPr>
      </w:r>
      <w:bookmarkStart w:id="4" w:name="zc0df8333bab647b3aa3e23791d09aec7"/>
      <w:bookmarkStart w:id="5" w:name="zc0df8333bab647b3aa3e23791d09aec7"/>
      <w:bookmarkEnd w:id="5"/>
    </w:p>
    <w:tbl>
      <w:tblPr>
        <w:tblW w:w="3050" w:type="dxa"/>
        <w:jc w:val="left"/>
        <w:tblInd w:w="0" w:type="dxa"/>
        <w:tblLayout w:type="fixed"/>
        <w:tblCellMar>
          <w:top w:w="0" w:type="dxa"/>
          <w:left w:w="0" w:type="dxa"/>
          <w:bottom w:w="0" w:type="dxa"/>
          <w:right w:w="0" w:type="dxa"/>
        </w:tblCellMar>
      </w:tblPr>
      <w:tblGrid>
        <w:gridCol w:w="3050"/>
      </w:tblGrid>
      <w:tr>
        <w:trPr/>
        <w:tc>
          <w:tcPr>
            <w:tcW w:w="3050" w:type="dxa"/>
            <w:tcBorders/>
            <w:vAlign w:val="center"/>
          </w:tcPr>
          <w:p>
            <w:pPr>
              <w:pStyle w:val="TableContents"/>
              <w:bidi w:val="0"/>
              <w:spacing w:before="0" w:after="0"/>
              <w:jc w:val="center"/>
              <w:rPr>
                <w:rFonts w:ascii="Times New Roman" w:hAnsi="Times New Roman"/>
              </w:rPr>
            </w:pPr>
            <w:r>
              <w:rPr>
                <w:rFonts w:ascii="Times New Roman" w:hAnsi="Times New Roman"/>
              </w:rPr>
              <w:t>D. Scott Bennett, Esq.</w:t>
            </w:r>
          </w:p>
          <w:p>
            <w:pPr>
              <w:pStyle w:val="TableContents"/>
              <w:bidi w:val="0"/>
              <w:spacing w:before="0" w:after="0"/>
              <w:jc w:val="center"/>
              <w:rPr>
                <w:rFonts w:ascii="Times New Roman" w:hAnsi="Times New Roman"/>
              </w:rPr>
            </w:pPr>
            <w:r>
              <w:rPr>
                <w:rFonts w:ascii="Times New Roman" w:hAnsi="Times New Roman"/>
              </w:rPr>
              <w:t>Cravath, Swaine &amp; Moore LLP</w:t>
            </w:r>
          </w:p>
          <w:p>
            <w:pPr>
              <w:pStyle w:val="TableContents"/>
              <w:bidi w:val="0"/>
              <w:spacing w:before="0" w:after="0"/>
              <w:jc w:val="center"/>
              <w:rPr>
                <w:rFonts w:ascii="Times New Roman" w:hAnsi="Times New Roman"/>
              </w:rPr>
            </w:pPr>
            <w:r>
              <w:rPr>
                <w:rFonts w:ascii="Times New Roman" w:hAnsi="Times New Roman"/>
              </w:rPr>
              <w:t>Worldwide Plaza</w:t>
            </w:r>
          </w:p>
          <w:p>
            <w:pPr>
              <w:pStyle w:val="TableContents"/>
              <w:bidi w:val="0"/>
              <w:spacing w:before="0" w:after="0"/>
              <w:jc w:val="center"/>
              <w:rPr>
                <w:rFonts w:ascii="Times New Roman" w:hAnsi="Times New Roman"/>
              </w:rPr>
            </w:pPr>
            <w:r>
              <w:rPr>
                <w:rFonts w:ascii="Times New Roman" w:hAnsi="Times New Roman"/>
              </w:rPr>
              <w:t>825 Eighth Avenue</w:t>
            </w:r>
          </w:p>
          <w:p>
            <w:pPr>
              <w:pStyle w:val="TableContents"/>
              <w:bidi w:val="0"/>
              <w:spacing w:before="0" w:after="0"/>
              <w:jc w:val="center"/>
              <w:rPr>
                <w:rFonts w:ascii="Times New Roman" w:hAnsi="Times New Roman"/>
              </w:rPr>
            </w:pPr>
            <w:r>
              <w:rPr>
                <w:rFonts w:ascii="Times New Roman" w:hAnsi="Times New Roman"/>
              </w:rPr>
              <w:t>New York, NY 10019</w:t>
            </w:r>
          </w:p>
          <w:p>
            <w:pPr>
              <w:pStyle w:val="TableContents"/>
              <w:bidi w:val="0"/>
              <w:spacing w:before="0" w:after="0"/>
              <w:jc w:val="center"/>
              <w:rPr>
                <w:rFonts w:ascii="Times New Roman" w:hAnsi="Times New Roman"/>
              </w:rPr>
            </w:pPr>
            <w:r>
              <w:rPr>
                <w:rFonts w:ascii="Times New Roman" w:hAnsi="Times New Roman"/>
              </w:rPr>
              <w:t>(212) 474-1000</w:t>
            </w:r>
          </w:p>
        </w:tc>
      </w:tr>
    </w:tbl>
    <w:p>
      <w:pPr>
        <w:pStyle w:val="TextBody"/>
        <w:bidi w:val="0"/>
        <w:spacing w:before="0" w:after="0"/>
        <w:jc w:val="left"/>
        <w:rPr>
          <w:sz w:val="14"/>
        </w:rPr>
      </w:pPr>
      <w:r>
        <w:rPr>
          <w:sz w:val="14"/>
        </w:rPr>
      </w:r>
    </w:p>
    <w:p>
      <w:pPr>
        <w:pStyle w:val="HorizontalLine"/>
        <w:pBdr>
          <w:bottom w:val="single" w:sz="12" w:space="0" w:color="808080"/>
        </w:pBdr>
        <w:bidi w:val="0"/>
        <w:jc w:val="left"/>
        <w:rPr/>
      </w:pPr>
      <w:r>
        <w:rPr/>
      </w:r>
    </w:p>
    <w:p>
      <w:pPr>
        <w:pStyle w:val="TextBody"/>
        <w:bidi w:val="0"/>
        <w:spacing w:before="0" w:after="0"/>
        <w:jc w:val="left"/>
        <w:rPr>
          <w:sz w:val="14"/>
        </w:rPr>
      </w:pPr>
      <w:r>
        <w:rPr>
          <w:sz w:val="14"/>
        </w:rPr>
      </w:r>
    </w:p>
    <w:p>
      <w:pPr>
        <w:pStyle w:val="TextBody"/>
        <w:bidi w:val="0"/>
        <w:spacing w:before="0" w:after="0"/>
        <w:jc w:val="left"/>
        <w:rPr>
          <w:rFonts w:ascii="Times New Roman" w:hAnsi="Times New Roman"/>
          <w:b w:val="false"/>
        </w:rPr>
      </w:pPr>
      <w:r>
        <w:rPr>
          <w:rFonts w:ascii="Times New Roman" w:hAnsi="Times New Roman"/>
          <w:b w:val="false"/>
        </w:rPr>
        <w:t xml:space="preserve">Indicate by check mark whether the registrant is a large accelerated filer, an accelerated filer, a non-accelerated filer, a smaller reporting company or an emerging growth company. See the definitions of </w:t>
      </w:r>
      <w:r>
        <w:rPr>
          <w:rFonts w:ascii="Times New Roman" w:hAnsi="Times New Roman"/>
          <w:b w:val="false"/>
          <w:color w:val="000000"/>
        </w:rPr>
        <w:t>“</w:t>
      </w:r>
      <w:r>
        <w:rPr>
          <w:rFonts w:ascii="Times New Roman" w:hAnsi="Times New Roman"/>
          <w:b w:val="false"/>
        </w:rPr>
        <w:t>large accelerated filer,</w:t>
      </w:r>
      <w:r>
        <w:rPr>
          <w:rFonts w:ascii="Times New Roman" w:hAnsi="Times New Roman"/>
          <w:b w:val="false"/>
          <w:color w:val="000000"/>
        </w:rPr>
        <w:t>”</w:t>
      </w:r>
      <w:r>
        <w:rPr>
          <w:rFonts w:ascii="Times New Roman" w:hAnsi="Times New Roman"/>
          <w:b w:val="false"/>
        </w:rPr>
        <w:t> </w:t>
      </w:r>
      <w:r>
        <w:rPr>
          <w:rFonts w:ascii="Times New Roman" w:hAnsi="Times New Roman"/>
          <w:b w:val="false"/>
          <w:color w:val="000000"/>
        </w:rPr>
        <w:t>“</w:t>
      </w:r>
      <w:r>
        <w:rPr>
          <w:rFonts w:ascii="Times New Roman" w:hAnsi="Times New Roman"/>
          <w:b w:val="false"/>
        </w:rPr>
        <w:t>accelerated filer,</w:t>
      </w:r>
      <w:r>
        <w:rPr>
          <w:rFonts w:ascii="Times New Roman" w:hAnsi="Times New Roman"/>
          <w:b w:val="false"/>
          <w:color w:val="000000"/>
        </w:rPr>
        <w:t>”</w:t>
      </w:r>
      <w:r>
        <w:rPr>
          <w:rFonts w:ascii="Times New Roman" w:hAnsi="Times New Roman"/>
          <w:b w:val="false"/>
        </w:rPr>
        <w:t> </w:t>
      </w:r>
      <w:r>
        <w:rPr>
          <w:rFonts w:ascii="Times New Roman" w:hAnsi="Times New Roman"/>
          <w:b w:val="false"/>
          <w:color w:val="000000"/>
        </w:rPr>
        <w:t>“</w:t>
      </w:r>
      <w:r>
        <w:rPr>
          <w:rFonts w:ascii="Times New Roman" w:hAnsi="Times New Roman"/>
          <w:b w:val="false"/>
        </w:rPr>
        <w:t>smaller reporting company,</w:t>
      </w:r>
      <w:r>
        <w:rPr>
          <w:rFonts w:ascii="Times New Roman" w:hAnsi="Times New Roman"/>
          <w:b w:val="false"/>
          <w:color w:val="000000"/>
        </w:rPr>
        <w:t>”</w:t>
      </w:r>
      <w:r>
        <w:rPr>
          <w:rFonts w:ascii="Times New Roman" w:hAnsi="Times New Roman"/>
          <w:b w:val="false"/>
        </w:rPr>
        <w:t xml:space="preserve"> and </w:t>
      </w:r>
      <w:r>
        <w:rPr>
          <w:rFonts w:ascii="Times New Roman" w:hAnsi="Times New Roman"/>
          <w:b w:val="false"/>
          <w:color w:val="000000"/>
        </w:rPr>
        <w:t>“</w:t>
      </w:r>
      <w:r>
        <w:rPr>
          <w:rFonts w:ascii="Times New Roman" w:hAnsi="Times New Roman"/>
          <w:b w:val="false"/>
        </w:rPr>
        <w:t>emerging growth company</w:t>
      </w:r>
      <w:r>
        <w:rPr>
          <w:rFonts w:ascii="Times New Roman" w:hAnsi="Times New Roman"/>
          <w:b w:val="false"/>
          <w:color w:val="000000"/>
        </w:rPr>
        <w:t>”</w:t>
      </w:r>
      <w:r>
        <w:rPr>
          <w:rFonts w:ascii="Times New Roman" w:hAnsi="Times New Roman"/>
          <w:b w:val="false"/>
        </w:rPr>
        <w:t xml:space="preserve"> in Rule 12b-2 of the Exchange Act.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d1199be8274a451cb6199728e8a09440"/>
      <w:bookmarkStart w:id="7" w:name="zd1199be8274a451cb6199728e8a09440"/>
      <w:bookmarkEnd w:id="7"/>
    </w:p>
    <w:tbl>
      <w:tblPr>
        <w:tblW w:w="9800" w:type="dxa"/>
        <w:jc w:val="left"/>
        <w:tblInd w:w="0" w:type="dxa"/>
        <w:tblLayout w:type="fixed"/>
        <w:tblCellMar>
          <w:top w:w="0" w:type="dxa"/>
          <w:left w:w="0" w:type="dxa"/>
          <w:bottom w:w="0" w:type="dxa"/>
          <w:right w:w="0" w:type="dxa"/>
        </w:tblCellMar>
      </w:tblPr>
      <w:tblGrid>
        <w:gridCol w:w="2120"/>
        <w:gridCol w:w="60"/>
        <w:gridCol w:w="4655"/>
        <w:gridCol w:w="60"/>
        <w:gridCol w:w="2615"/>
        <w:gridCol w:w="60"/>
        <w:gridCol w:w="230"/>
      </w:tblGrid>
      <w:tr>
        <w:trPr/>
        <w:tc>
          <w:tcPr>
            <w:tcW w:w="2120" w:type="dxa"/>
            <w:tcBorders/>
            <w:vAlign w:val="center"/>
          </w:tcPr>
          <w:p>
            <w:pPr>
              <w:pStyle w:val="TableContents"/>
              <w:bidi w:val="0"/>
              <w:spacing w:before="0" w:after="0"/>
              <w:jc w:val="left"/>
              <w:rPr>
                <w:rFonts w:ascii="Times New Roman" w:hAnsi="Times New Roman"/>
              </w:rPr>
            </w:pPr>
            <w:r>
              <w:rPr>
                <w:rFonts w:ascii="Times New Roman" w:hAnsi="Times New Roman"/>
              </w:rPr>
              <w:t>Large accelerated filer</w:t>
            </w:r>
          </w:p>
        </w:tc>
        <w:tc>
          <w:tcPr>
            <w:tcW w:w="60" w:type="dxa"/>
            <w:tcBorders/>
            <w:vAlign w:val="center"/>
          </w:tcPr>
          <w:p>
            <w:pPr>
              <w:pStyle w:val="TableContents"/>
              <w:bidi w:val="0"/>
              <w:spacing w:before="0" w:after="0"/>
              <w:jc w:val="left"/>
              <w:rPr/>
            </w:pPr>
            <w:r>
              <w:rPr/>
              <w:t> </w:t>
            </w:r>
          </w:p>
        </w:tc>
        <w:tc>
          <w:tcPr>
            <w:tcW w:w="4655" w:type="dxa"/>
            <w:tcBorders/>
            <w:vAlign w:val="center"/>
          </w:tcPr>
          <w:p>
            <w:pPr>
              <w:pStyle w:val="TableContents"/>
              <w:bidi w:val="0"/>
              <w:spacing w:before="0" w:after="0"/>
              <w:jc w:val="left"/>
              <w:rPr>
                <w:color w:val="000000"/>
              </w:rPr>
            </w:pPr>
            <w:r>
              <w:rPr>
                <w:color w:val="000000"/>
              </w:rPr>
              <w:t>☐</w:t>
            </w:r>
          </w:p>
        </w:tc>
        <w:tc>
          <w:tcPr>
            <w:tcW w:w="6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0"/>
              <w:jc w:val="left"/>
              <w:rPr>
                <w:rFonts w:ascii="Times New Roman" w:hAnsi="Times New Roman"/>
              </w:rPr>
            </w:pPr>
            <w:r>
              <w:rPr>
                <w:rFonts w:ascii="Times New Roman" w:hAnsi="Times New Roman"/>
              </w:rPr>
              <w:t>Accelerated filer</w:t>
            </w:r>
          </w:p>
        </w:tc>
        <w:tc>
          <w:tcPr>
            <w:tcW w:w="6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jc w:val="left"/>
              <w:rPr>
                <w:rFonts w:ascii="Times New Roman" w:hAnsi="Times New Roman"/>
              </w:rPr>
            </w:pPr>
            <w:r>
              <w:rPr>
                <w:rFonts w:ascii="Times New Roman" w:hAnsi="Times New Roman"/>
              </w:rPr>
              <w:t>Non-accelerated filer</w:t>
            </w:r>
          </w:p>
        </w:tc>
        <w:tc>
          <w:tcPr>
            <w:tcW w:w="60" w:type="dxa"/>
            <w:tcBorders/>
            <w:vAlign w:val="center"/>
          </w:tcPr>
          <w:p>
            <w:pPr>
              <w:pStyle w:val="TableContents"/>
              <w:bidi w:val="0"/>
              <w:spacing w:before="0" w:after="0"/>
              <w:jc w:val="left"/>
              <w:rPr/>
            </w:pPr>
            <w:r>
              <w:rPr/>
              <w:t> </w:t>
            </w:r>
          </w:p>
        </w:tc>
        <w:tc>
          <w:tcPr>
            <w:tcW w:w="4655" w:type="dxa"/>
            <w:tcBorders/>
            <w:vAlign w:val="center"/>
          </w:tcPr>
          <w:p>
            <w:pPr>
              <w:pStyle w:val="TableContents"/>
              <w:bidi w:val="0"/>
              <w:spacing w:before="0" w:after="0"/>
              <w:jc w:val="left"/>
              <w:rPr/>
            </w:pPr>
            <w:r>
              <w:rPr>
                <w:color w:val="000000"/>
              </w:rPr>
              <w:t>☒</w:t>
            </w:r>
            <w:r>
              <w:rPr/>
              <w:t xml:space="preserve"> </w:t>
            </w:r>
            <w:r>
              <w:rPr>
                <w:rFonts w:ascii="Times New Roman" w:hAnsi="Times New Roman"/>
              </w:rPr>
              <w:t>(Do not check if a smaller reporting company)</w:t>
            </w:r>
          </w:p>
        </w:tc>
        <w:tc>
          <w:tcPr>
            <w:tcW w:w="6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0"/>
              <w:jc w:val="left"/>
              <w:rPr>
                <w:rFonts w:ascii="Times New Roman" w:hAnsi="Times New Roman"/>
              </w:rPr>
            </w:pPr>
            <w:r>
              <w:rPr>
                <w:rFonts w:ascii="Times New Roman" w:hAnsi="Times New Roman"/>
              </w:rPr>
              <w:t>Smaller reporting company</w:t>
            </w:r>
          </w:p>
        </w:tc>
        <w:tc>
          <w:tcPr>
            <w:tcW w:w="6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0"/>
              <w:jc w:val="left"/>
              <w:rPr>
                <w:rFonts w:ascii="Times New Roman" w:hAnsi="Times New Roman"/>
              </w:rPr>
            </w:pPr>
            <w:r>
              <w:rPr>
                <w:rFonts w:ascii="Times New Roman" w:hAnsi="Times New Roman"/>
              </w:rPr>
              <w:t>Emerging growth company</w:t>
            </w:r>
          </w:p>
        </w:tc>
        <w:tc>
          <w:tcPr>
            <w:tcW w:w="6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r>
    </w:tbl>
    <w:p>
      <w:pPr>
        <w:pStyle w:val="TextBody"/>
        <w:bidi w:val="0"/>
        <w:spacing w:before="0" w:after="0"/>
        <w:jc w:val="left"/>
        <w:rPr>
          <w:sz w:val="14"/>
        </w:rPr>
      </w:pPr>
      <w:r>
        <w:rPr>
          <w:sz w:val="14"/>
        </w:rPr>
      </w:r>
    </w:p>
    <w:p>
      <w:pPr>
        <w:pStyle w:val="TextBody"/>
        <w:bidi w:val="0"/>
        <w:spacing w:before="0" w:after="0"/>
        <w:jc w:val="left"/>
        <w:rPr>
          <w:rFonts w:ascii="Times New Roman" w:hAnsi="Times New Roman"/>
          <w:b w:val="false"/>
        </w:rPr>
      </w:pPr>
      <w:r>
        <w:rPr>
          <w:rFonts w:ascii="Times New Roman" w:hAnsi="Times New Roman"/>
          <w:b w:val="false"/>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b w:val="false"/>
          <w:color w:val="000000"/>
        </w:rPr>
        <w:t>☐</w:t>
      </w:r>
    </w:p>
    <w:p>
      <w:pPr>
        <w:pStyle w:val="TextBody"/>
        <w:bidi w:val="0"/>
        <w:spacing w:before="0" w:after="0"/>
        <w:jc w:val="left"/>
        <w:rPr>
          <w:rFonts w:ascii="Times New Roman" w:hAnsi="Times New Roman"/>
          <w:b/>
        </w:rPr>
      </w:pPr>
      <w:r>
        <w:rPr>
          <w:rFonts w:ascii="Times New Roman" w:hAnsi="Times New Roman"/>
          <w:b/>
        </w:rPr>
      </w:r>
    </w:p>
    <w:p>
      <w:pPr>
        <w:pStyle w:val="HorizontalLine"/>
        <w:pBdr>
          <w:bottom w:val="double" w:sz="2" w:space="0" w:color="808080"/>
        </w:pBdr>
        <w:bidi w:val="0"/>
        <w:spacing w:before="0" w:after="283"/>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rPr>
      </w:pPr>
      <w:r>
        <w:rPr>
          <w:rFonts w:ascii="Times New Roman" w:hAnsi="Times New Roman"/>
          <w:b/>
        </w:rPr>
        <w:t>EXPLANATORY NOTE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rPr>
      </w:pPr>
      <w:r>
        <w:rPr>
          <w:rFonts w:ascii="Times New Roman" w:hAnsi="Times New Roman"/>
        </w:rPr>
        <w:t>This Post-Effective Amendment No. 1 relates to the Registration Statement on Form S-8 (Registration No. 333-187020) filed by GasLog Ltd. (the “Registrant”) with the Securities and Exchange Commission on March 4, 2013 (the “Registration Statement”) registering 3,143,158 common shares, issuable pursuant to the GasLog Ltd. 2013 Omnibus Incentive Compensation Plan. The Registrant is filing this Post-Effective Amendment No. 1 to the Registration Statement to terminate the offering and remove from registration the securities that have not been sold pursuant to the prospectus contained in the Registration Statement.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rPr>
      </w:pPr>
      <w:r>
        <w:rPr>
          <w:rFonts w:ascii="Times New Roman" w:hAnsi="Times New Roman"/>
        </w:rPr>
        <w:t>In accordance with an undertaking in the Registration Statement to remove from registration by means of a post-effective amendment any of the securities which had been registered under the Registration Statement but remain unsold at the termination of the offering, the Registrant hereby removes from registration any and all securities of the Registrant which have been registered for issuance under the Registration Statement but remain unsold. The Registration Statement is hereby amended to reflect the termination of the offering and the removal from registration of any and all securities of the Registrant which have been registered for issuance under the Registration Statement but remain unsold as of the date of this Post-Effective Amendment No. 1.</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rPr>
      </w:pPr>
      <w:r>
        <w:rPr>
          <w:rFonts w:ascii="Times New Roman" w:hAnsi="Times New Roman"/>
          <w:b/>
        </w:rPr>
        <w:t>SIGNATURES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rPr>
      </w:pPr>
      <w:r>
        <w:rPr>
          <w:rFonts w:ascii="Times New Roman" w:hAnsi="Times New Roman"/>
        </w:rPr>
        <w:t>Pursuant to the requirements of the Securities Act of 1933, as amended, and Rule 478 thereunder, the undersigned Registrant certifies that it has reasonable grounds to believe that it meets all of the requirements for filing on Form S-8 and has duly caused this Post-Effective Amendment No. 1 to the Registration Statement on Form S-8 to be signed on its behalf by the undersigned, thereunto duly authorized, in the City of New York, State of New York, on June 29, 2023.</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8" w:name="ze5ec48cd9dd04b25adc162b6e22330c9"/>
      <w:bookmarkStart w:id="9" w:name="ze5ec48cd9dd04b25adc162b6e22330c9"/>
      <w:bookmarkEnd w:id="9"/>
    </w:p>
    <w:tbl>
      <w:tblPr>
        <w:tblW w:w="3360" w:type="dxa"/>
        <w:jc w:val="left"/>
        <w:tblInd w:w="0" w:type="dxa"/>
        <w:tblLayout w:type="fixed"/>
        <w:tblCellMar>
          <w:top w:w="0" w:type="dxa"/>
          <w:left w:w="0" w:type="dxa"/>
          <w:bottom w:w="0" w:type="dxa"/>
          <w:right w:w="0" w:type="dxa"/>
        </w:tblCellMar>
      </w:tblPr>
      <w:tblGrid>
        <w:gridCol w:w="60"/>
        <w:gridCol w:w="305"/>
        <w:gridCol w:w="650"/>
        <w:gridCol w:w="2285"/>
        <w:gridCol w:w="60"/>
      </w:tblGrid>
      <w:tr>
        <w:trPr/>
        <w:tc>
          <w:tcPr>
            <w:tcW w:w="60" w:type="dxa"/>
            <w:tcBorders/>
            <w:vAlign w:val="center"/>
          </w:tcPr>
          <w:p>
            <w:pPr>
              <w:pStyle w:val="TableContents"/>
              <w:bidi w:val="0"/>
              <w:spacing w:before="0" w:after="0"/>
              <w:jc w:val="left"/>
              <w:rPr>
                <w:color w:val="000000"/>
              </w:rPr>
            </w:pPr>
            <w:r>
              <w:rPr>
                <w:color w:val="000000"/>
              </w:rPr>
              <w:t> </w:t>
            </w:r>
          </w:p>
        </w:tc>
        <w:tc>
          <w:tcPr>
            <w:tcW w:w="3300" w:type="dxa"/>
            <w:gridSpan w:val="4"/>
            <w:tcBorders/>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GASLOG LTD.</w:t>
            </w:r>
          </w:p>
        </w:tc>
      </w:tr>
      <w:tr>
        <w:trPr/>
        <w:tc>
          <w:tcPr>
            <w:tcW w:w="60" w:type="dxa"/>
            <w:tcBorders/>
            <w:vAlign w:val="center"/>
          </w:tcPr>
          <w:p>
            <w:pPr>
              <w:pStyle w:val="TableContents"/>
              <w:bidi w:val="0"/>
              <w:spacing w:before="0" w:after="0"/>
              <w:jc w:val="left"/>
              <w:rPr>
                <w:color w:val="000000"/>
              </w:rPr>
            </w:pPr>
            <w:r>
              <w:rPr>
                <w:color w:val="000000"/>
              </w:rPr>
              <w:t> </w:t>
            </w:r>
          </w:p>
        </w:tc>
        <w:tc>
          <w:tcPr>
            <w:tcW w:w="305" w:type="dxa"/>
            <w:tcBorders/>
            <w:vAlign w:val="center"/>
          </w:tcPr>
          <w:p>
            <w:pPr>
              <w:pStyle w:val="TableContents"/>
              <w:bidi w:val="0"/>
              <w:spacing w:before="0" w:after="0"/>
              <w:jc w:val="left"/>
              <w:rPr>
                <w:color w:val="000000"/>
              </w:rPr>
            </w:pPr>
            <w:r>
              <w:rPr>
                <w:color w:val="000000"/>
              </w:rPr>
              <w:t> </w:t>
            </w:r>
          </w:p>
        </w:tc>
        <w:tc>
          <w:tcPr>
            <w:tcW w:w="2935" w:type="dxa"/>
            <w:gridSpan w:val="2"/>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305" w:type="dxa"/>
            <w:tcBorders/>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By</w:t>
            </w:r>
          </w:p>
        </w:tc>
        <w:tc>
          <w:tcPr>
            <w:tcW w:w="2935" w:type="dxa"/>
            <w:gridSpan w:val="2"/>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/s/ Paolo Enoizi</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305" w:type="dxa"/>
            <w:tcBorders/>
            <w:vAlign w:val="center"/>
          </w:tcPr>
          <w:p>
            <w:pPr>
              <w:pStyle w:val="TableContents"/>
              <w:bidi w:val="0"/>
              <w:spacing w:before="0" w:after="0"/>
              <w:jc w:val="left"/>
              <w:rPr>
                <w:color w:val="000000"/>
              </w:rPr>
            </w:pPr>
            <w:r>
              <w:rPr>
                <w:color w:val="000000"/>
              </w:rPr>
              <w:t> </w:t>
            </w:r>
          </w:p>
        </w:tc>
        <w:tc>
          <w:tcPr>
            <w:tcW w:w="650" w:type="dxa"/>
            <w:tcBorders/>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Name:</w:t>
            </w:r>
          </w:p>
        </w:tc>
        <w:tc>
          <w:tcPr>
            <w:tcW w:w="2285" w:type="dxa"/>
            <w:tcBorders/>
            <w:vAlign w:val="center"/>
          </w:tcPr>
          <w:p>
            <w:pPr>
              <w:pStyle w:val="TableContents"/>
              <w:bidi w:val="0"/>
              <w:spacing w:before="0" w:after="0"/>
              <w:ind w:left="66" w:right="0" w:hanging="0"/>
              <w:jc w:val="left"/>
              <w:rPr>
                <w:rFonts w:ascii="Times New Roman" w:hAnsi="Times New Roman"/>
                <w:color w:val="000000"/>
              </w:rPr>
            </w:pPr>
            <w:r>
              <w:rPr>
                <w:rFonts w:ascii="Times New Roman" w:hAnsi="Times New Roman"/>
                <w:color w:val="000000"/>
              </w:rPr>
              <w:t>Paolo Enoizi</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305" w:type="dxa"/>
            <w:tcBorders/>
            <w:vAlign w:val="center"/>
          </w:tcPr>
          <w:p>
            <w:pPr>
              <w:pStyle w:val="TableContents"/>
              <w:bidi w:val="0"/>
              <w:spacing w:before="0" w:after="0"/>
              <w:jc w:val="left"/>
              <w:rPr>
                <w:color w:val="000000"/>
              </w:rPr>
            </w:pPr>
            <w:r>
              <w:rPr>
                <w:color w:val="000000"/>
              </w:rPr>
              <w:t> </w:t>
            </w:r>
          </w:p>
        </w:tc>
        <w:tc>
          <w:tcPr>
            <w:tcW w:w="650" w:type="dxa"/>
            <w:tcBorders/>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Title:</w:t>
            </w:r>
          </w:p>
        </w:tc>
        <w:tc>
          <w:tcPr>
            <w:tcW w:w="2285" w:type="dxa"/>
            <w:tcBorders/>
            <w:vAlign w:val="center"/>
          </w:tcPr>
          <w:p>
            <w:pPr>
              <w:pStyle w:val="TableContents"/>
              <w:bidi w:val="0"/>
              <w:spacing w:before="0" w:after="0"/>
              <w:ind w:left="66" w:right="0" w:hanging="0"/>
              <w:jc w:val="left"/>
              <w:rPr>
                <w:rFonts w:ascii="Times New Roman" w:hAnsi="Times New Roman"/>
                <w:color w:val="000000"/>
              </w:rPr>
            </w:pPr>
            <w:r>
              <w:rPr>
                <w:rFonts w:ascii="Times New Roman" w:hAnsi="Times New Roman"/>
                <w:color w:val="000000"/>
              </w:rPr>
              <w:t>Chief Executive Officer</w:t>
            </w:r>
          </w:p>
        </w:tc>
        <w:tc>
          <w:tcPr>
            <w:tcW w:w="60" w:type="dxa"/>
            <w:tcBorders/>
            <w:vAlign w:val="center"/>
          </w:tcPr>
          <w:p>
            <w:pPr>
              <w:pStyle w:val="TableContents"/>
              <w:bidi w:val="0"/>
              <w:spacing w:before="0" w:after="0"/>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rPr>
      </w:pPr>
      <w:r>
        <w:rPr>
          <w:rFonts w:ascii="Times New Roman" w:hAnsi="Times New Roman"/>
        </w:rPr>
        <w:t>No other person is required to sign this Post-Effective Amendment No. 1 to the Registration Statement in reliance upon Rule 478 under the Securities Act of 1933, as amended.</w:t>
      </w:r>
    </w:p>
    <w:p>
      <w:pPr>
        <w:pStyle w:val="TextBody"/>
        <w:bidi w:val="0"/>
        <w:spacing w:before="0" w:after="0"/>
        <w:jc w:val="left"/>
        <w:rPr>
          <w:rFonts w:ascii="Times New Roman" w:hAnsi="Times New Roman"/>
          <w:b/>
        </w:rPr>
      </w:pPr>
      <w:r>
        <w:rPr>
          <w:rFonts w:ascii="Times New Roman" w:hAnsi="Times New Roman"/>
          <w:b/>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590</Words>
  <Characters>3295</Characters>
  <CharactersWithSpaces>3867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